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xml" ContentType="application/vnd.openxmlformats-officedocument.wordprocessingml.comments+xml"/>
  <Override PartName="/word/commentsIds.xml" ContentType="application/vnd.openxmlformats-officedocument.wordprocessingml.commentsIds+xml"/>
  <Override PartName="/word/commentsExtended.xml" ContentType="application/vnd.openxmlformats-officedocument.wordprocessingml.commentsExtended+xml"/>
  <Override PartName="/word/commentsExtensible.xml" ContentType="application/vnd.openxmlformats-officedocument.wordprocessingml.commentsExtensible+xml"/>
  <Override PartName="/word/people.xml" ContentType="application/vnd.openxmlformats-officedocument.wordprocessingml.people+xml"/>
  <Override PartName="/word/tasks.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16="http://schemas.microsoft.com/office/drawing/2014/main" xmlns:c="http://schemas.openxmlformats.org/drawingml/2006/chart" mc:Ignorable="w14 w15 w16se w16cid w16 w16cex w16sdtdh w16sdtfl w16du wp14">
  <w:body>
    <w:p w:rsidR="7CAB9697" w:rsidP="0FF05B1B" w:rsidRDefault="006E3294" w14:paraId="54EF2B56" w14:textId="45276308">
      <w:pPr>
        <w:spacing w:after="0" w:line="360" w:lineRule="auto"/>
        <w:rPr>
          <w:rFonts w:ascii="Verdana" w:hAnsi="Verdana"/>
          <w:sz w:val="24"/>
          <w:szCs w:val="24"/>
        </w:rPr>
      </w:pPr>
      <w:r w:rsidRPr="00A57083">
        <w:rPr>
          <w:rFonts w:ascii="Arial" w:hAnsi="Arial" w:cs="Arial"/>
          <w:noProof/>
          <w:color w:val="000000" w:themeColor="text1"/>
          <w:lang w:val="es-ES"/>
        </w:rPr>
        <mc:AlternateContent>
          <mc:Choice Requires="wps">
            <w:drawing>
              <wp:anchor distT="0" distB="0" distL="114300" distR="114300" simplePos="0" relativeHeight="251658252" behindDoc="0" locked="0" layoutInCell="1" allowOverlap="1" wp14:anchorId="21B34B44" wp14:editId="765B3D8D">
                <wp:simplePos x="0" y="0"/>
                <wp:positionH relativeFrom="column">
                  <wp:posOffset>-1540510</wp:posOffset>
                </wp:positionH>
                <wp:positionV relativeFrom="paragraph">
                  <wp:posOffset>-428272</wp:posOffset>
                </wp:positionV>
                <wp:extent cx="3562838" cy="489682"/>
                <wp:effectExtent l="50800" t="25400" r="57150" b="69215"/>
                <wp:wrapNone/>
                <wp:docPr id="788577140" name="Rectángulo 2"/>
                <wp:cNvGraphicFramePr/>
                <a:graphic xmlns:a="http://schemas.openxmlformats.org/drawingml/2006/main">
                  <a:graphicData uri="http://schemas.microsoft.com/office/word/2010/wordprocessingShape">
                    <wps:wsp>
                      <wps:cNvSpPr/>
                      <wps:spPr>
                        <a:xfrm>
                          <a:off x="0" y="0"/>
                          <a:ext cx="3562838" cy="489682"/>
                        </a:xfrm>
                        <a:prstGeom prst="rect">
                          <a:avLst/>
                        </a:prstGeom>
                        <a:solidFill>
                          <a:srgbClr val="FFC000"/>
                        </a:solidFill>
                        <a:ln>
                          <a:noFill/>
                        </a:ln>
                      </wps:spPr>
                      <wps:style>
                        <a:lnRef idx="1">
                          <a:schemeClr val="accent1"/>
                        </a:lnRef>
                        <a:fillRef idx="3">
                          <a:schemeClr val="accent1"/>
                        </a:fillRef>
                        <a:effectRef idx="2">
                          <a:schemeClr val="accent1"/>
                        </a:effectRef>
                        <a:fontRef idx="minor">
                          <a:schemeClr val="lt1"/>
                        </a:fontRef>
                      </wps:style>
                      <wps:txbx>
                        <w:txbxContent>
                          <w:p w:rsidRPr="00A57083" w:rsidR="006E3294" w:rsidP="006E3294" w:rsidRDefault="006E3294" w14:paraId="09F14F86" w14:textId="77777777">
                            <w:pPr>
                              <w:jc w:val="center"/>
                              <w:rPr>
                                <w:rFonts w:ascii="Verdana" w:hAnsi="Verdana"/>
                                <w:b/>
                                <w:bCs/>
                                <w:sz w:val="48"/>
                                <w:szCs w:val="48"/>
                              </w:rPr>
                            </w:pPr>
                            <w:r>
                              <w:rPr>
                                <w:rFonts w:ascii="Verdana" w:hAnsi="Verdana" w:cs="Arial"/>
                                <w:b/>
                                <w:bCs/>
                                <w:color w:val="000000" w:themeColor="text1"/>
                                <w:sz w:val="48"/>
                                <w:szCs w:val="48"/>
                              </w:rPr>
                              <w:t xml:space="preserve">  </w:t>
                            </w:r>
                            <w:r w:rsidRPr="00A57083">
                              <w:rPr>
                                <w:rFonts w:ascii="Verdana" w:hAnsi="Verdana" w:cs="Arial"/>
                                <w:b/>
                                <w:bCs/>
                                <w:color w:val="000000" w:themeColor="text1"/>
                                <w:sz w:val="48"/>
                                <w:szCs w:val="48"/>
                              </w:rPr>
                              <w:t>Créditos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4B52053A">
              <v:rect id="Rectángulo 2" style="position:absolute;margin-left:-121.3pt;margin-top:-33.7pt;width:280.55pt;height:38.55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ffc000" stroked="f" strokeweight=".5pt" w14:anchorId="21B34B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bqibgIAAEcFAAAOAAAAZHJzL2Uyb0RvYy54bWysVN9r2zAQfh/sfxB6X5ykaZeGOiWkZAxK&#10;W9qOPiuylBhknXZSYmd//U6y43RdoTD2Yut03/367k5X101l2F6hL8HmfDQYcqashKK0m5z/eF59&#10;mXLmg7CFMGBVzg/K8+v5509XtZupMWzBFAoZObF+Vrucb0Nwsyzzcqsq4QfglCWlBqxEIBE3WYGi&#10;Ju+VycbD4UVWAxYOQSrv6famVfJ58q+1kuFea68CMzmn3EL6Yvqu4zebX4nZBoXblrJLQ/xDFpUo&#10;LQXtXd2IINgOy79cVaVE8KDDQEKVgdalVKkGqmY0fFPN01Y4lWohcrzrafL/z6282z+5ByQaaudn&#10;no6xikZjFf+UH2sSWYeeLNUEJuny7PxiPD2j9krSTaaXF9NxZDM7WTv04ZuCisVDzpGakTgS+1sf&#10;WugREoN5MGWxKo1JAm7WS4NsL6hxq9VyOEy9Iu9/wIyNYAvRrPUYb7JTLekUDkZFnLGPSrOyoOxH&#10;KZM0ZqqPI6RUNoy6MhI6mmly3huefWzY4aOpSiPYG48/Nu4tUmSwoTeuSgv4ngPTp6xb/JGBtu5I&#10;QWjWTdfjNRSHB2QI7S54J1cl9edW+PAgkIaf1oQWOtzTRxuocw7dibMt4K/37iOeZpK0nNW0TDn3&#10;P3cCFWfmu6VpvRxNJnH7kjA5/zomAV9r1q81dlctgdo+oqfDyXSM+GCOR41QvdDeL2JUUgkrKXbO&#10;ZcCjsAztktPLIdVikWC0cU6EW/vk5HEA4vw9Ny8CXTekgcb7Do6LJ2ZvZrXFxtZYWOwC6DINcqS4&#10;5bWjnrY1rUL3ssTn4LWcUKf3b/4bAAD//wMAUEsDBBQABgAIAAAAIQDupisp5AAAAAoBAAAPAAAA&#10;ZHJzL2Rvd25yZXYueG1sTI/BTsMwDIbvSLxDZCQuaEtbRreVphNCsAkhDhsgwS1rTFvWOKXJtvL2&#10;mBPcbPnT7+/PF4NtxQF73zhSEI8jEEilMw1VCl6e70czED5oMrp1hAq+0cOiOD3JdWbckdZ42IRK&#10;cAj5TCuoQ+gyKX1Zo9V+7Dokvn243urAa19J0+sjh9tWJlGUSqsb4g+17vC2xnK32VsFd/369fNx&#10;uTIXb83u/WEeh6/l8KTU+dlwcw0i4BD+YPjVZ3Uo2Gnr9mS8aBWMkkmSMstTOp2AYOQynl2B2CqY&#10;T0EWufxfofgBAAD//wMAUEsBAi0AFAAGAAgAAAAhALaDOJL+AAAA4QEAABMAAAAAAAAAAAAAAAAA&#10;AAAAAFtDb250ZW50X1R5cGVzXS54bWxQSwECLQAUAAYACAAAACEAOP0h/9YAAACUAQAACwAAAAAA&#10;AAAAAAAAAAAvAQAAX3JlbHMvLnJlbHNQSwECLQAUAAYACAAAACEA/SW6om4CAABHBQAADgAAAAAA&#10;AAAAAAAAAAAuAgAAZHJzL2Uyb0RvYy54bWxQSwECLQAUAAYACAAAACEA7qYrKeQAAAAKAQAADwAA&#10;AAAAAAAAAAAAAADIBAAAZHJzL2Rvd25yZXYueG1sUEsFBgAAAAAEAAQA8wAAANkFAAAAAA==&#10;">
                <v:textbox>
                  <w:txbxContent>
                    <w:p w:rsidRPr="00A57083" w:rsidR="006E3294" w:rsidP="006E3294" w:rsidRDefault="006E3294" w14:paraId="4A0AB793" w14:textId="77777777">
                      <w:pPr>
                        <w:jc w:val="center"/>
                        <w:rPr>
                          <w:rFonts w:ascii="Verdana" w:hAnsi="Verdana"/>
                          <w:b/>
                          <w:bCs/>
                          <w:sz w:val="48"/>
                          <w:szCs w:val="48"/>
                        </w:rPr>
                      </w:pPr>
                      <w:r>
                        <w:rPr>
                          <w:rFonts w:ascii="Verdana" w:hAnsi="Verdana" w:cs="Arial"/>
                          <w:b/>
                          <w:bCs/>
                          <w:color w:val="000000" w:themeColor="text1"/>
                          <w:sz w:val="48"/>
                          <w:szCs w:val="48"/>
                        </w:rPr>
                        <w:t xml:space="preserve">  </w:t>
                      </w:r>
                      <w:r w:rsidRPr="00A57083">
                        <w:rPr>
                          <w:rFonts w:ascii="Verdana" w:hAnsi="Verdana" w:cs="Arial"/>
                          <w:b/>
                          <w:bCs/>
                          <w:color w:val="000000" w:themeColor="text1"/>
                          <w:sz w:val="48"/>
                          <w:szCs w:val="48"/>
                        </w:rPr>
                        <w:t>Créditos</w:t>
                      </w:r>
                    </w:p>
                  </w:txbxContent>
                </v:textbox>
              </v:rect>
            </w:pict>
          </mc:Fallback>
        </mc:AlternateContent>
      </w:r>
    </w:p>
    <w:p w:rsidR="7CAB9697" w:rsidP="620A7E17" w:rsidRDefault="5E6C13B1" w14:paraId="40C41BCA" w14:textId="534A2DA9">
      <w:pPr>
        <w:spacing w:after="0" w:line="360" w:lineRule="auto"/>
        <w:rPr>
          <w:rFonts w:ascii="Arial" w:hAnsi="Arial" w:eastAsia="Arial" w:cs="Arial"/>
          <w:color w:val="000000" w:themeColor="text1"/>
          <w:lang w:val="es-ES"/>
        </w:rPr>
      </w:pPr>
      <w:r w:rsidRPr="620A7E17">
        <w:rPr>
          <w:rFonts w:ascii="Arial" w:hAnsi="Arial" w:eastAsia="Arial" w:cs="Arial"/>
          <w:color w:val="000000" w:themeColor="text1"/>
          <w:lang w:val="es-ES"/>
        </w:rPr>
        <w:t>Edwin Palma Egea</w:t>
      </w:r>
      <w:r w:rsidR="7CAB9697">
        <w:br/>
      </w:r>
      <w:r w:rsidRPr="620A7E17">
        <w:rPr>
          <w:rFonts w:ascii="Arial" w:hAnsi="Arial" w:eastAsia="Arial" w:cs="Arial"/>
          <w:b/>
          <w:bCs/>
          <w:color w:val="000000" w:themeColor="text1"/>
          <w:lang w:val="es-ES"/>
        </w:rPr>
        <w:t>Ministro de Minas y Energía</w:t>
      </w:r>
    </w:p>
    <w:p w:rsidR="00F87AFB" w:rsidP="620A7E17" w:rsidRDefault="00F87AFB" w14:paraId="41D04AE7" w14:textId="77777777">
      <w:pPr>
        <w:spacing w:after="0" w:line="360" w:lineRule="auto"/>
        <w:rPr>
          <w:rFonts w:ascii="Arial" w:hAnsi="Arial" w:eastAsia="Arial" w:cs="Arial"/>
          <w:color w:val="000000" w:themeColor="text1"/>
          <w:lang w:val="es-ES"/>
        </w:rPr>
      </w:pPr>
    </w:p>
    <w:p w:rsidR="7CAB9697" w:rsidP="620A7E17" w:rsidRDefault="5E6C13B1" w14:paraId="0A205159" w14:textId="130F021A">
      <w:pPr>
        <w:spacing w:after="0" w:line="360" w:lineRule="auto"/>
        <w:rPr>
          <w:rFonts w:ascii="Arial" w:hAnsi="Arial" w:eastAsia="Arial" w:cs="Arial"/>
          <w:color w:val="000000" w:themeColor="text1"/>
          <w:lang w:val="es-ES"/>
        </w:rPr>
      </w:pPr>
      <w:r w:rsidRPr="620A7E17">
        <w:rPr>
          <w:rFonts w:ascii="Arial" w:hAnsi="Arial" w:eastAsia="Arial" w:cs="Arial"/>
          <w:color w:val="000000" w:themeColor="text1"/>
          <w:lang w:val="es-ES"/>
        </w:rPr>
        <w:t>Víctor José Paternina Novoa</w:t>
      </w:r>
      <w:r w:rsidRPr="620A7E17">
        <w:rPr>
          <w:rFonts w:ascii="Arial" w:hAnsi="Arial" w:eastAsia="Arial" w:cs="Arial"/>
          <w:b/>
          <w:bCs/>
          <w:color w:val="000000" w:themeColor="text1"/>
          <w:lang w:val="es-ES"/>
        </w:rPr>
        <w:t xml:space="preserve">   Viceministro de Energía</w:t>
      </w:r>
    </w:p>
    <w:p w:rsidR="00F87AFB" w:rsidP="620A7E17" w:rsidRDefault="00F87AFB" w14:paraId="3243A1DF" w14:textId="77777777">
      <w:pPr>
        <w:spacing w:after="0" w:line="360" w:lineRule="auto"/>
        <w:rPr>
          <w:rFonts w:ascii="Arial" w:hAnsi="Arial" w:eastAsia="Arial" w:cs="Arial"/>
          <w:color w:val="000000" w:themeColor="text1"/>
          <w:lang w:val="es-ES"/>
        </w:rPr>
      </w:pPr>
    </w:p>
    <w:p w:rsidR="7CAB9697" w:rsidP="620A7E17" w:rsidRDefault="5E6C13B1" w14:paraId="081FBD2C" w14:textId="6ED6673E">
      <w:pPr>
        <w:spacing w:after="0" w:line="360" w:lineRule="auto"/>
        <w:rPr>
          <w:rFonts w:ascii="Arial" w:hAnsi="Arial" w:eastAsia="Arial" w:cs="Arial"/>
          <w:color w:val="000000" w:themeColor="text1"/>
          <w:lang w:val="es-ES"/>
        </w:rPr>
      </w:pPr>
      <w:r w:rsidRPr="620A7E17">
        <w:rPr>
          <w:rFonts w:ascii="Arial" w:hAnsi="Arial" w:eastAsia="Arial" w:cs="Arial"/>
          <w:color w:val="000000" w:themeColor="text1"/>
          <w:lang w:val="es-ES"/>
        </w:rPr>
        <w:t>Sorrel Parisa Aroca Rodríguez</w:t>
      </w:r>
      <w:r w:rsidR="7CAB9697">
        <w:br/>
      </w:r>
      <w:r w:rsidRPr="620A7E17">
        <w:rPr>
          <w:rFonts w:ascii="Arial" w:hAnsi="Arial" w:eastAsia="Arial" w:cs="Arial"/>
          <w:b/>
          <w:bCs/>
          <w:color w:val="000000" w:themeColor="text1"/>
          <w:lang w:val="es-ES"/>
        </w:rPr>
        <w:t>Viceministra de Minas</w:t>
      </w:r>
    </w:p>
    <w:p w:rsidR="00F87AFB" w:rsidP="620A7E17" w:rsidRDefault="00F87AFB" w14:paraId="5B10B0A1" w14:textId="77777777">
      <w:pPr>
        <w:spacing w:after="0" w:line="360" w:lineRule="auto"/>
        <w:rPr>
          <w:rFonts w:ascii="Arial" w:hAnsi="Arial" w:eastAsia="Arial" w:cs="Arial"/>
          <w:color w:val="000000" w:themeColor="text1"/>
          <w:lang w:val="es-ES"/>
        </w:rPr>
      </w:pPr>
    </w:p>
    <w:p w:rsidR="7CAB9697" w:rsidP="620A7E17" w:rsidRDefault="5E6C13B1" w14:paraId="69458279" w14:textId="67A5B4A9">
      <w:pPr>
        <w:spacing w:after="0" w:line="360" w:lineRule="auto"/>
        <w:rPr>
          <w:rFonts w:ascii="Arial" w:hAnsi="Arial" w:eastAsia="Arial" w:cs="Arial"/>
          <w:color w:val="000000" w:themeColor="text1"/>
          <w:lang w:val="es-ES"/>
        </w:rPr>
      </w:pPr>
      <w:r w:rsidRPr="620A7E17">
        <w:rPr>
          <w:rFonts w:ascii="Arial" w:hAnsi="Arial" w:eastAsia="Arial" w:cs="Arial"/>
          <w:color w:val="000000" w:themeColor="text1"/>
          <w:lang w:val="es-ES"/>
        </w:rPr>
        <w:t>Elkin Leonardo Pérez Zambrano</w:t>
      </w:r>
      <w:r w:rsidRPr="620A7E17">
        <w:rPr>
          <w:rFonts w:ascii="Arial" w:hAnsi="Arial" w:eastAsia="Arial" w:cs="Arial"/>
          <w:b/>
          <w:bCs/>
          <w:color w:val="000000" w:themeColor="text1"/>
          <w:lang w:val="es-ES"/>
        </w:rPr>
        <w:t xml:space="preserve">    Secretario General</w:t>
      </w:r>
    </w:p>
    <w:p w:rsidR="00F87AFB" w:rsidP="620A7E17" w:rsidRDefault="00F87AFB" w14:paraId="1613312D" w14:textId="77777777">
      <w:pPr>
        <w:spacing w:after="0" w:line="360" w:lineRule="auto"/>
        <w:rPr>
          <w:rFonts w:ascii="Arial" w:hAnsi="Arial" w:eastAsia="Arial" w:cs="Arial"/>
          <w:color w:val="000000" w:themeColor="text1"/>
          <w:lang w:val="es-ES"/>
        </w:rPr>
      </w:pPr>
    </w:p>
    <w:p w:rsidR="7CAB9697" w:rsidP="620A7E17" w:rsidRDefault="5E6C13B1" w14:paraId="1EA3E67B" w14:textId="2A54E648">
      <w:pPr>
        <w:spacing w:after="0" w:line="360" w:lineRule="auto"/>
        <w:rPr>
          <w:rFonts w:ascii="Arial" w:hAnsi="Arial" w:eastAsia="Arial" w:cs="Arial"/>
          <w:color w:val="000000" w:themeColor="text1"/>
          <w:lang w:val="es-ES"/>
        </w:rPr>
      </w:pPr>
      <w:r w:rsidRPr="620A7E17">
        <w:rPr>
          <w:rFonts w:ascii="Arial" w:hAnsi="Arial" w:eastAsia="Arial" w:cs="Arial"/>
          <w:color w:val="000000" w:themeColor="text1"/>
          <w:lang w:val="es-ES"/>
        </w:rPr>
        <w:t xml:space="preserve">Diego Fernando Román Dueñas       </w:t>
      </w:r>
      <w:r w:rsidRPr="620A7E17">
        <w:rPr>
          <w:rFonts w:ascii="Arial" w:hAnsi="Arial" w:eastAsia="Arial" w:cs="Arial"/>
          <w:b/>
          <w:bCs/>
          <w:color w:val="000000" w:themeColor="text1"/>
          <w:lang w:val="es-ES"/>
        </w:rPr>
        <w:t>Director de Energía Eléctrica</w:t>
      </w:r>
    </w:p>
    <w:p w:rsidR="00F87AFB" w:rsidP="620A7E17" w:rsidRDefault="00F87AFB" w14:paraId="620A844A" w14:textId="77777777">
      <w:pPr>
        <w:spacing w:after="0" w:line="360" w:lineRule="auto"/>
        <w:rPr>
          <w:rFonts w:ascii="Arial" w:hAnsi="Arial" w:eastAsia="Arial" w:cs="Arial"/>
          <w:color w:val="000000" w:themeColor="text1"/>
          <w:lang w:val="es-ES"/>
        </w:rPr>
      </w:pPr>
    </w:p>
    <w:p w:rsidR="7CAB9697" w:rsidP="620A7E17" w:rsidRDefault="5E6C13B1" w14:paraId="4D2844B2" w14:textId="795236BA">
      <w:pPr>
        <w:spacing w:after="0" w:line="360" w:lineRule="auto"/>
        <w:rPr>
          <w:rFonts w:ascii="Arial" w:hAnsi="Arial" w:eastAsia="Arial" w:cs="Arial"/>
          <w:color w:val="000000" w:themeColor="text1"/>
          <w:lang w:val="es-ES"/>
        </w:rPr>
      </w:pPr>
      <w:r w:rsidRPr="620A7E17">
        <w:rPr>
          <w:rFonts w:ascii="Arial" w:hAnsi="Arial" w:eastAsia="Arial" w:cs="Arial"/>
          <w:color w:val="000000" w:themeColor="text1"/>
          <w:lang w:val="es-ES"/>
        </w:rPr>
        <w:t xml:space="preserve">Julián Flórez Quiroga                     </w:t>
      </w:r>
      <w:r w:rsidRPr="620A7E17">
        <w:rPr>
          <w:rFonts w:ascii="Arial" w:hAnsi="Arial" w:eastAsia="Arial" w:cs="Arial"/>
          <w:b/>
          <w:bCs/>
          <w:color w:val="000000" w:themeColor="text1"/>
          <w:lang w:val="es-ES"/>
        </w:rPr>
        <w:t>Director de Hidrocarburos</w:t>
      </w:r>
    </w:p>
    <w:p w:rsidR="00F87AFB" w:rsidP="620A7E17" w:rsidRDefault="00F87AFB" w14:paraId="3D9A3790" w14:textId="77777777">
      <w:pPr>
        <w:spacing w:after="0" w:line="360" w:lineRule="auto"/>
        <w:rPr>
          <w:rFonts w:ascii="Arial" w:hAnsi="Arial" w:eastAsia="Arial" w:cs="Arial"/>
          <w:color w:val="000000" w:themeColor="text1"/>
          <w:lang w:val="es-ES"/>
        </w:rPr>
      </w:pPr>
    </w:p>
    <w:p w:rsidR="7CAB9697" w:rsidP="620A7E17" w:rsidRDefault="5E6C13B1" w14:paraId="3C24631F" w14:textId="4881FB80">
      <w:pPr>
        <w:spacing w:after="0" w:line="360" w:lineRule="auto"/>
        <w:rPr>
          <w:rFonts w:ascii="Arial" w:hAnsi="Arial" w:eastAsia="Arial" w:cs="Arial"/>
          <w:color w:val="000000" w:themeColor="text1"/>
          <w:lang w:val="es-ES"/>
        </w:rPr>
      </w:pPr>
      <w:r w:rsidRPr="620A7E17">
        <w:rPr>
          <w:rFonts w:ascii="Arial" w:hAnsi="Arial" w:eastAsia="Arial" w:cs="Arial"/>
          <w:color w:val="000000" w:themeColor="text1"/>
          <w:lang w:val="es-ES"/>
        </w:rPr>
        <w:t xml:space="preserve">Andrea Feo Mahecha                    </w:t>
      </w:r>
      <w:r w:rsidRPr="620A7E17">
        <w:rPr>
          <w:rFonts w:ascii="Arial" w:hAnsi="Arial" w:eastAsia="Arial" w:cs="Arial"/>
          <w:b/>
          <w:bCs/>
          <w:color w:val="000000" w:themeColor="text1"/>
          <w:lang w:val="es-ES"/>
        </w:rPr>
        <w:t>Directora de Minería Empresarial</w:t>
      </w:r>
    </w:p>
    <w:p w:rsidR="00F87AFB" w:rsidP="620A7E17" w:rsidRDefault="00F87AFB" w14:paraId="568178DA" w14:textId="77777777">
      <w:pPr>
        <w:spacing w:after="0" w:line="360" w:lineRule="auto"/>
        <w:rPr>
          <w:rFonts w:ascii="Arial" w:hAnsi="Arial" w:eastAsia="Arial" w:cs="Arial"/>
          <w:color w:val="000000" w:themeColor="text1"/>
          <w:lang w:val="es-ES"/>
        </w:rPr>
      </w:pPr>
    </w:p>
    <w:p w:rsidR="7CAB9697" w:rsidP="620A7E17" w:rsidRDefault="5E6C13B1" w14:paraId="1B154B2E" w14:textId="605275E3">
      <w:pPr>
        <w:spacing w:after="0" w:line="360" w:lineRule="auto"/>
        <w:rPr>
          <w:rFonts w:ascii="Arial" w:hAnsi="Arial" w:eastAsia="Arial" w:cs="Arial"/>
          <w:color w:val="000000" w:themeColor="text1"/>
          <w:lang w:val="es-ES"/>
        </w:rPr>
      </w:pPr>
      <w:r w:rsidRPr="620A7E17">
        <w:rPr>
          <w:rFonts w:ascii="Arial" w:hAnsi="Arial" w:eastAsia="Arial" w:cs="Arial"/>
          <w:color w:val="000000" w:themeColor="text1"/>
          <w:lang w:val="es-ES"/>
        </w:rPr>
        <w:t xml:space="preserve">Alexander Reina Otero                   </w:t>
      </w:r>
      <w:r w:rsidRPr="620A7E17">
        <w:rPr>
          <w:rFonts w:ascii="Arial" w:hAnsi="Arial" w:eastAsia="Arial" w:cs="Arial"/>
          <w:b/>
          <w:bCs/>
          <w:color w:val="000000" w:themeColor="text1"/>
          <w:lang w:val="es-ES"/>
        </w:rPr>
        <w:t>Director de Formalización Minera</w:t>
      </w:r>
    </w:p>
    <w:p w:rsidR="00F87AFB" w:rsidP="620A7E17" w:rsidRDefault="00F87AFB" w14:paraId="49C203D5" w14:textId="77777777">
      <w:pPr>
        <w:spacing w:after="0" w:line="360" w:lineRule="auto"/>
        <w:rPr>
          <w:rFonts w:ascii="Arial" w:hAnsi="Arial" w:eastAsia="Arial" w:cs="Arial"/>
          <w:color w:val="000000" w:themeColor="text1"/>
          <w:lang w:val="es-ES"/>
        </w:rPr>
      </w:pPr>
    </w:p>
    <w:p w:rsidR="7CAB9697" w:rsidP="620A7E17" w:rsidRDefault="5E6C13B1" w14:paraId="3991A021" w14:textId="400638E8">
      <w:pPr>
        <w:spacing w:after="0" w:line="360" w:lineRule="auto"/>
        <w:rPr>
          <w:rFonts w:ascii="Arial" w:hAnsi="Arial" w:eastAsia="Arial" w:cs="Arial"/>
          <w:color w:val="000000" w:themeColor="text1"/>
          <w:lang w:val="es-ES"/>
        </w:rPr>
      </w:pPr>
      <w:r w:rsidRPr="620A7E17">
        <w:rPr>
          <w:rFonts w:ascii="Arial" w:hAnsi="Arial" w:eastAsia="Arial" w:cs="Arial"/>
          <w:color w:val="000000" w:themeColor="text1"/>
          <w:lang w:val="es-ES"/>
        </w:rPr>
        <w:t xml:space="preserve">Miguel Ángel Cardozo Tovar                 </w:t>
      </w:r>
      <w:r w:rsidRPr="620A7E17">
        <w:rPr>
          <w:rFonts w:ascii="Arial" w:hAnsi="Arial" w:eastAsia="Arial" w:cs="Arial"/>
          <w:b/>
          <w:bCs/>
          <w:color w:val="000000" w:themeColor="text1"/>
          <w:lang w:val="es-ES"/>
        </w:rPr>
        <w:t>Jefe Oficina de Planeación y Gestión Internacional</w:t>
      </w:r>
    </w:p>
    <w:p w:rsidR="00F87AFB" w:rsidP="620A7E17" w:rsidRDefault="00F87AFB" w14:paraId="024A6036" w14:textId="77777777">
      <w:pPr>
        <w:spacing w:after="0" w:line="360" w:lineRule="auto"/>
        <w:rPr>
          <w:rFonts w:ascii="Arial" w:hAnsi="Arial" w:eastAsia="Arial" w:cs="Arial"/>
          <w:color w:val="000000" w:themeColor="text1"/>
          <w:lang w:val="es-ES"/>
        </w:rPr>
      </w:pPr>
    </w:p>
    <w:p w:rsidR="7CAB9697" w:rsidP="620A7E17" w:rsidRDefault="5E6C13B1" w14:paraId="2C4C21C6" w14:textId="3319DD45">
      <w:pPr>
        <w:spacing w:after="0" w:line="360" w:lineRule="auto"/>
        <w:rPr>
          <w:rFonts w:ascii="Arial" w:hAnsi="Arial" w:eastAsia="Arial" w:cs="Arial"/>
          <w:color w:val="000000" w:themeColor="text1"/>
          <w:lang w:val="es-ES"/>
        </w:rPr>
      </w:pPr>
      <w:r w:rsidRPr="620A7E17">
        <w:rPr>
          <w:rFonts w:ascii="Arial" w:hAnsi="Arial" w:eastAsia="Arial" w:cs="Arial"/>
          <w:color w:val="000000" w:themeColor="text1"/>
          <w:lang w:val="es-ES"/>
        </w:rPr>
        <w:t xml:space="preserve">Daniel Augusto Jorge El Saieh Sánchez                                               </w:t>
      </w:r>
      <w:r w:rsidRPr="620A7E17">
        <w:rPr>
          <w:rFonts w:ascii="Arial" w:hAnsi="Arial" w:eastAsia="Arial" w:cs="Arial"/>
          <w:b/>
          <w:bCs/>
          <w:color w:val="000000" w:themeColor="text1"/>
          <w:lang w:val="es-ES"/>
        </w:rPr>
        <w:t>Jefe Oficina Asesora Jurídica</w:t>
      </w:r>
    </w:p>
    <w:p w:rsidR="00F87AFB" w:rsidP="620A7E17" w:rsidRDefault="00F87AFB" w14:paraId="5A0EAB89" w14:textId="77777777">
      <w:pPr>
        <w:spacing w:after="0" w:line="360" w:lineRule="auto"/>
        <w:rPr>
          <w:rFonts w:ascii="Arial" w:hAnsi="Arial" w:eastAsia="Arial" w:cs="Arial"/>
          <w:color w:val="000000" w:themeColor="text1"/>
          <w:lang w:val="es-ES"/>
        </w:rPr>
      </w:pPr>
    </w:p>
    <w:p w:rsidR="7CAB9697" w:rsidP="620A7E17" w:rsidRDefault="5E6C13B1" w14:paraId="4CF712DA" w14:textId="7A59974F">
      <w:pPr>
        <w:spacing w:after="0" w:line="360" w:lineRule="auto"/>
        <w:rPr>
          <w:rFonts w:ascii="Arial" w:hAnsi="Arial" w:eastAsia="Arial" w:cs="Arial"/>
          <w:color w:val="000000" w:themeColor="text1"/>
          <w:lang w:val="es-ES"/>
        </w:rPr>
      </w:pPr>
      <w:r w:rsidRPr="620A7E17">
        <w:rPr>
          <w:rFonts w:ascii="Arial" w:hAnsi="Arial" w:eastAsia="Arial" w:cs="Arial"/>
          <w:color w:val="000000" w:themeColor="text1"/>
          <w:lang w:val="es-ES"/>
        </w:rPr>
        <w:t xml:space="preserve">Juan Bernardo Rosado Duque             </w:t>
      </w:r>
      <w:r w:rsidRPr="620A7E17">
        <w:rPr>
          <w:rFonts w:ascii="Arial" w:hAnsi="Arial" w:eastAsia="Arial" w:cs="Arial"/>
          <w:b/>
          <w:bCs/>
          <w:color w:val="000000" w:themeColor="text1"/>
          <w:lang w:val="es-ES"/>
        </w:rPr>
        <w:t>Jefe Oficina de Asuntos Ambientales y Sociales</w:t>
      </w:r>
    </w:p>
    <w:p w:rsidR="00F87AFB" w:rsidP="620A7E17" w:rsidRDefault="00F87AFB" w14:paraId="0922F5B6" w14:textId="77777777">
      <w:pPr>
        <w:spacing w:after="0" w:line="360" w:lineRule="auto"/>
        <w:rPr>
          <w:rFonts w:ascii="Arial" w:hAnsi="Arial" w:eastAsia="Arial" w:cs="Arial"/>
          <w:color w:val="000000" w:themeColor="text1"/>
          <w:lang w:val="es-ES"/>
        </w:rPr>
      </w:pPr>
    </w:p>
    <w:p w:rsidR="7CAB9697" w:rsidP="620A7E17" w:rsidRDefault="5E6C13B1" w14:paraId="6B9E7A47" w14:textId="7FD77EA8">
      <w:pPr>
        <w:spacing w:after="0" w:line="360" w:lineRule="auto"/>
        <w:rPr>
          <w:rFonts w:ascii="Arial" w:hAnsi="Arial" w:eastAsia="Arial" w:cs="Arial"/>
          <w:color w:val="000000" w:themeColor="text1"/>
          <w:lang w:val="es-ES"/>
        </w:rPr>
      </w:pPr>
      <w:r w:rsidRPr="620A7E17">
        <w:rPr>
          <w:rFonts w:ascii="Arial" w:hAnsi="Arial" w:eastAsia="Arial" w:cs="Arial"/>
          <w:color w:val="000000" w:themeColor="text1"/>
          <w:lang w:val="es-ES"/>
        </w:rPr>
        <w:t>Juan Carlos Bedoya Ceballos</w:t>
      </w:r>
      <w:r w:rsidR="7CAB9697">
        <w:br/>
      </w:r>
      <w:r w:rsidRPr="620A7E17">
        <w:rPr>
          <w:rFonts w:ascii="Arial" w:hAnsi="Arial" w:eastAsia="Arial" w:cs="Arial"/>
          <w:b/>
          <w:bCs/>
          <w:color w:val="000000" w:themeColor="text1"/>
          <w:lang w:val="es-ES"/>
        </w:rPr>
        <w:t>Jefe Oficina de Asuntos Regulatorios y Empresariales</w:t>
      </w:r>
    </w:p>
    <w:p w:rsidR="00F87AFB" w:rsidP="620A7E17" w:rsidRDefault="00F87AFB" w14:paraId="2CB07960" w14:textId="77777777">
      <w:pPr>
        <w:spacing w:after="0" w:line="360" w:lineRule="auto"/>
        <w:rPr>
          <w:rFonts w:ascii="Arial" w:hAnsi="Arial" w:eastAsia="Arial" w:cs="Arial"/>
          <w:color w:val="000000" w:themeColor="text1"/>
          <w:lang w:val="es-ES"/>
        </w:rPr>
      </w:pPr>
    </w:p>
    <w:p w:rsidR="7CAB9697" w:rsidP="620A7E17" w:rsidRDefault="5E6C13B1" w14:paraId="4CE03F3E" w14:textId="1D38F234">
      <w:pPr>
        <w:spacing w:after="0" w:line="360" w:lineRule="auto"/>
        <w:rPr>
          <w:rFonts w:ascii="Arial" w:hAnsi="Arial" w:eastAsia="Arial" w:cs="Arial"/>
          <w:color w:val="000000" w:themeColor="text1"/>
          <w:lang w:val="es-ES"/>
        </w:rPr>
      </w:pPr>
      <w:r w:rsidRPr="620A7E17">
        <w:rPr>
          <w:rFonts w:ascii="Arial" w:hAnsi="Arial" w:eastAsia="Arial" w:cs="Arial"/>
          <w:color w:val="000000" w:themeColor="text1"/>
          <w:lang w:val="es-ES"/>
        </w:rPr>
        <w:t>Julie Andrea Soto Laverde</w:t>
      </w:r>
      <w:r w:rsidR="7CAB9697">
        <w:br/>
      </w:r>
      <w:r w:rsidRPr="620A7E17">
        <w:rPr>
          <w:rFonts w:ascii="Arial" w:hAnsi="Arial" w:eastAsia="Arial" w:cs="Arial"/>
          <w:b/>
          <w:bCs/>
          <w:color w:val="000000" w:themeColor="text1"/>
          <w:lang w:val="es-ES"/>
        </w:rPr>
        <w:t>Jefe Oficina de Control Interno</w:t>
      </w:r>
    </w:p>
    <w:p w:rsidR="00F87AFB" w:rsidP="0FF05B1B" w:rsidRDefault="00F87AFB" w14:paraId="25F5C9DC" w14:textId="77777777">
      <w:pPr>
        <w:spacing w:after="0" w:line="360" w:lineRule="auto"/>
        <w:rPr>
          <w:rFonts w:ascii="Arial" w:hAnsi="Arial" w:eastAsia="Arial" w:cs="Arial"/>
          <w:color w:val="000000" w:themeColor="text1"/>
          <w:lang w:val="es-ES"/>
        </w:rPr>
      </w:pPr>
    </w:p>
    <w:p w:rsidR="00F87AFB" w:rsidP="0FF05B1B" w:rsidRDefault="5E6C13B1" w14:paraId="01B64E35" w14:textId="77777777">
      <w:pPr>
        <w:spacing w:after="0" w:line="360" w:lineRule="auto"/>
        <w:rPr>
          <w:rFonts w:ascii="Arial" w:hAnsi="Arial" w:eastAsia="Arial" w:cs="Arial"/>
          <w:color w:val="000000" w:themeColor="text1"/>
          <w:lang w:val="es-ES"/>
        </w:rPr>
      </w:pPr>
      <w:r w:rsidRPr="620A7E17">
        <w:rPr>
          <w:rFonts w:ascii="Arial" w:hAnsi="Arial" w:eastAsia="Arial" w:cs="Arial"/>
          <w:color w:val="000000" w:themeColor="text1"/>
          <w:lang w:val="es-ES"/>
        </w:rPr>
        <w:t>Beatriz España Niebles</w:t>
      </w:r>
      <w:r w:rsidR="7CAB9697">
        <w:br/>
      </w:r>
      <w:r w:rsidRPr="620A7E17">
        <w:rPr>
          <w:rFonts w:ascii="Arial" w:hAnsi="Arial" w:eastAsia="Arial" w:cs="Arial"/>
          <w:b/>
          <w:bCs/>
          <w:color w:val="000000" w:themeColor="text1"/>
          <w:lang w:val="es-ES"/>
        </w:rPr>
        <w:t>Jefe Oficina de Control Disciplinario Interno</w:t>
      </w:r>
      <w:r w:rsidRPr="620A7E17">
        <w:rPr>
          <w:rFonts w:ascii="Arial" w:hAnsi="Arial" w:eastAsia="Arial" w:cs="Arial"/>
          <w:color w:val="000000" w:themeColor="text1"/>
          <w:lang w:val="es-ES"/>
        </w:rPr>
        <w:t xml:space="preserve">                                                                                                                        </w:t>
      </w:r>
    </w:p>
    <w:p w:rsidR="00F87AFB" w:rsidP="0FF05B1B" w:rsidRDefault="00F87AFB" w14:paraId="2215FC7E" w14:textId="77777777">
      <w:pPr>
        <w:spacing w:after="0" w:line="360" w:lineRule="auto"/>
        <w:rPr>
          <w:rFonts w:ascii="Arial" w:hAnsi="Arial" w:eastAsia="Arial" w:cs="Arial"/>
          <w:color w:val="000000" w:themeColor="text1"/>
          <w:lang w:val="es-ES"/>
        </w:rPr>
      </w:pPr>
    </w:p>
    <w:p w:rsidR="7CAB9697" w:rsidP="0FF05B1B" w:rsidRDefault="5E6C13B1" w14:paraId="7DD574C2" w14:textId="49E2EFCA">
      <w:pPr>
        <w:spacing w:after="0" w:line="360" w:lineRule="auto"/>
      </w:pPr>
      <w:r w:rsidRPr="620A7E17">
        <w:rPr>
          <w:rFonts w:ascii="Arial" w:hAnsi="Arial" w:eastAsia="Arial" w:cs="Arial"/>
          <w:color w:val="000000" w:themeColor="text1"/>
          <w:lang w:val="es-ES"/>
        </w:rPr>
        <w:t xml:space="preserve">Pablo César Pacheco Rodríguez    </w:t>
      </w:r>
      <w:r w:rsidRPr="620A7E17">
        <w:rPr>
          <w:rFonts w:ascii="Arial" w:hAnsi="Arial" w:eastAsia="Arial" w:cs="Arial"/>
          <w:b/>
          <w:bCs/>
          <w:color w:val="000000" w:themeColor="text1"/>
          <w:lang w:val="es-ES"/>
        </w:rPr>
        <w:t>Subdirector Administrativo y Financiero</w:t>
      </w:r>
    </w:p>
    <w:p w:rsidR="7CAB9697" w:rsidP="620A7E17" w:rsidRDefault="7CAB9697" w14:paraId="356339A0" w14:textId="22033105">
      <w:pPr>
        <w:spacing w:after="0" w:line="360" w:lineRule="auto"/>
        <w:rPr>
          <w:rFonts w:ascii="Arial" w:hAnsi="Arial" w:eastAsia="Arial" w:cs="Arial"/>
          <w:b/>
          <w:bCs/>
          <w:color w:val="000000" w:themeColor="text1"/>
          <w:lang w:val="es-ES"/>
        </w:rPr>
      </w:pPr>
    </w:p>
    <w:p w:rsidR="7CAB9697" w:rsidP="620A7E17" w:rsidRDefault="5E6C13B1" w14:paraId="5C283CF2" w14:textId="6F36669B">
      <w:pPr>
        <w:spacing w:after="0" w:line="360" w:lineRule="auto"/>
        <w:rPr>
          <w:rFonts w:ascii="Arial" w:hAnsi="Arial" w:eastAsia="Arial" w:cs="Arial"/>
          <w:color w:val="000000" w:themeColor="text1"/>
          <w:lang w:val="es-ES"/>
        </w:rPr>
      </w:pPr>
      <w:r w:rsidRPr="620A7E17">
        <w:rPr>
          <w:rFonts w:ascii="Arial" w:hAnsi="Arial" w:eastAsia="Arial" w:cs="Arial"/>
          <w:color w:val="000000" w:themeColor="text1"/>
          <w:lang w:val="es-ES"/>
        </w:rPr>
        <w:t>Sandra Milena Rodríguez Ramírez</w:t>
      </w:r>
      <w:r w:rsidR="7CAB9697">
        <w:br/>
      </w:r>
      <w:r w:rsidRPr="620A7E17">
        <w:rPr>
          <w:rFonts w:ascii="Arial" w:hAnsi="Arial" w:eastAsia="Arial" w:cs="Arial"/>
          <w:b/>
          <w:bCs/>
          <w:color w:val="000000" w:themeColor="text1"/>
          <w:lang w:val="es-ES"/>
        </w:rPr>
        <w:t xml:space="preserve">Subdirectora de Talento Humano </w:t>
      </w:r>
    </w:p>
    <w:p w:rsidR="00F87AFB" w:rsidP="620A7E17" w:rsidRDefault="00F87AFB" w14:paraId="298BF3F2" w14:textId="77777777">
      <w:pPr>
        <w:spacing w:after="0" w:line="360" w:lineRule="auto"/>
        <w:rPr>
          <w:rFonts w:ascii="Arial" w:hAnsi="Arial" w:eastAsia="Arial" w:cs="Arial"/>
          <w:color w:val="000000" w:themeColor="text1"/>
          <w:lang w:val="es-ES"/>
        </w:rPr>
      </w:pPr>
    </w:p>
    <w:p w:rsidR="7CAB9697" w:rsidP="620A7E17" w:rsidRDefault="5E6C13B1" w14:paraId="520E4023" w14:textId="40842BAA">
      <w:pPr>
        <w:spacing w:after="0" w:line="360" w:lineRule="auto"/>
        <w:rPr>
          <w:rFonts w:ascii="Arial" w:hAnsi="Arial" w:eastAsia="Arial" w:cs="Arial"/>
          <w:color w:val="000000" w:themeColor="text1"/>
          <w:lang w:val="es-ES"/>
        </w:rPr>
      </w:pPr>
      <w:r w:rsidRPr="620A7E17">
        <w:rPr>
          <w:rFonts w:ascii="Arial" w:hAnsi="Arial" w:eastAsia="Arial" w:cs="Arial"/>
          <w:color w:val="000000" w:themeColor="text1"/>
          <w:lang w:val="es-ES"/>
        </w:rPr>
        <w:t xml:space="preserve">Ludwing Francisco Gómez                      </w:t>
      </w:r>
      <w:r w:rsidRPr="620A7E17">
        <w:rPr>
          <w:rFonts w:ascii="Arial" w:hAnsi="Arial" w:eastAsia="Arial" w:cs="Arial"/>
          <w:b/>
          <w:bCs/>
          <w:color w:val="000000" w:themeColor="text1"/>
          <w:lang w:val="es-ES"/>
        </w:rPr>
        <w:t>Jefe Grupo de Regalías</w:t>
      </w:r>
      <w:r w:rsidRPr="620A7E17">
        <w:rPr>
          <w:rFonts w:ascii="Arial" w:hAnsi="Arial" w:eastAsia="Arial" w:cs="Arial"/>
          <w:color w:val="000000" w:themeColor="text1"/>
          <w:lang w:val="es-ES"/>
        </w:rPr>
        <w:t xml:space="preserve"> </w:t>
      </w:r>
    </w:p>
    <w:p w:rsidR="00F87AFB" w:rsidP="620A7E17" w:rsidRDefault="00F87AFB" w14:paraId="04EB6E0A" w14:textId="77777777">
      <w:pPr>
        <w:spacing w:after="0" w:line="360" w:lineRule="auto"/>
        <w:rPr>
          <w:rFonts w:ascii="Arial" w:hAnsi="Arial" w:eastAsia="Arial" w:cs="Arial"/>
          <w:color w:val="000000" w:themeColor="text1"/>
          <w:lang w:val="es-ES"/>
        </w:rPr>
      </w:pPr>
    </w:p>
    <w:p w:rsidR="7CAB9697" w:rsidP="620A7E17" w:rsidRDefault="5E6C13B1" w14:paraId="2C6BE602" w14:textId="791A66EC">
      <w:pPr>
        <w:spacing w:after="0" w:line="360" w:lineRule="auto"/>
        <w:rPr>
          <w:rFonts w:ascii="Arial" w:hAnsi="Arial" w:eastAsia="Arial" w:cs="Arial"/>
          <w:color w:val="000000" w:themeColor="text1"/>
          <w:lang w:val="es-ES"/>
        </w:rPr>
      </w:pPr>
      <w:r w:rsidRPr="620A7E17">
        <w:rPr>
          <w:rFonts w:ascii="Arial" w:hAnsi="Arial" w:eastAsia="Arial" w:cs="Arial"/>
          <w:color w:val="000000" w:themeColor="text1"/>
          <w:lang w:val="es-ES"/>
        </w:rPr>
        <w:t>David Alexander Cárdenas Díaz</w:t>
      </w:r>
      <w:r w:rsidRPr="620A7E17">
        <w:rPr>
          <w:rFonts w:ascii="Arial" w:hAnsi="Arial" w:eastAsia="Arial" w:cs="Arial"/>
          <w:b/>
          <w:bCs/>
          <w:color w:val="000000" w:themeColor="text1"/>
          <w:lang w:val="es-ES"/>
        </w:rPr>
        <w:t xml:space="preserve">  Coordinador Grupo de Asuntos Legislativos</w:t>
      </w:r>
    </w:p>
    <w:p w:rsidR="00F87AFB" w:rsidP="620A7E17" w:rsidRDefault="00F87AFB" w14:paraId="4922F11F" w14:textId="77777777">
      <w:pPr>
        <w:spacing w:after="0" w:line="360" w:lineRule="auto"/>
        <w:rPr>
          <w:rFonts w:ascii="Arial" w:hAnsi="Arial" w:eastAsia="Arial" w:cs="Arial"/>
          <w:color w:val="000000" w:themeColor="text1"/>
          <w:lang w:val="es-ES"/>
        </w:rPr>
      </w:pPr>
    </w:p>
    <w:p w:rsidR="7CAB9697" w:rsidP="620A7E17" w:rsidRDefault="5E6C13B1" w14:paraId="1EF7E8DC" w14:textId="56E92450">
      <w:pPr>
        <w:spacing w:after="0" w:line="360" w:lineRule="auto"/>
        <w:rPr>
          <w:rFonts w:ascii="Arial" w:hAnsi="Arial" w:eastAsia="Arial" w:cs="Arial"/>
          <w:color w:val="000000" w:themeColor="text1"/>
          <w:lang w:val="es-ES"/>
        </w:rPr>
      </w:pPr>
      <w:r w:rsidRPr="620A7E17">
        <w:rPr>
          <w:rFonts w:ascii="Arial" w:hAnsi="Arial" w:eastAsia="Arial" w:cs="Arial"/>
          <w:color w:val="000000" w:themeColor="text1"/>
          <w:lang w:val="es-ES"/>
        </w:rPr>
        <w:t>Yeferson Hugo Peñalosa Riay</w:t>
      </w:r>
    </w:p>
    <w:p w:rsidR="7CAB9697" w:rsidP="620A7E17" w:rsidRDefault="5E6C13B1" w14:paraId="74988D3A" w14:textId="06E6A721">
      <w:pPr>
        <w:spacing w:after="0" w:line="360" w:lineRule="auto"/>
        <w:rPr>
          <w:rFonts w:ascii="Arial" w:hAnsi="Arial" w:eastAsia="Arial" w:cs="Arial"/>
          <w:color w:val="000000" w:themeColor="text1"/>
          <w:lang w:val="es-ES"/>
        </w:rPr>
      </w:pPr>
      <w:r w:rsidRPr="620A7E17">
        <w:rPr>
          <w:rFonts w:ascii="Arial" w:hAnsi="Arial" w:eastAsia="Arial" w:cs="Arial"/>
          <w:b/>
          <w:bCs/>
          <w:color w:val="000000" w:themeColor="text1"/>
          <w:lang w:val="es-ES"/>
        </w:rPr>
        <w:t>Grupo de Iniciativas Estratégicas y Portafolio</w:t>
      </w:r>
    </w:p>
    <w:p w:rsidR="00F87AFB" w:rsidP="620A7E17" w:rsidRDefault="00F87AFB" w14:paraId="354CD69F" w14:textId="77777777">
      <w:pPr>
        <w:spacing w:after="0" w:line="360" w:lineRule="auto"/>
        <w:rPr>
          <w:rFonts w:ascii="Arial" w:hAnsi="Arial" w:eastAsia="Arial" w:cs="Arial"/>
          <w:color w:val="000000" w:themeColor="text1"/>
          <w:lang w:val="es-ES"/>
        </w:rPr>
        <w:sectPr w:rsidR="00F87AFB" w:rsidSect="00770ECF">
          <w:footerReference w:type="default" r:id="rId11"/>
          <w:type w:val="continuous"/>
          <w:pgSz w:w="12240" w:h="15840" w:orient="portrait"/>
          <w:pgMar w:top="1417" w:right="1701" w:bottom="1417" w:left="1701" w:header="708" w:footer="708" w:gutter="0"/>
          <w:cols w:space="708" w:num="2"/>
          <w:docGrid w:linePitch="360"/>
        </w:sectPr>
      </w:pPr>
    </w:p>
    <w:p w:rsidR="7CAB9697" w:rsidP="620A7E17" w:rsidRDefault="5E6C13B1" w14:paraId="2858738E" w14:textId="46411296">
      <w:pPr>
        <w:spacing w:after="0" w:line="360" w:lineRule="auto"/>
        <w:rPr>
          <w:rFonts w:ascii="Arial" w:hAnsi="Arial" w:eastAsia="Arial" w:cs="Arial"/>
          <w:color w:val="000000" w:themeColor="text1"/>
          <w:lang w:val="es-ES"/>
        </w:rPr>
      </w:pPr>
      <w:r w:rsidRPr="620A7E17">
        <w:rPr>
          <w:rFonts w:ascii="Arial" w:hAnsi="Arial" w:eastAsia="Arial" w:cs="Arial"/>
          <w:color w:val="000000" w:themeColor="text1"/>
          <w:lang w:val="es-ES"/>
        </w:rPr>
        <w:t>Laura Vanessa Gómez Charris</w:t>
      </w:r>
      <w:r w:rsidR="7CAB9697">
        <w:br/>
      </w:r>
      <w:r w:rsidRPr="620A7E17">
        <w:rPr>
          <w:rFonts w:ascii="Arial" w:hAnsi="Arial" w:eastAsia="Arial" w:cs="Arial"/>
          <w:b/>
          <w:bCs/>
          <w:color w:val="000000" w:themeColor="text1"/>
          <w:lang w:val="es-ES"/>
        </w:rPr>
        <w:t>Coordinadora Grupo de Comunicación y Prensa</w:t>
      </w:r>
    </w:p>
    <w:p w:rsidR="00F87AFB" w:rsidP="620A7E17" w:rsidRDefault="00F87AFB" w14:paraId="0FD8DC2C" w14:textId="77777777">
      <w:pPr>
        <w:spacing w:after="0" w:line="360" w:lineRule="auto"/>
        <w:rPr>
          <w:rFonts w:ascii="Arial" w:hAnsi="Arial" w:eastAsia="Arial" w:cs="Arial"/>
          <w:color w:val="000000" w:themeColor="text1"/>
          <w:lang w:val="es-ES"/>
        </w:rPr>
      </w:pPr>
    </w:p>
    <w:p w:rsidR="7CAB9697" w:rsidP="620A7E17" w:rsidRDefault="5E6C13B1" w14:paraId="7C67962B" w14:textId="5C8906DB">
      <w:pPr>
        <w:spacing w:after="0" w:line="360" w:lineRule="auto"/>
        <w:rPr>
          <w:rFonts w:ascii="Arial" w:hAnsi="Arial" w:eastAsia="Arial" w:cs="Arial"/>
          <w:color w:val="000000" w:themeColor="text1"/>
          <w:lang w:val="es-ES"/>
        </w:rPr>
      </w:pPr>
      <w:r w:rsidRPr="620A7E17">
        <w:rPr>
          <w:rFonts w:ascii="Arial" w:hAnsi="Arial" w:eastAsia="Arial" w:cs="Arial"/>
          <w:color w:val="000000" w:themeColor="text1"/>
          <w:lang w:val="es-ES"/>
        </w:rPr>
        <w:t xml:space="preserve">Jimmy Andrés Castellanos Carrillo   </w:t>
      </w:r>
      <w:r w:rsidRPr="620A7E17">
        <w:rPr>
          <w:rFonts w:ascii="Arial" w:hAnsi="Arial" w:eastAsia="Arial" w:cs="Arial"/>
          <w:b/>
          <w:bCs/>
          <w:color w:val="000000" w:themeColor="text1"/>
          <w:lang w:val="es-ES"/>
        </w:rPr>
        <w:t>Coordinador Grupo de Tecnologías de la Información y las Comunicaciones</w:t>
      </w:r>
    </w:p>
    <w:p w:rsidR="00F87AFB" w:rsidP="620A7E17" w:rsidRDefault="00F87AFB" w14:paraId="00DED9EB" w14:textId="77777777">
      <w:pPr>
        <w:spacing w:after="0" w:line="360" w:lineRule="auto"/>
        <w:rPr>
          <w:rFonts w:ascii="Arial" w:hAnsi="Arial" w:eastAsia="Arial" w:cs="Arial"/>
          <w:color w:val="000000" w:themeColor="text1"/>
          <w:lang w:val="es-ES"/>
        </w:rPr>
      </w:pPr>
    </w:p>
    <w:p w:rsidR="7CAB9697" w:rsidP="620A7E17" w:rsidRDefault="5E6C13B1" w14:paraId="25D452C0" w14:textId="0D834AF2">
      <w:pPr>
        <w:spacing w:after="0" w:line="360" w:lineRule="auto"/>
        <w:rPr>
          <w:rFonts w:ascii="Arial" w:hAnsi="Arial" w:eastAsia="Arial" w:cs="Arial"/>
          <w:color w:val="000000" w:themeColor="text1"/>
          <w:lang w:val="es-ES"/>
        </w:rPr>
      </w:pPr>
      <w:r w:rsidRPr="620A7E17">
        <w:rPr>
          <w:rFonts w:ascii="Arial" w:hAnsi="Arial" w:eastAsia="Arial" w:cs="Arial"/>
          <w:color w:val="000000" w:themeColor="text1"/>
          <w:lang w:val="es-ES"/>
        </w:rPr>
        <w:t>Jenny Constanza Nova Martínez</w:t>
      </w:r>
      <w:r w:rsidRPr="620A7E17">
        <w:rPr>
          <w:rFonts w:ascii="Arial" w:hAnsi="Arial" w:eastAsia="Arial" w:cs="Arial"/>
          <w:b/>
          <w:bCs/>
          <w:color w:val="000000" w:themeColor="text1"/>
          <w:lang w:val="es-ES"/>
        </w:rPr>
        <w:t xml:space="preserve">   Coordinadora Grupo de Relacionamiento con el Ciudadano y Gestión de la Información</w:t>
      </w:r>
    </w:p>
    <w:p w:rsidR="00F87AFB" w:rsidP="620A7E17" w:rsidRDefault="00F87AFB" w14:paraId="34D4F5A0" w14:textId="77777777">
      <w:pPr>
        <w:spacing w:after="0" w:line="360" w:lineRule="auto"/>
        <w:rPr>
          <w:rFonts w:ascii="Arial" w:hAnsi="Arial" w:eastAsia="Arial" w:cs="Arial"/>
          <w:color w:val="000000" w:themeColor="text1"/>
          <w:lang w:val="es-ES"/>
        </w:rPr>
      </w:pPr>
    </w:p>
    <w:p w:rsidR="00F87AFB" w:rsidP="620A7E17" w:rsidRDefault="5E6C13B1" w14:paraId="3478E2E4" w14:textId="77777777">
      <w:pPr>
        <w:spacing w:after="0" w:line="360" w:lineRule="auto"/>
        <w:rPr>
          <w:rFonts w:ascii="Arial" w:hAnsi="Arial" w:eastAsia="Arial" w:cs="Arial"/>
          <w:b/>
          <w:bCs/>
          <w:color w:val="000000" w:themeColor="text1"/>
          <w:lang w:val="es-ES"/>
        </w:rPr>
      </w:pPr>
      <w:r w:rsidRPr="620A7E17">
        <w:rPr>
          <w:rFonts w:ascii="Arial" w:hAnsi="Arial" w:eastAsia="Arial" w:cs="Arial"/>
          <w:color w:val="000000" w:themeColor="text1"/>
          <w:lang w:val="es-ES"/>
        </w:rPr>
        <w:t xml:space="preserve">Lelis Francisco Forero Sánchez </w:t>
      </w:r>
      <w:r w:rsidRPr="620A7E17">
        <w:rPr>
          <w:rFonts w:ascii="Arial" w:hAnsi="Arial" w:eastAsia="Arial" w:cs="Arial"/>
          <w:b/>
          <w:bCs/>
          <w:color w:val="000000" w:themeColor="text1"/>
          <w:lang w:val="es-ES"/>
        </w:rPr>
        <w:t xml:space="preserve">      Coordinador Grupo de Jurisdicción Coactiva</w:t>
      </w:r>
      <w:r w:rsidR="7CAB9697">
        <w:br/>
      </w:r>
      <w:r w:rsidR="7CAB9697">
        <w:br/>
      </w:r>
      <w:r w:rsidRPr="620A7E17">
        <w:rPr>
          <w:rFonts w:ascii="Arial" w:hAnsi="Arial" w:eastAsia="Arial" w:cs="Arial"/>
          <w:b/>
          <w:bCs/>
          <w:color w:val="000000" w:themeColor="text1"/>
          <w:lang w:val="es-ES"/>
        </w:rPr>
        <w:t xml:space="preserve">Bogotá D.C., Colombia                  </w:t>
      </w:r>
    </w:p>
    <w:p w:rsidRPr="00F87AFB" w:rsidR="7CAB9697" w:rsidP="620A7E17" w:rsidRDefault="5E6C13B1" w14:paraId="23E987C0" w14:textId="5D08C4F5">
      <w:pPr>
        <w:spacing w:after="0" w:line="360" w:lineRule="auto"/>
      </w:pPr>
      <w:r w:rsidRPr="620A7E17">
        <w:rPr>
          <w:rFonts w:ascii="Arial" w:hAnsi="Arial" w:eastAsia="Arial" w:cs="Arial"/>
          <w:b/>
          <w:bCs/>
          <w:color w:val="000000" w:themeColor="text1"/>
          <w:lang w:val="es-ES"/>
        </w:rPr>
        <w:t>Ju</w:t>
      </w:r>
      <w:r w:rsidR="00F87AFB">
        <w:rPr>
          <w:rFonts w:ascii="Arial" w:hAnsi="Arial" w:eastAsia="Arial" w:cs="Arial"/>
          <w:b/>
          <w:bCs/>
          <w:color w:val="000000" w:themeColor="text1"/>
          <w:lang w:val="es-ES"/>
        </w:rPr>
        <w:t>l</w:t>
      </w:r>
      <w:r w:rsidRPr="620A7E17">
        <w:rPr>
          <w:rFonts w:ascii="Arial" w:hAnsi="Arial" w:eastAsia="Arial" w:cs="Arial"/>
          <w:b/>
          <w:bCs/>
          <w:color w:val="000000" w:themeColor="text1"/>
          <w:lang w:val="es-ES"/>
        </w:rPr>
        <w:t>io, 2026</w:t>
      </w:r>
    </w:p>
    <w:p w:rsidR="7CAB9697" w:rsidP="0FF05B1B" w:rsidRDefault="7CAB9697" w14:paraId="2FF7979C" w14:textId="5E26787C">
      <w:pPr>
        <w:spacing w:after="0" w:line="360" w:lineRule="auto"/>
        <w:rPr>
          <w:rFonts w:ascii="Verdana" w:hAnsi="Verdana"/>
          <w:sz w:val="24"/>
          <w:szCs w:val="24"/>
        </w:rPr>
      </w:pPr>
    </w:p>
    <w:p w:rsidR="620A7E17" w:rsidP="620A7E17" w:rsidRDefault="620A7E17" w14:paraId="00E4ACD2" w14:textId="650355CF">
      <w:pPr>
        <w:spacing w:after="0" w:line="360" w:lineRule="auto"/>
        <w:rPr>
          <w:rFonts w:ascii="Verdana" w:hAnsi="Verdana"/>
          <w:sz w:val="24"/>
          <w:szCs w:val="24"/>
        </w:rPr>
      </w:pPr>
    </w:p>
    <w:p w:rsidR="00F87AFB" w:rsidP="620A7E17" w:rsidRDefault="00F87AFB" w14:paraId="5DBB1375" w14:textId="77777777">
      <w:pPr>
        <w:spacing w:after="0" w:line="360" w:lineRule="auto"/>
        <w:rPr>
          <w:rFonts w:ascii="Verdana" w:hAnsi="Verdana"/>
          <w:sz w:val="24"/>
          <w:szCs w:val="24"/>
        </w:rPr>
      </w:pPr>
    </w:p>
    <w:p w:rsidR="00F87AFB" w:rsidP="620A7E17" w:rsidRDefault="00F87AFB" w14:paraId="59B82537" w14:textId="77777777">
      <w:pPr>
        <w:spacing w:after="0" w:line="360" w:lineRule="auto"/>
        <w:rPr>
          <w:rFonts w:ascii="Verdana" w:hAnsi="Verdana"/>
          <w:sz w:val="24"/>
          <w:szCs w:val="24"/>
        </w:rPr>
      </w:pPr>
    </w:p>
    <w:p w:rsidR="00F87AFB" w:rsidP="620A7E17" w:rsidRDefault="00F87AFB" w14:paraId="5FD26DB2" w14:textId="77777777">
      <w:pPr>
        <w:spacing w:after="0" w:line="360" w:lineRule="auto"/>
        <w:rPr>
          <w:rFonts w:ascii="Verdana" w:hAnsi="Verdana"/>
          <w:sz w:val="24"/>
          <w:szCs w:val="24"/>
        </w:rPr>
        <w:sectPr w:rsidR="00F87AFB" w:rsidSect="00F87AFB">
          <w:type w:val="continuous"/>
          <w:pgSz w:w="12240" w:h="15840" w:orient="portrait"/>
          <w:pgMar w:top="1417" w:right="1701" w:bottom="1417" w:left="1701" w:header="708" w:footer="708" w:gutter="0"/>
          <w:cols w:space="708" w:num="2"/>
          <w:docGrid w:linePitch="360"/>
        </w:sectPr>
      </w:pPr>
    </w:p>
    <w:p w:rsidR="00F87AFB" w:rsidP="620A7E17" w:rsidRDefault="00F87AFB" w14:paraId="17CBBC6C" w14:textId="77777777">
      <w:pPr>
        <w:spacing w:after="0" w:line="360" w:lineRule="auto"/>
        <w:rPr>
          <w:rFonts w:ascii="Verdana" w:hAnsi="Verdana"/>
          <w:sz w:val="24"/>
          <w:szCs w:val="24"/>
        </w:rPr>
      </w:pPr>
    </w:p>
    <w:p w:rsidR="00F87AFB" w:rsidP="620A7E17" w:rsidRDefault="00F87AFB" w14:paraId="1DEBABA6" w14:textId="77777777">
      <w:pPr>
        <w:spacing w:after="0" w:line="360" w:lineRule="auto"/>
        <w:rPr>
          <w:rFonts w:ascii="Verdana" w:hAnsi="Verdana"/>
          <w:sz w:val="24"/>
          <w:szCs w:val="24"/>
        </w:rPr>
      </w:pPr>
    </w:p>
    <w:p w:rsidR="00F87AFB" w:rsidP="620A7E17" w:rsidRDefault="00F87AFB" w14:paraId="1F8ECA6E" w14:textId="77777777">
      <w:pPr>
        <w:spacing w:after="0" w:line="360" w:lineRule="auto"/>
        <w:rPr>
          <w:rFonts w:ascii="Verdana" w:hAnsi="Verdana"/>
          <w:sz w:val="24"/>
          <w:szCs w:val="24"/>
        </w:rPr>
      </w:pPr>
    </w:p>
    <w:p w:rsidR="00F87AFB" w:rsidP="620A7E17" w:rsidRDefault="00F87AFB" w14:paraId="33043AF2" w14:textId="77777777">
      <w:pPr>
        <w:spacing w:after="0" w:line="360" w:lineRule="auto"/>
        <w:rPr>
          <w:rFonts w:ascii="Verdana" w:hAnsi="Verdana"/>
          <w:sz w:val="24"/>
          <w:szCs w:val="24"/>
        </w:rPr>
      </w:pPr>
    </w:p>
    <w:p w:rsidR="00F87AFB" w:rsidP="620A7E17" w:rsidRDefault="00F87AFB" w14:paraId="3795A641" w14:textId="77777777">
      <w:pPr>
        <w:spacing w:after="0" w:line="360" w:lineRule="auto"/>
        <w:rPr>
          <w:rFonts w:ascii="Verdana" w:hAnsi="Verdana"/>
          <w:sz w:val="24"/>
          <w:szCs w:val="24"/>
        </w:rPr>
      </w:pPr>
    </w:p>
    <w:p w:rsidR="00F87AFB" w:rsidP="620A7E17" w:rsidRDefault="00F87AFB" w14:paraId="45C1F0B6" w14:textId="77777777">
      <w:pPr>
        <w:spacing w:after="0" w:line="360" w:lineRule="auto"/>
        <w:rPr>
          <w:rFonts w:ascii="Verdana" w:hAnsi="Verdana"/>
          <w:sz w:val="24"/>
          <w:szCs w:val="24"/>
        </w:rPr>
      </w:pPr>
    </w:p>
    <w:p w:rsidR="00F87AFB" w:rsidP="620A7E17" w:rsidRDefault="00F87AFB" w14:paraId="70169B36" w14:textId="77777777">
      <w:pPr>
        <w:spacing w:after="0" w:line="360" w:lineRule="auto"/>
        <w:rPr>
          <w:rFonts w:ascii="Verdana" w:hAnsi="Verdana"/>
          <w:sz w:val="24"/>
          <w:szCs w:val="24"/>
        </w:rPr>
      </w:pPr>
    </w:p>
    <w:p w:rsidR="00F87AFB" w:rsidP="620A7E17" w:rsidRDefault="00F87AFB" w14:paraId="69858295" w14:textId="77777777">
      <w:pPr>
        <w:spacing w:after="0" w:line="360" w:lineRule="auto"/>
        <w:rPr>
          <w:rFonts w:ascii="Verdana" w:hAnsi="Verdana"/>
          <w:sz w:val="24"/>
          <w:szCs w:val="24"/>
        </w:rPr>
      </w:pPr>
    </w:p>
    <w:p w:rsidR="00F87AFB" w:rsidP="620A7E17" w:rsidRDefault="00F87AFB" w14:paraId="1E81C110" w14:textId="77777777">
      <w:pPr>
        <w:spacing w:after="0" w:line="360" w:lineRule="auto"/>
        <w:rPr>
          <w:rFonts w:ascii="Verdana" w:hAnsi="Verdana"/>
          <w:sz w:val="24"/>
          <w:szCs w:val="24"/>
        </w:rPr>
      </w:pPr>
    </w:p>
    <w:p w:rsidR="00F87AFB" w:rsidP="620A7E17" w:rsidRDefault="00F87AFB" w14:paraId="6C28E0BC" w14:textId="77777777">
      <w:pPr>
        <w:spacing w:after="0" w:line="360" w:lineRule="auto"/>
        <w:rPr>
          <w:rFonts w:ascii="Verdana" w:hAnsi="Verdana"/>
          <w:sz w:val="24"/>
          <w:szCs w:val="24"/>
        </w:rPr>
      </w:pPr>
    </w:p>
    <w:p w:rsidR="00F87AFB" w:rsidP="620A7E17" w:rsidRDefault="00F87AFB" w14:paraId="4A3B141E" w14:textId="77777777">
      <w:pPr>
        <w:spacing w:after="0" w:line="360" w:lineRule="auto"/>
        <w:rPr>
          <w:rFonts w:ascii="Verdana" w:hAnsi="Verdana"/>
          <w:sz w:val="24"/>
          <w:szCs w:val="24"/>
        </w:rPr>
      </w:pPr>
    </w:p>
    <w:p w:rsidR="00F87AFB" w:rsidP="620A7E17" w:rsidRDefault="00F87AFB" w14:paraId="533FEC44" w14:textId="77777777">
      <w:pPr>
        <w:spacing w:after="0" w:line="360" w:lineRule="auto"/>
        <w:rPr>
          <w:rFonts w:ascii="Verdana" w:hAnsi="Verdana"/>
          <w:sz w:val="24"/>
          <w:szCs w:val="24"/>
        </w:rPr>
      </w:pPr>
    </w:p>
    <w:p w:rsidR="00F87AFB" w:rsidP="620A7E17" w:rsidRDefault="00F87AFB" w14:paraId="01824780" w14:textId="77777777">
      <w:pPr>
        <w:spacing w:after="0" w:line="360" w:lineRule="auto"/>
        <w:rPr>
          <w:rFonts w:ascii="Verdana" w:hAnsi="Verdana"/>
          <w:sz w:val="24"/>
          <w:szCs w:val="24"/>
        </w:rPr>
      </w:pPr>
    </w:p>
    <w:p w:rsidR="00F87AFB" w:rsidP="620A7E17" w:rsidRDefault="00F87AFB" w14:paraId="04C86831" w14:textId="77777777">
      <w:pPr>
        <w:spacing w:after="0" w:line="360" w:lineRule="auto"/>
        <w:rPr>
          <w:rFonts w:ascii="Verdana" w:hAnsi="Verdana"/>
          <w:sz w:val="24"/>
          <w:szCs w:val="24"/>
        </w:rPr>
      </w:pPr>
    </w:p>
    <w:p w:rsidR="00F87AFB" w:rsidP="620A7E17" w:rsidRDefault="00F87AFB" w14:paraId="38C7209B" w14:textId="77777777">
      <w:pPr>
        <w:spacing w:after="0" w:line="360" w:lineRule="auto"/>
        <w:rPr>
          <w:rFonts w:ascii="Verdana" w:hAnsi="Verdana"/>
          <w:sz w:val="24"/>
          <w:szCs w:val="24"/>
        </w:rPr>
      </w:pPr>
    </w:p>
    <w:p w:rsidR="00F87AFB" w:rsidP="620A7E17" w:rsidRDefault="00F87AFB" w14:paraId="45D0CD80" w14:textId="77777777">
      <w:pPr>
        <w:spacing w:after="0" w:line="360" w:lineRule="auto"/>
        <w:rPr>
          <w:rFonts w:ascii="Verdana" w:hAnsi="Verdana"/>
          <w:sz w:val="24"/>
          <w:szCs w:val="24"/>
        </w:rPr>
      </w:pPr>
    </w:p>
    <w:p w:rsidR="00F87AFB" w:rsidP="620A7E17" w:rsidRDefault="00F87AFB" w14:paraId="1FBE54BB" w14:textId="77777777">
      <w:pPr>
        <w:spacing w:after="0" w:line="360" w:lineRule="auto"/>
        <w:rPr>
          <w:rFonts w:ascii="Verdana" w:hAnsi="Verdana"/>
          <w:sz w:val="24"/>
          <w:szCs w:val="24"/>
        </w:rPr>
      </w:pPr>
    </w:p>
    <w:p w:rsidR="00F87AFB" w:rsidP="620A7E17" w:rsidRDefault="00F87AFB" w14:paraId="24698D6F" w14:textId="77777777">
      <w:pPr>
        <w:spacing w:after="0" w:line="360" w:lineRule="auto"/>
        <w:rPr>
          <w:rFonts w:ascii="Verdana" w:hAnsi="Verdana"/>
          <w:sz w:val="24"/>
          <w:szCs w:val="24"/>
        </w:rPr>
      </w:pPr>
    </w:p>
    <w:p w:rsidR="00F87AFB" w:rsidP="620A7E17" w:rsidRDefault="00F87AFB" w14:paraId="09F0B78A" w14:textId="77777777">
      <w:pPr>
        <w:spacing w:after="0" w:line="360" w:lineRule="auto"/>
        <w:rPr>
          <w:rFonts w:ascii="Verdana" w:hAnsi="Verdana"/>
          <w:sz w:val="24"/>
          <w:szCs w:val="24"/>
        </w:rPr>
      </w:pPr>
    </w:p>
    <w:p w:rsidR="00F87AFB" w:rsidP="620A7E17" w:rsidRDefault="00F87AFB" w14:paraId="7A409BA5" w14:textId="77777777">
      <w:pPr>
        <w:spacing w:after="0" w:line="360" w:lineRule="auto"/>
        <w:rPr>
          <w:rFonts w:ascii="Verdana" w:hAnsi="Verdana"/>
          <w:sz w:val="24"/>
          <w:szCs w:val="24"/>
        </w:rPr>
      </w:pPr>
    </w:p>
    <w:p w:rsidR="00F87AFB" w:rsidP="620A7E17" w:rsidRDefault="00F87AFB" w14:paraId="67350F0C" w14:textId="77777777">
      <w:pPr>
        <w:spacing w:after="0" w:line="360" w:lineRule="auto"/>
        <w:rPr>
          <w:rFonts w:ascii="Verdana" w:hAnsi="Verdana"/>
          <w:sz w:val="24"/>
          <w:szCs w:val="24"/>
        </w:rPr>
      </w:pPr>
    </w:p>
    <w:p w:rsidR="00F87AFB" w:rsidP="620A7E17" w:rsidRDefault="00F87AFB" w14:paraId="0356193A" w14:textId="77777777">
      <w:pPr>
        <w:spacing w:after="0" w:line="360" w:lineRule="auto"/>
        <w:rPr>
          <w:rFonts w:ascii="Verdana" w:hAnsi="Verdana"/>
          <w:sz w:val="24"/>
          <w:szCs w:val="24"/>
        </w:rPr>
      </w:pPr>
    </w:p>
    <w:p w:rsidR="00F87AFB" w:rsidP="620A7E17" w:rsidRDefault="00F87AFB" w14:paraId="7523FDA6" w14:textId="77777777">
      <w:pPr>
        <w:spacing w:after="0" w:line="360" w:lineRule="auto"/>
        <w:rPr>
          <w:rFonts w:ascii="Verdana" w:hAnsi="Verdana"/>
          <w:sz w:val="24"/>
          <w:szCs w:val="24"/>
        </w:rPr>
      </w:pPr>
    </w:p>
    <w:p w:rsidR="00F87AFB" w:rsidP="620A7E17" w:rsidRDefault="00F87AFB" w14:paraId="63D4617E" w14:textId="77777777">
      <w:pPr>
        <w:spacing w:after="0" w:line="360" w:lineRule="auto"/>
        <w:rPr>
          <w:rFonts w:ascii="Verdana" w:hAnsi="Verdana"/>
          <w:sz w:val="24"/>
          <w:szCs w:val="24"/>
        </w:rPr>
      </w:pPr>
    </w:p>
    <w:p w:rsidR="00F87AFB" w:rsidP="620A7E17" w:rsidRDefault="00F87AFB" w14:paraId="3823982A" w14:textId="77777777">
      <w:pPr>
        <w:spacing w:after="0" w:line="360" w:lineRule="auto"/>
        <w:rPr>
          <w:rFonts w:ascii="Verdana" w:hAnsi="Verdana"/>
          <w:sz w:val="24"/>
          <w:szCs w:val="24"/>
        </w:rPr>
      </w:pPr>
    </w:p>
    <w:p w:rsidR="00F87AFB" w:rsidP="620A7E17" w:rsidRDefault="00F87AFB" w14:paraId="0882BE3A" w14:textId="77777777">
      <w:pPr>
        <w:spacing w:after="0" w:line="360" w:lineRule="auto"/>
        <w:rPr>
          <w:rFonts w:ascii="Verdana" w:hAnsi="Verdana"/>
          <w:sz w:val="24"/>
          <w:szCs w:val="24"/>
        </w:rPr>
      </w:pPr>
    </w:p>
    <w:p w:rsidR="00F87AFB" w:rsidP="620A7E17" w:rsidRDefault="00F87AFB" w14:paraId="174A3BE9" w14:textId="77777777">
      <w:pPr>
        <w:spacing w:after="0" w:line="360" w:lineRule="auto"/>
        <w:rPr>
          <w:rFonts w:ascii="Verdana" w:hAnsi="Verdana"/>
          <w:sz w:val="24"/>
          <w:szCs w:val="24"/>
        </w:rPr>
      </w:pPr>
    </w:p>
    <w:p w:rsidR="00F87AFB" w:rsidP="620A7E17" w:rsidRDefault="00F87AFB" w14:paraId="2BA5CD89" w14:textId="77777777">
      <w:pPr>
        <w:spacing w:after="0" w:line="360" w:lineRule="auto"/>
        <w:rPr>
          <w:rFonts w:ascii="Verdana" w:hAnsi="Verdana"/>
          <w:sz w:val="24"/>
          <w:szCs w:val="24"/>
        </w:rPr>
      </w:pPr>
    </w:p>
    <w:p w:rsidR="00F87AFB" w:rsidP="620A7E17" w:rsidRDefault="00F87AFB" w14:paraId="07D30B25" w14:textId="77777777">
      <w:pPr>
        <w:spacing w:after="0" w:line="360" w:lineRule="auto"/>
        <w:rPr>
          <w:rFonts w:ascii="Verdana" w:hAnsi="Verdana"/>
          <w:sz w:val="24"/>
          <w:szCs w:val="24"/>
        </w:rPr>
      </w:pPr>
    </w:p>
    <w:p w:rsidR="00F87AFB" w:rsidP="620A7E17" w:rsidRDefault="00F87AFB" w14:paraId="501363D1" w14:textId="77777777">
      <w:pPr>
        <w:spacing w:after="0" w:line="360" w:lineRule="auto"/>
        <w:rPr>
          <w:rFonts w:ascii="Verdana" w:hAnsi="Verdana"/>
          <w:sz w:val="24"/>
          <w:szCs w:val="24"/>
        </w:rPr>
      </w:pPr>
    </w:p>
    <w:p w:rsidR="00F87AFB" w:rsidP="620A7E17" w:rsidRDefault="00F87AFB" w14:paraId="15E47F7F" w14:textId="77777777">
      <w:pPr>
        <w:spacing w:after="0" w:line="360" w:lineRule="auto"/>
        <w:rPr>
          <w:rFonts w:ascii="Verdana" w:hAnsi="Verdana"/>
          <w:sz w:val="24"/>
          <w:szCs w:val="24"/>
        </w:rPr>
      </w:pPr>
    </w:p>
    <w:p w:rsidR="00F87AFB" w:rsidP="620A7E17" w:rsidRDefault="00F87AFB" w14:paraId="51AB9B45" w14:textId="77777777">
      <w:pPr>
        <w:spacing w:after="0" w:line="360" w:lineRule="auto"/>
        <w:rPr>
          <w:rFonts w:ascii="Verdana" w:hAnsi="Verdana"/>
          <w:sz w:val="24"/>
          <w:szCs w:val="24"/>
        </w:rPr>
      </w:pPr>
    </w:p>
    <w:p w:rsidR="00F87AFB" w:rsidP="620A7E17" w:rsidRDefault="00F87AFB" w14:paraId="5D181439" w14:textId="77777777">
      <w:pPr>
        <w:spacing w:after="0" w:line="360" w:lineRule="auto"/>
        <w:rPr>
          <w:rFonts w:ascii="Verdana" w:hAnsi="Verdana"/>
          <w:sz w:val="24"/>
          <w:szCs w:val="24"/>
        </w:rPr>
      </w:pPr>
    </w:p>
    <w:p w:rsidR="00F87AFB" w:rsidP="620A7E17" w:rsidRDefault="00F87AFB" w14:paraId="6C2DF4B7" w14:textId="77777777">
      <w:pPr>
        <w:spacing w:after="0" w:line="360" w:lineRule="auto"/>
        <w:rPr>
          <w:rFonts w:ascii="Verdana" w:hAnsi="Verdana"/>
          <w:sz w:val="24"/>
          <w:szCs w:val="24"/>
        </w:rPr>
      </w:pPr>
    </w:p>
    <w:p w:rsidR="00F87AFB" w:rsidP="620A7E17" w:rsidRDefault="00F87AFB" w14:paraId="5F92F84A" w14:textId="77777777">
      <w:pPr>
        <w:spacing w:after="0" w:line="360" w:lineRule="auto"/>
        <w:rPr>
          <w:rFonts w:ascii="Verdana" w:hAnsi="Verdana"/>
          <w:sz w:val="24"/>
          <w:szCs w:val="24"/>
        </w:rPr>
      </w:pPr>
    </w:p>
    <w:p w:rsidR="00F87AFB" w:rsidP="620A7E17" w:rsidRDefault="00F87AFB" w14:paraId="154D837E" w14:textId="77777777">
      <w:pPr>
        <w:spacing w:after="0" w:line="360" w:lineRule="auto"/>
        <w:rPr>
          <w:rFonts w:ascii="Verdana" w:hAnsi="Verdana"/>
          <w:sz w:val="24"/>
          <w:szCs w:val="24"/>
        </w:rPr>
      </w:pPr>
    </w:p>
    <w:p w:rsidR="00F87AFB" w:rsidP="620A7E17" w:rsidRDefault="00F87AFB" w14:paraId="576E3757" w14:textId="77777777">
      <w:pPr>
        <w:spacing w:after="0" w:line="360" w:lineRule="auto"/>
        <w:rPr>
          <w:rFonts w:ascii="Verdana" w:hAnsi="Verdana"/>
          <w:sz w:val="24"/>
          <w:szCs w:val="24"/>
        </w:rPr>
      </w:pPr>
    </w:p>
    <w:p w:rsidR="00F87AFB" w:rsidP="620A7E17" w:rsidRDefault="00F87AFB" w14:paraId="5C6EFE24" w14:textId="77777777">
      <w:pPr>
        <w:spacing w:after="0" w:line="360" w:lineRule="auto"/>
        <w:rPr>
          <w:rFonts w:ascii="Verdana" w:hAnsi="Verdana"/>
          <w:sz w:val="24"/>
          <w:szCs w:val="24"/>
        </w:rPr>
      </w:pPr>
    </w:p>
    <w:p w:rsidR="7CAB9697" w:rsidP="7CAB9697" w:rsidRDefault="7CAB9697" w14:paraId="25201634" w14:textId="77777777">
      <w:pPr>
        <w:spacing w:after="0" w:line="360" w:lineRule="auto"/>
        <w:rPr>
          <w:rFonts w:ascii="Verdana" w:hAnsi="Verdana"/>
          <w:sz w:val="24"/>
          <w:szCs w:val="24"/>
        </w:rPr>
        <w:sectPr w:rsidR="7CAB9697" w:rsidSect="00770ECF">
          <w:type w:val="continuous"/>
          <w:pgSz w:w="12240" w:h="15840" w:orient="portrait"/>
          <w:pgMar w:top="1417" w:right="1701" w:bottom="1417" w:left="1701" w:header="708" w:footer="708" w:gutter="0"/>
          <w:cols w:space="708" w:num="2"/>
          <w:docGrid w:linePitch="360"/>
        </w:sectPr>
      </w:pPr>
    </w:p>
    <w:sdt>
      <w:sdtPr>
        <w:id w:val="-643900172"/>
        <w:docPartObj>
          <w:docPartGallery w:val="Table of Contents"/>
          <w:docPartUnique/>
        </w:docPartObj>
        <w:rPr>
          <w:rFonts w:ascii="Verdana" w:hAnsi="Verdana" w:eastAsia="游ゴシック" w:cs="Arial" w:eastAsiaTheme="minorEastAsia" w:cstheme="minorBidi"/>
          <w:color w:val="auto"/>
          <w:kern w:val="2"/>
          <w:sz w:val="24"/>
          <w:szCs w:val="24"/>
          <w:lang w:val="es-ES" w:eastAsia="en-US"/>
          <w14:ligatures w14:val="standardContextual"/>
        </w:rPr>
      </w:sdtPr>
      <w:sdtContent>
        <w:p w:rsidRPr="00466C3C" w:rsidR="00675CD4" w:rsidP="00675CD4" w:rsidRDefault="00675CD4" w14:paraId="5B0092FE" w14:textId="77777777">
          <w:pPr>
            <w:pStyle w:val="TtuloTDC"/>
            <w:jc w:val="center"/>
            <w:rPr>
              <w:rFonts w:ascii="Verdana" w:hAnsi="Verdana"/>
              <w:color w:val="auto"/>
              <w:sz w:val="24"/>
              <w:szCs w:val="24"/>
              <w:lang w:val="es-ES"/>
            </w:rPr>
          </w:pPr>
          <w:r w:rsidRPr="00466C3C">
            <w:rPr>
              <w:rFonts w:ascii="Verdana" w:hAnsi="Verdana"/>
              <w:color w:val="auto"/>
              <w:sz w:val="24"/>
              <w:szCs w:val="24"/>
              <w:lang w:val="es-ES"/>
            </w:rPr>
            <w:t>Tabla de Contenido</w:t>
          </w:r>
        </w:p>
        <w:p w:rsidRPr="00466C3C" w:rsidR="00675CD4" w:rsidP="00675CD4" w:rsidRDefault="00675CD4" w14:paraId="40140CC4" w14:textId="77777777">
          <w:pPr>
            <w:rPr>
              <w:rFonts w:ascii="Verdana" w:hAnsi="Verdana"/>
              <w:sz w:val="24"/>
              <w:szCs w:val="24"/>
              <w:lang w:val="es-ES" w:eastAsia="es-CO"/>
            </w:rPr>
          </w:pPr>
        </w:p>
        <w:p w:rsidRPr="00466C3C" w:rsidR="00466C3C" w:rsidRDefault="00675CD4" w14:paraId="78E98F64" w14:textId="164FC6EE">
          <w:pPr>
            <w:pStyle w:val="TDC1"/>
            <w:tabs>
              <w:tab w:val="left" w:pos="720"/>
              <w:tab w:val="right" w:leader="dot" w:pos="8828"/>
            </w:tabs>
            <w:rPr>
              <w:rFonts w:cstheme="minorBidi"/>
              <w:noProof/>
              <w:kern w:val="2"/>
              <w:sz w:val="24"/>
              <w:szCs w:val="24"/>
              <w14:ligatures w14:val="standardContextual"/>
            </w:rPr>
          </w:pPr>
          <w:r w:rsidRPr="00466C3C">
            <w:rPr>
              <w:rFonts w:ascii="Verdana" w:hAnsi="Verdana"/>
              <w:sz w:val="24"/>
              <w:szCs w:val="24"/>
            </w:rPr>
            <w:fldChar w:fldCharType="begin"/>
          </w:r>
          <w:r w:rsidRPr="00466C3C">
            <w:rPr>
              <w:rFonts w:ascii="Verdana" w:hAnsi="Verdana"/>
              <w:sz w:val="24"/>
              <w:szCs w:val="24"/>
            </w:rPr>
            <w:instrText xml:space="preserve"> TOC \o "1-3" \h \z \u </w:instrText>
          </w:r>
          <w:r w:rsidRPr="00466C3C">
            <w:rPr>
              <w:rFonts w:ascii="Verdana" w:hAnsi="Verdana"/>
              <w:sz w:val="24"/>
              <w:szCs w:val="24"/>
            </w:rPr>
            <w:fldChar w:fldCharType="separate"/>
          </w:r>
          <w:hyperlink w:history="1" w:anchor="_Toc233996717">
            <w:r w:rsidRPr="00466C3C" w:rsidR="00466C3C">
              <w:rPr>
                <w:rStyle w:val="Hipervnculo"/>
                <w:rFonts w:ascii="Verdana" w:hAnsi="Verdana"/>
                <w:noProof/>
              </w:rPr>
              <w:t>1.</w:t>
            </w:r>
            <w:r w:rsidRPr="00466C3C" w:rsidR="00466C3C">
              <w:rPr>
                <w:rFonts w:cstheme="minorBidi"/>
                <w:noProof/>
                <w:kern w:val="2"/>
                <w:sz w:val="24"/>
                <w:szCs w:val="24"/>
                <w14:ligatures w14:val="standardContextual"/>
              </w:rPr>
              <w:tab/>
            </w:r>
            <w:r w:rsidRPr="00466C3C" w:rsidR="00466C3C">
              <w:rPr>
                <w:rStyle w:val="Hipervnculo"/>
                <w:rFonts w:ascii="Verdana" w:hAnsi="Verdana"/>
                <w:noProof/>
              </w:rPr>
              <w:t>Introducción</w:t>
            </w:r>
            <w:r w:rsidRPr="00466C3C" w:rsidR="00466C3C">
              <w:rPr>
                <w:noProof/>
                <w:webHidden/>
              </w:rPr>
              <w:tab/>
            </w:r>
            <w:r w:rsidRPr="00466C3C" w:rsidR="00466C3C">
              <w:rPr>
                <w:noProof/>
                <w:webHidden/>
              </w:rPr>
              <w:fldChar w:fldCharType="begin"/>
            </w:r>
            <w:r w:rsidRPr="00466C3C" w:rsidR="00466C3C">
              <w:rPr>
                <w:noProof/>
                <w:webHidden/>
              </w:rPr>
              <w:instrText xml:space="preserve"> PAGEREF _Toc233996717 \h </w:instrText>
            </w:r>
            <w:r w:rsidRPr="00466C3C" w:rsidR="00466C3C">
              <w:rPr>
                <w:noProof/>
                <w:webHidden/>
              </w:rPr>
            </w:r>
            <w:r w:rsidRPr="00466C3C" w:rsidR="00466C3C">
              <w:rPr>
                <w:noProof/>
                <w:webHidden/>
              </w:rPr>
              <w:fldChar w:fldCharType="separate"/>
            </w:r>
            <w:r w:rsidRPr="00466C3C" w:rsidR="00466C3C">
              <w:rPr>
                <w:noProof/>
                <w:webHidden/>
              </w:rPr>
              <w:t>11</w:t>
            </w:r>
            <w:r w:rsidRPr="00466C3C" w:rsidR="00466C3C">
              <w:rPr>
                <w:noProof/>
                <w:webHidden/>
              </w:rPr>
              <w:fldChar w:fldCharType="end"/>
            </w:r>
          </w:hyperlink>
        </w:p>
        <w:p w:rsidRPr="00466C3C" w:rsidR="00466C3C" w:rsidRDefault="00466C3C" w14:paraId="332EF5D3" w14:textId="4E3A0E18">
          <w:pPr>
            <w:pStyle w:val="TDC1"/>
            <w:tabs>
              <w:tab w:val="left" w:pos="720"/>
              <w:tab w:val="right" w:leader="dot" w:pos="8828"/>
            </w:tabs>
            <w:rPr>
              <w:rFonts w:cstheme="minorBidi"/>
              <w:noProof/>
              <w:kern w:val="2"/>
              <w:sz w:val="24"/>
              <w:szCs w:val="24"/>
              <w14:ligatures w14:val="standardContextual"/>
            </w:rPr>
          </w:pPr>
          <w:hyperlink w:history="1" w:anchor="_Toc233996718">
            <w:r w:rsidRPr="00466C3C">
              <w:rPr>
                <w:rStyle w:val="Hipervnculo"/>
                <w:rFonts w:ascii="Verdana" w:hAnsi="Verdana"/>
                <w:noProof/>
              </w:rPr>
              <w:t>2.</w:t>
            </w:r>
            <w:r w:rsidRPr="00466C3C">
              <w:rPr>
                <w:rFonts w:cstheme="minorBidi"/>
                <w:noProof/>
                <w:kern w:val="2"/>
                <w:sz w:val="24"/>
                <w:szCs w:val="24"/>
                <w14:ligatures w14:val="standardContextual"/>
              </w:rPr>
              <w:tab/>
            </w:r>
            <w:r w:rsidRPr="00466C3C">
              <w:rPr>
                <w:rStyle w:val="Hipervnculo"/>
                <w:rFonts w:ascii="Verdana" w:hAnsi="Verdana"/>
                <w:noProof/>
              </w:rPr>
              <w:t>Nuestro Direccionamiento estratégico</w:t>
            </w:r>
            <w:r w:rsidRPr="00466C3C">
              <w:rPr>
                <w:noProof/>
                <w:webHidden/>
              </w:rPr>
              <w:tab/>
            </w:r>
            <w:r w:rsidRPr="00466C3C">
              <w:rPr>
                <w:noProof/>
                <w:webHidden/>
              </w:rPr>
              <w:fldChar w:fldCharType="begin"/>
            </w:r>
            <w:r w:rsidRPr="00466C3C">
              <w:rPr>
                <w:noProof/>
                <w:webHidden/>
              </w:rPr>
              <w:instrText xml:space="preserve"> PAGEREF _Toc233996718 \h </w:instrText>
            </w:r>
            <w:r w:rsidRPr="00466C3C">
              <w:rPr>
                <w:noProof/>
                <w:webHidden/>
              </w:rPr>
            </w:r>
            <w:r w:rsidRPr="00466C3C">
              <w:rPr>
                <w:noProof/>
                <w:webHidden/>
              </w:rPr>
              <w:fldChar w:fldCharType="separate"/>
            </w:r>
            <w:r w:rsidRPr="00466C3C">
              <w:rPr>
                <w:noProof/>
                <w:webHidden/>
              </w:rPr>
              <w:t>13</w:t>
            </w:r>
            <w:r w:rsidRPr="00466C3C">
              <w:rPr>
                <w:noProof/>
                <w:webHidden/>
              </w:rPr>
              <w:fldChar w:fldCharType="end"/>
            </w:r>
          </w:hyperlink>
        </w:p>
        <w:p w:rsidRPr="00466C3C" w:rsidR="00466C3C" w:rsidRDefault="00466C3C" w14:paraId="2B997B4B" w14:textId="1D1EDEA3">
          <w:pPr>
            <w:pStyle w:val="TDC2"/>
            <w:tabs>
              <w:tab w:val="left" w:pos="960"/>
              <w:tab w:val="right" w:leader="dot" w:pos="8828"/>
            </w:tabs>
            <w:rPr>
              <w:rFonts w:cstheme="minorBidi"/>
              <w:noProof/>
              <w:kern w:val="2"/>
              <w:sz w:val="24"/>
              <w:szCs w:val="24"/>
              <w14:ligatures w14:val="standardContextual"/>
            </w:rPr>
          </w:pPr>
          <w:hyperlink w:history="1" w:anchor="_Toc233996719">
            <w:r w:rsidRPr="00466C3C">
              <w:rPr>
                <w:rStyle w:val="Hipervnculo"/>
                <w:rFonts w:ascii="Verdana" w:hAnsi="Verdana"/>
                <w:noProof/>
              </w:rPr>
              <w:t>2.1.</w:t>
            </w:r>
            <w:r w:rsidRPr="00466C3C">
              <w:rPr>
                <w:rFonts w:cstheme="minorBidi"/>
                <w:noProof/>
                <w:kern w:val="2"/>
                <w:sz w:val="24"/>
                <w:szCs w:val="24"/>
                <w14:ligatures w14:val="standardContextual"/>
              </w:rPr>
              <w:tab/>
            </w:r>
            <w:r w:rsidRPr="00466C3C">
              <w:rPr>
                <w:rStyle w:val="Hipervnculo"/>
                <w:rFonts w:ascii="Verdana" w:hAnsi="Verdana"/>
                <w:noProof/>
              </w:rPr>
              <w:t>Planeación Estratégica Sectorial 2022 – 2026</w:t>
            </w:r>
            <w:r w:rsidRPr="00466C3C">
              <w:rPr>
                <w:noProof/>
                <w:webHidden/>
              </w:rPr>
              <w:tab/>
            </w:r>
            <w:r w:rsidRPr="00466C3C">
              <w:rPr>
                <w:noProof/>
                <w:webHidden/>
              </w:rPr>
              <w:fldChar w:fldCharType="begin"/>
            </w:r>
            <w:r w:rsidRPr="00466C3C">
              <w:rPr>
                <w:noProof/>
                <w:webHidden/>
              </w:rPr>
              <w:instrText xml:space="preserve"> PAGEREF _Toc233996719 \h </w:instrText>
            </w:r>
            <w:r w:rsidRPr="00466C3C">
              <w:rPr>
                <w:noProof/>
                <w:webHidden/>
              </w:rPr>
            </w:r>
            <w:r w:rsidRPr="00466C3C">
              <w:rPr>
                <w:noProof/>
                <w:webHidden/>
              </w:rPr>
              <w:fldChar w:fldCharType="separate"/>
            </w:r>
            <w:r w:rsidRPr="00466C3C">
              <w:rPr>
                <w:noProof/>
                <w:webHidden/>
              </w:rPr>
              <w:t>14</w:t>
            </w:r>
            <w:r w:rsidRPr="00466C3C">
              <w:rPr>
                <w:noProof/>
                <w:webHidden/>
              </w:rPr>
              <w:fldChar w:fldCharType="end"/>
            </w:r>
          </w:hyperlink>
        </w:p>
        <w:p w:rsidRPr="00466C3C" w:rsidR="00466C3C" w:rsidP="5CDE66F0" w:rsidRDefault="00466C3C" w14:paraId="3A1BA558" w14:textId="45357293">
          <w:pPr>
            <w:pStyle w:val="TDC2"/>
            <w:tabs>
              <w:tab w:val="left" w:pos="960"/>
              <w:tab w:val="right" w:leader="dot" w:pos="8828"/>
            </w:tabs>
            <w:rPr>
              <w:rFonts w:cs="Arial" w:cstheme="minorBidi"/>
              <w:noProof/>
              <w:kern w:val="2"/>
              <w:sz w:val="24"/>
              <w:szCs w:val="24"/>
              <w14:ligatures w14:val="standardContextual"/>
            </w:rPr>
          </w:pPr>
          <w:commentRangeStart w:id="457690069"/>
          <w:hyperlink w:history="1" w:anchor="_Toc233996720">
            <w:r w:rsidRPr="00466C3C" w:rsidR="00466C3C">
              <w:rPr>
                <w:rStyle w:val="Hipervnculo"/>
                <w:rFonts w:ascii="Verdana" w:hAnsi="Verdana"/>
                <w:noProof/>
              </w:rPr>
              <w:t>2.2.</w:t>
            </w:r>
            <w:r w:rsidRPr="00466C3C">
              <w:rPr>
                <w:rFonts w:cstheme="minorBidi"/>
                <w:noProof/>
                <w:kern w:val="2"/>
                <w:sz w:val="24"/>
                <w:szCs w:val="24"/>
                <w14:ligatures w14:val="standardContextual"/>
              </w:rPr>
              <w:tab/>
            </w:r>
            <w:r w:rsidRPr="00466C3C" w:rsidR="00466C3C">
              <w:rPr>
                <w:rStyle w:val="Hipervnculo"/>
                <w:rFonts w:ascii="Verdana" w:hAnsi="Verdana"/>
                <w:noProof/>
              </w:rPr>
              <w:t>Plan Estratégica Institucional 2022 – 2026</w:t>
            </w:r>
            <w:r w:rsidRPr="00466C3C">
              <w:rPr>
                <w:noProof/>
                <w:webHidden/>
              </w:rPr>
              <w:tab/>
            </w:r>
            <w:r w:rsidRPr="00466C3C">
              <w:rPr>
                <w:noProof/>
                <w:webHidden/>
              </w:rPr>
              <w:fldChar w:fldCharType="begin"/>
            </w:r>
            <w:r w:rsidRPr="00466C3C">
              <w:rPr>
                <w:noProof/>
                <w:webHidden/>
              </w:rPr>
              <w:instrText xml:space="preserve"> PAGEREF _Toc233996720 \h </w:instrText>
            </w:r>
            <w:r w:rsidRPr="00466C3C">
              <w:rPr>
                <w:noProof/>
                <w:webHidden/>
              </w:rPr>
            </w:r>
            <w:r w:rsidRPr="00466C3C">
              <w:rPr>
                <w:noProof/>
                <w:webHidden/>
              </w:rPr>
              <w:fldChar w:fldCharType="separate"/>
            </w:r>
            <w:r w:rsidRPr="00466C3C" w:rsidR="00466C3C">
              <w:rPr>
                <w:noProof/>
                <w:webHidden/>
              </w:rPr>
              <w:t>42</w:t>
            </w:r>
            <w:r w:rsidRPr="00466C3C">
              <w:rPr>
                <w:noProof/>
                <w:webHidden/>
              </w:rPr>
              <w:fldChar w:fldCharType="end"/>
            </w:r>
          </w:hyperlink>
          <w:commentRangeEnd w:id="457690069"/>
          <w:r>
            <w:rPr>
              <w:rStyle w:val="CommentReference"/>
            </w:rPr>
            <w:commentReference w:id="457690069"/>
          </w:r>
        </w:p>
        <w:p w:rsidRPr="00466C3C" w:rsidR="00466C3C" w:rsidP="30CF4445" w:rsidRDefault="00466C3C" w14:paraId="51A2E42E" w14:textId="7D906378">
          <w:pPr>
            <w:pStyle w:val="TDC2"/>
            <w:tabs>
              <w:tab w:val="left" w:pos="960"/>
              <w:tab w:val="right" w:leader="dot" w:pos="8828"/>
            </w:tabs>
            <w:rPr>
              <w:rFonts w:cs="Arial" w:cstheme="minorBidi"/>
              <w:noProof/>
              <w:kern w:val="2"/>
              <w:sz w:val="24"/>
              <w:szCs w:val="24"/>
              <w14:ligatures w14:val="standardContextual"/>
            </w:rPr>
          </w:pPr>
          <w:commentRangeStart w:id="378248034"/>
          <w:hyperlink w:history="1" w:anchor="_Toc233996721">
            <w:r w:rsidRPr="00466C3C" w:rsidR="49F92B30">
              <w:rPr>
                <w:rStyle w:val="Hipervnculo"/>
                <w:rFonts w:ascii="Verdana" w:hAnsi="Verdana"/>
                <w:noProof/>
              </w:rPr>
              <w:t>2.3.</w:t>
            </w:r>
            <w:r w:rsidRPr="00466C3C">
              <w:rPr>
                <w:rFonts w:cstheme="minorBidi"/>
                <w:noProof/>
                <w:kern w:val="2"/>
                <w:sz w:val="24"/>
                <w:szCs w:val="24"/>
                <w14:ligatures w14:val="standardContextual"/>
              </w:rPr>
              <w:tab/>
            </w:r>
            <w:r w:rsidRPr="00466C3C" w:rsidR="49F92B30">
              <w:rPr>
                <w:rStyle w:val="Hipervnculo"/>
                <w:rFonts w:ascii="Verdana" w:hAnsi="Verdana"/>
                <w:noProof/>
              </w:rPr>
              <w:t>Planeación Anual Institucional (incluye Plan de Acción y estado general de los planes institucionales al finalizar el cuatrienio</w:t>
            </w:r>
            <w:r w:rsidRPr="00466C3C">
              <w:rPr>
                <w:noProof/>
                <w:webHidden/>
              </w:rPr>
              <w:tab/>
            </w:r>
            <w:r w:rsidRPr="00466C3C">
              <w:rPr>
                <w:noProof/>
                <w:webHidden/>
              </w:rPr>
              <w:fldChar w:fldCharType="begin"/>
            </w:r>
            <w:r w:rsidRPr="00466C3C">
              <w:rPr>
                <w:noProof/>
                <w:webHidden/>
              </w:rPr>
              <w:instrText xml:space="preserve"> PAGEREF _Toc233996721 \h </w:instrText>
            </w:r>
            <w:r w:rsidRPr="00466C3C">
              <w:rPr>
                <w:noProof/>
                <w:webHidden/>
              </w:rPr>
            </w:r>
            <w:r w:rsidRPr="00466C3C">
              <w:rPr>
                <w:noProof/>
                <w:webHidden/>
              </w:rPr>
              <w:fldChar w:fldCharType="separate"/>
            </w:r>
            <w:r w:rsidRPr="00466C3C" w:rsidR="49F92B30">
              <w:rPr>
                <w:noProof/>
                <w:webHidden/>
              </w:rPr>
              <w:t>47</w:t>
            </w:r>
            <w:r w:rsidRPr="00466C3C">
              <w:rPr>
                <w:noProof/>
                <w:webHidden/>
              </w:rPr>
              <w:fldChar w:fldCharType="end"/>
            </w:r>
          </w:hyperlink>
          <w:commentRangeEnd w:id="378248034"/>
          <w:r>
            <w:rPr>
              <w:rStyle w:val="CommentReference"/>
            </w:rPr>
            <w:commentReference w:id="378248034"/>
          </w:r>
        </w:p>
        <w:p w:rsidRPr="00466C3C" w:rsidR="00466C3C" w:rsidRDefault="00466C3C" w14:paraId="71188FED" w14:textId="1A5A16E9">
          <w:pPr>
            <w:pStyle w:val="TDC2"/>
            <w:tabs>
              <w:tab w:val="left" w:pos="960"/>
              <w:tab w:val="right" w:leader="dot" w:pos="8828"/>
            </w:tabs>
            <w:rPr>
              <w:rFonts w:cstheme="minorBidi"/>
              <w:noProof/>
              <w:kern w:val="2"/>
              <w:sz w:val="24"/>
              <w:szCs w:val="24"/>
              <w14:ligatures w14:val="standardContextual"/>
            </w:rPr>
          </w:pPr>
          <w:hyperlink w:history="1" w:anchor="_Toc233996722">
            <w:r w:rsidRPr="00466C3C">
              <w:rPr>
                <w:rStyle w:val="Hipervnculo"/>
                <w:rFonts w:ascii="Verdana" w:hAnsi="Verdana"/>
                <w:noProof/>
              </w:rPr>
              <w:t>2.4.</w:t>
            </w:r>
            <w:r w:rsidRPr="00466C3C">
              <w:rPr>
                <w:rFonts w:cstheme="minorBidi"/>
                <w:noProof/>
                <w:kern w:val="2"/>
                <w:sz w:val="24"/>
                <w:szCs w:val="24"/>
                <w14:ligatures w14:val="standardContextual"/>
              </w:rPr>
              <w:tab/>
            </w:r>
            <w:r w:rsidRPr="00466C3C">
              <w:rPr>
                <w:rStyle w:val="Hipervnculo"/>
                <w:rFonts w:ascii="Verdana" w:hAnsi="Verdana"/>
                <w:noProof/>
              </w:rPr>
              <w:t>Nuestros Logros (resultados en términos del aporte a las metas del PND y logros estratégicos del MME)</w:t>
            </w:r>
            <w:r w:rsidRPr="00466C3C">
              <w:rPr>
                <w:noProof/>
                <w:webHidden/>
              </w:rPr>
              <w:tab/>
            </w:r>
            <w:r w:rsidRPr="00466C3C">
              <w:rPr>
                <w:noProof/>
                <w:webHidden/>
              </w:rPr>
              <w:fldChar w:fldCharType="begin"/>
            </w:r>
            <w:r w:rsidRPr="00466C3C">
              <w:rPr>
                <w:noProof/>
                <w:webHidden/>
              </w:rPr>
              <w:instrText xml:space="preserve"> PAGEREF _Toc233996722 \h </w:instrText>
            </w:r>
            <w:r w:rsidRPr="00466C3C">
              <w:rPr>
                <w:noProof/>
                <w:webHidden/>
              </w:rPr>
            </w:r>
            <w:r w:rsidRPr="00466C3C">
              <w:rPr>
                <w:noProof/>
                <w:webHidden/>
              </w:rPr>
              <w:fldChar w:fldCharType="separate"/>
            </w:r>
            <w:r w:rsidRPr="00466C3C">
              <w:rPr>
                <w:noProof/>
                <w:webHidden/>
              </w:rPr>
              <w:t>66</w:t>
            </w:r>
            <w:r w:rsidRPr="00466C3C">
              <w:rPr>
                <w:noProof/>
                <w:webHidden/>
              </w:rPr>
              <w:fldChar w:fldCharType="end"/>
            </w:r>
          </w:hyperlink>
        </w:p>
        <w:p w:rsidRPr="00466C3C" w:rsidR="00466C3C" w:rsidRDefault="00466C3C" w14:paraId="5656616B" w14:textId="2DC1D548">
          <w:pPr>
            <w:pStyle w:val="TDC1"/>
            <w:tabs>
              <w:tab w:val="left" w:pos="720"/>
              <w:tab w:val="right" w:leader="dot" w:pos="8828"/>
            </w:tabs>
            <w:rPr>
              <w:rFonts w:cstheme="minorBidi"/>
              <w:noProof/>
              <w:kern w:val="2"/>
              <w:sz w:val="24"/>
              <w:szCs w:val="24"/>
              <w14:ligatures w14:val="standardContextual"/>
            </w:rPr>
          </w:pPr>
          <w:hyperlink w:history="1" w:anchor="_Toc233996723">
            <w:r w:rsidRPr="00466C3C">
              <w:rPr>
                <w:rStyle w:val="Hipervnculo"/>
                <w:rFonts w:ascii="Verdana" w:hAnsi="Verdana"/>
                <w:noProof/>
              </w:rPr>
              <w:t>3.</w:t>
            </w:r>
            <w:r w:rsidRPr="00466C3C">
              <w:rPr>
                <w:rFonts w:cstheme="minorBidi"/>
                <w:noProof/>
                <w:kern w:val="2"/>
                <w:sz w:val="24"/>
                <w:szCs w:val="24"/>
                <w14:ligatures w14:val="standardContextual"/>
              </w:rPr>
              <w:tab/>
            </w:r>
            <w:r w:rsidRPr="00466C3C">
              <w:rPr>
                <w:rStyle w:val="Hipervnculo"/>
                <w:rFonts w:ascii="Verdana" w:hAnsi="Verdana"/>
                <w:noProof/>
              </w:rPr>
              <w:t>Nuestros Colaboradores</w:t>
            </w:r>
            <w:r w:rsidRPr="00466C3C">
              <w:rPr>
                <w:noProof/>
                <w:webHidden/>
              </w:rPr>
              <w:tab/>
            </w:r>
            <w:r w:rsidRPr="00466C3C">
              <w:rPr>
                <w:noProof/>
                <w:webHidden/>
              </w:rPr>
              <w:fldChar w:fldCharType="begin"/>
            </w:r>
            <w:r w:rsidRPr="00466C3C">
              <w:rPr>
                <w:noProof/>
                <w:webHidden/>
              </w:rPr>
              <w:instrText xml:space="preserve"> PAGEREF _Toc233996723 \h </w:instrText>
            </w:r>
            <w:r w:rsidRPr="00466C3C">
              <w:rPr>
                <w:noProof/>
                <w:webHidden/>
              </w:rPr>
            </w:r>
            <w:r w:rsidRPr="00466C3C">
              <w:rPr>
                <w:noProof/>
                <w:webHidden/>
              </w:rPr>
              <w:fldChar w:fldCharType="separate"/>
            </w:r>
            <w:r w:rsidRPr="00466C3C">
              <w:rPr>
                <w:noProof/>
                <w:webHidden/>
              </w:rPr>
              <w:t>70</w:t>
            </w:r>
            <w:r w:rsidRPr="00466C3C">
              <w:rPr>
                <w:noProof/>
                <w:webHidden/>
              </w:rPr>
              <w:fldChar w:fldCharType="end"/>
            </w:r>
          </w:hyperlink>
        </w:p>
        <w:p w:rsidRPr="00466C3C" w:rsidR="00466C3C" w:rsidRDefault="00466C3C" w14:paraId="4AE43C7B" w14:textId="67D117C8">
          <w:pPr>
            <w:pStyle w:val="TDC2"/>
            <w:tabs>
              <w:tab w:val="left" w:pos="960"/>
              <w:tab w:val="right" w:leader="dot" w:pos="8828"/>
            </w:tabs>
            <w:rPr>
              <w:rFonts w:cstheme="minorBidi"/>
              <w:noProof/>
              <w:kern w:val="2"/>
              <w:sz w:val="24"/>
              <w:szCs w:val="24"/>
              <w14:ligatures w14:val="standardContextual"/>
            </w:rPr>
          </w:pPr>
          <w:hyperlink w:history="1" w:anchor="_Toc233996724">
            <w:r w:rsidRPr="00466C3C">
              <w:rPr>
                <w:rStyle w:val="Hipervnculo"/>
                <w:rFonts w:ascii="Verdana" w:hAnsi="Verdana"/>
                <w:noProof/>
              </w:rPr>
              <w:t>3.1.</w:t>
            </w:r>
            <w:r w:rsidRPr="00466C3C">
              <w:rPr>
                <w:rFonts w:cstheme="minorBidi"/>
                <w:noProof/>
                <w:kern w:val="2"/>
                <w:sz w:val="24"/>
                <w:szCs w:val="24"/>
                <w14:ligatures w14:val="standardContextual"/>
              </w:rPr>
              <w:tab/>
            </w:r>
            <w:r w:rsidRPr="00466C3C">
              <w:rPr>
                <w:rStyle w:val="Hipervnculo"/>
                <w:rFonts w:ascii="Verdana" w:hAnsi="Verdana"/>
                <w:noProof/>
              </w:rPr>
              <w:t>Gestión del talento humano</w:t>
            </w:r>
            <w:r w:rsidRPr="00466C3C">
              <w:rPr>
                <w:noProof/>
                <w:webHidden/>
              </w:rPr>
              <w:tab/>
            </w:r>
            <w:r w:rsidRPr="00466C3C">
              <w:rPr>
                <w:noProof/>
                <w:webHidden/>
              </w:rPr>
              <w:fldChar w:fldCharType="begin"/>
            </w:r>
            <w:r w:rsidRPr="00466C3C">
              <w:rPr>
                <w:noProof/>
                <w:webHidden/>
              </w:rPr>
              <w:instrText xml:space="preserve"> PAGEREF _Toc233996724 \h </w:instrText>
            </w:r>
            <w:r w:rsidRPr="00466C3C">
              <w:rPr>
                <w:noProof/>
                <w:webHidden/>
              </w:rPr>
            </w:r>
            <w:r w:rsidRPr="00466C3C">
              <w:rPr>
                <w:noProof/>
                <w:webHidden/>
              </w:rPr>
              <w:fldChar w:fldCharType="separate"/>
            </w:r>
            <w:r w:rsidRPr="00466C3C">
              <w:rPr>
                <w:noProof/>
                <w:webHidden/>
              </w:rPr>
              <w:t>72</w:t>
            </w:r>
            <w:r w:rsidRPr="00466C3C">
              <w:rPr>
                <w:noProof/>
                <w:webHidden/>
              </w:rPr>
              <w:fldChar w:fldCharType="end"/>
            </w:r>
          </w:hyperlink>
        </w:p>
        <w:p w:rsidRPr="00466C3C" w:rsidR="00466C3C" w:rsidRDefault="00466C3C" w14:paraId="30F12921" w14:textId="60509210">
          <w:pPr>
            <w:pStyle w:val="TDC2"/>
            <w:tabs>
              <w:tab w:val="left" w:pos="960"/>
              <w:tab w:val="right" w:leader="dot" w:pos="8828"/>
            </w:tabs>
            <w:rPr>
              <w:rFonts w:cstheme="minorBidi"/>
              <w:noProof/>
              <w:kern w:val="2"/>
              <w:sz w:val="24"/>
              <w:szCs w:val="24"/>
              <w14:ligatures w14:val="standardContextual"/>
            </w:rPr>
          </w:pPr>
          <w:hyperlink w:history="1" w:anchor="_Toc233996725">
            <w:r w:rsidRPr="00466C3C">
              <w:rPr>
                <w:rStyle w:val="Hipervnculo"/>
                <w:rFonts w:ascii="Verdana" w:hAnsi="Verdana"/>
                <w:noProof/>
              </w:rPr>
              <w:t>3.2.</w:t>
            </w:r>
            <w:r w:rsidRPr="00466C3C">
              <w:rPr>
                <w:rFonts w:cstheme="minorBidi"/>
                <w:noProof/>
                <w:kern w:val="2"/>
                <w:sz w:val="24"/>
                <w:szCs w:val="24"/>
                <w14:ligatures w14:val="standardContextual"/>
              </w:rPr>
              <w:tab/>
            </w:r>
            <w:r w:rsidRPr="00466C3C">
              <w:rPr>
                <w:rStyle w:val="Hipervnculo"/>
                <w:rFonts w:ascii="Verdana" w:hAnsi="Verdana"/>
                <w:noProof/>
              </w:rPr>
              <w:t>Bienestar y cultura organizacional</w:t>
            </w:r>
            <w:r w:rsidRPr="00466C3C">
              <w:rPr>
                <w:noProof/>
                <w:webHidden/>
              </w:rPr>
              <w:tab/>
            </w:r>
            <w:r w:rsidRPr="00466C3C">
              <w:rPr>
                <w:noProof/>
                <w:webHidden/>
              </w:rPr>
              <w:fldChar w:fldCharType="begin"/>
            </w:r>
            <w:r w:rsidRPr="00466C3C">
              <w:rPr>
                <w:noProof/>
                <w:webHidden/>
              </w:rPr>
              <w:instrText xml:space="preserve"> PAGEREF _Toc233996725 \h </w:instrText>
            </w:r>
            <w:r w:rsidRPr="00466C3C">
              <w:rPr>
                <w:noProof/>
                <w:webHidden/>
              </w:rPr>
            </w:r>
            <w:r w:rsidRPr="00466C3C">
              <w:rPr>
                <w:noProof/>
                <w:webHidden/>
              </w:rPr>
              <w:fldChar w:fldCharType="separate"/>
            </w:r>
            <w:r w:rsidRPr="00466C3C">
              <w:rPr>
                <w:noProof/>
                <w:webHidden/>
              </w:rPr>
              <w:t>74</w:t>
            </w:r>
            <w:r w:rsidRPr="00466C3C">
              <w:rPr>
                <w:noProof/>
                <w:webHidden/>
              </w:rPr>
              <w:fldChar w:fldCharType="end"/>
            </w:r>
          </w:hyperlink>
        </w:p>
        <w:p w:rsidRPr="00466C3C" w:rsidR="00466C3C" w:rsidRDefault="00466C3C" w14:paraId="2EC3A6CA" w14:textId="3DC869D0">
          <w:pPr>
            <w:pStyle w:val="TDC2"/>
            <w:tabs>
              <w:tab w:val="left" w:pos="960"/>
              <w:tab w:val="right" w:leader="dot" w:pos="8828"/>
            </w:tabs>
            <w:rPr>
              <w:rFonts w:cstheme="minorBidi"/>
              <w:noProof/>
              <w:kern w:val="2"/>
              <w:sz w:val="24"/>
              <w:szCs w:val="24"/>
              <w14:ligatures w14:val="standardContextual"/>
            </w:rPr>
          </w:pPr>
          <w:hyperlink w:history="1" w:anchor="_Toc233996726">
            <w:r w:rsidRPr="00466C3C">
              <w:rPr>
                <w:rStyle w:val="Hipervnculo"/>
                <w:rFonts w:ascii="Verdana" w:hAnsi="Verdana"/>
                <w:noProof/>
              </w:rPr>
              <w:t>3.3.</w:t>
            </w:r>
            <w:r w:rsidRPr="00466C3C">
              <w:rPr>
                <w:rFonts w:cstheme="minorBidi"/>
                <w:noProof/>
                <w:kern w:val="2"/>
                <w:sz w:val="24"/>
                <w:szCs w:val="24"/>
                <w14:ligatures w14:val="standardContextual"/>
              </w:rPr>
              <w:tab/>
            </w:r>
            <w:r w:rsidRPr="00466C3C">
              <w:rPr>
                <w:rStyle w:val="Hipervnculo"/>
                <w:rFonts w:ascii="Verdana" w:hAnsi="Verdana"/>
                <w:noProof/>
              </w:rPr>
              <w:t>Seguridad y salud en el trabajo</w:t>
            </w:r>
            <w:r w:rsidRPr="00466C3C">
              <w:rPr>
                <w:noProof/>
                <w:webHidden/>
              </w:rPr>
              <w:tab/>
            </w:r>
            <w:r w:rsidRPr="00466C3C">
              <w:rPr>
                <w:noProof/>
                <w:webHidden/>
              </w:rPr>
              <w:fldChar w:fldCharType="begin"/>
            </w:r>
            <w:r w:rsidRPr="00466C3C">
              <w:rPr>
                <w:noProof/>
                <w:webHidden/>
              </w:rPr>
              <w:instrText xml:space="preserve"> PAGEREF _Toc233996726 \h </w:instrText>
            </w:r>
            <w:r w:rsidRPr="00466C3C">
              <w:rPr>
                <w:noProof/>
                <w:webHidden/>
              </w:rPr>
            </w:r>
            <w:r w:rsidRPr="00466C3C">
              <w:rPr>
                <w:noProof/>
                <w:webHidden/>
              </w:rPr>
              <w:fldChar w:fldCharType="separate"/>
            </w:r>
            <w:r w:rsidRPr="00466C3C">
              <w:rPr>
                <w:noProof/>
                <w:webHidden/>
              </w:rPr>
              <w:t>76</w:t>
            </w:r>
            <w:r w:rsidRPr="00466C3C">
              <w:rPr>
                <w:noProof/>
                <w:webHidden/>
              </w:rPr>
              <w:fldChar w:fldCharType="end"/>
            </w:r>
          </w:hyperlink>
        </w:p>
        <w:p w:rsidRPr="00466C3C" w:rsidR="00466C3C" w:rsidP="30CF4445" w:rsidRDefault="00466C3C" w14:paraId="22E25805" w14:textId="5061727B">
          <w:pPr>
            <w:pStyle w:val="TDC2"/>
            <w:tabs>
              <w:tab w:val="left" w:pos="960"/>
              <w:tab w:val="right" w:leader="dot" w:pos="8828"/>
            </w:tabs>
            <w:rPr>
              <w:rFonts w:cs="Arial" w:cstheme="minorBidi"/>
              <w:noProof/>
              <w:kern w:val="2"/>
              <w:sz w:val="24"/>
              <w:szCs w:val="24"/>
              <w14:ligatures w14:val="standardContextual"/>
            </w:rPr>
          </w:pPr>
          <w:commentRangeStart w:id="1037363175"/>
          <w:hyperlink w:history="1" w:anchor="_Toc233996727">
            <w:r w:rsidRPr="00466C3C" w:rsidR="49F92B30">
              <w:rPr>
                <w:rStyle w:val="Hipervnculo"/>
                <w:rFonts w:ascii="Verdana" w:hAnsi="Verdana"/>
                <w:noProof/>
              </w:rPr>
              <w:t>3.4.</w:t>
            </w:r>
            <w:r w:rsidRPr="00466C3C">
              <w:rPr>
                <w:rFonts w:cstheme="minorBidi"/>
                <w:noProof/>
                <w:kern w:val="2"/>
                <w:sz w:val="24"/>
                <w:szCs w:val="24"/>
                <w14:ligatures w14:val="standardContextual"/>
              </w:rPr>
              <w:tab/>
            </w:r>
            <w:r w:rsidRPr="00466C3C" w:rsidR="49F92B30">
              <w:rPr>
                <w:rStyle w:val="Hipervnculo"/>
                <w:rFonts w:ascii="Verdana" w:hAnsi="Verdana"/>
                <w:noProof/>
              </w:rPr>
              <w:t>Avances trabajo decente y libertad sindical</w:t>
            </w:r>
            <w:r w:rsidRPr="00466C3C">
              <w:rPr>
                <w:noProof/>
                <w:webHidden/>
              </w:rPr>
              <w:tab/>
            </w:r>
            <w:r w:rsidRPr="00466C3C">
              <w:rPr>
                <w:noProof/>
                <w:webHidden/>
              </w:rPr>
              <w:fldChar w:fldCharType="begin"/>
            </w:r>
            <w:r w:rsidRPr="00466C3C">
              <w:rPr>
                <w:noProof/>
                <w:webHidden/>
              </w:rPr>
              <w:instrText xml:space="preserve"> PAGEREF _Toc233996727 \h </w:instrText>
            </w:r>
            <w:r w:rsidRPr="00466C3C">
              <w:rPr>
                <w:noProof/>
                <w:webHidden/>
              </w:rPr>
            </w:r>
            <w:r w:rsidRPr="00466C3C">
              <w:rPr>
                <w:noProof/>
                <w:webHidden/>
              </w:rPr>
              <w:fldChar w:fldCharType="separate"/>
            </w:r>
            <w:r w:rsidRPr="00466C3C" w:rsidR="49F92B30">
              <w:rPr>
                <w:noProof/>
                <w:webHidden/>
              </w:rPr>
              <w:t>82</w:t>
            </w:r>
            <w:r w:rsidRPr="00466C3C">
              <w:rPr>
                <w:noProof/>
                <w:webHidden/>
              </w:rPr>
              <w:fldChar w:fldCharType="end"/>
            </w:r>
          </w:hyperlink>
          <w:commentRangeEnd w:id="1037363175"/>
          <w:r>
            <w:rPr>
              <w:rStyle w:val="CommentReference"/>
            </w:rPr>
            <w:commentReference w:id="1037363175"/>
          </w:r>
        </w:p>
        <w:p w:rsidRPr="00466C3C" w:rsidR="00466C3C" w:rsidRDefault="00466C3C" w14:paraId="605779FA" w14:textId="348A3F7C">
          <w:pPr>
            <w:pStyle w:val="TDC1"/>
            <w:tabs>
              <w:tab w:val="left" w:pos="720"/>
              <w:tab w:val="right" w:leader="dot" w:pos="8828"/>
            </w:tabs>
            <w:rPr>
              <w:rFonts w:cstheme="minorBidi"/>
              <w:noProof/>
              <w:kern w:val="2"/>
              <w:sz w:val="24"/>
              <w:szCs w:val="24"/>
              <w14:ligatures w14:val="standardContextual"/>
            </w:rPr>
          </w:pPr>
          <w:hyperlink w:history="1" w:anchor="_Toc233996728">
            <w:r w:rsidRPr="00466C3C">
              <w:rPr>
                <w:rStyle w:val="Hipervnculo"/>
                <w:rFonts w:ascii="Verdana" w:hAnsi="Verdana"/>
                <w:noProof/>
              </w:rPr>
              <w:t>4.</w:t>
            </w:r>
            <w:r w:rsidRPr="00466C3C">
              <w:rPr>
                <w:rFonts w:cstheme="minorBidi"/>
                <w:noProof/>
                <w:kern w:val="2"/>
                <w:sz w:val="24"/>
                <w:szCs w:val="24"/>
                <w14:ligatures w14:val="standardContextual"/>
              </w:rPr>
              <w:tab/>
            </w:r>
            <w:r w:rsidRPr="00466C3C">
              <w:rPr>
                <w:rStyle w:val="Hipervnculo"/>
                <w:rFonts w:ascii="Verdana" w:hAnsi="Verdana"/>
                <w:noProof/>
              </w:rPr>
              <w:t>Nuestra gestión de los recursos públicos</w:t>
            </w:r>
            <w:r w:rsidRPr="00466C3C">
              <w:rPr>
                <w:noProof/>
                <w:webHidden/>
              </w:rPr>
              <w:tab/>
            </w:r>
            <w:r w:rsidRPr="00466C3C">
              <w:rPr>
                <w:noProof/>
                <w:webHidden/>
              </w:rPr>
              <w:fldChar w:fldCharType="begin"/>
            </w:r>
            <w:r w:rsidRPr="00466C3C">
              <w:rPr>
                <w:noProof/>
                <w:webHidden/>
              </w:rPr>
              <w:instrText xml:space="preserve"> PAGEREF _Toc233996728 \h </w:instrText>
            </w:r>
            <w:r w:rsidRPr="00466C3C">
              <w:rPr>
                <w:noProof/>
                <w:webHidden/>
              </w:rPr>
            </w:r>
            <w:r w:rsidRPr="00466C3C">
              <w:rPr>
                <w:noProof/>
                <w:webHidden/>
              </w:rPr>
              <w:fldChar w:fldCharType="separate"/>
            </w:r>
            <w:r w:rsidRPr="00466C3C">
              <w:rPr>
                <w:noProof/>
                <w:webHidden/>
              </w:rPr>
              <w:t>84</w:t>
            </w:r>
            <w:r w:rsidRPr="00466C3C">
              <w:rPr>
                <w:noProof/>
                <w:webHidden/>
              </w:rPr>
              <w:fldChar w:fldCharType="end"/>
            </w:r>
          </w:hyperlink>
        </w:p>
        <w:p w:rsidRPr="00466C3C" w:rsidR="00466C3C" w:rsidRDefault="00466C3C" w14:paraId="16EF5493" w14:textId="6F6FC07E">
          <w:pPr>
            <w:pStyle w:val="TDC2"/>
            <w:tabs>
              <w:tab w:val="left" w:pos="960"/>
              <w:tab w:val="right" w:leader="dot" w:pos="8828"/>
            </w:tabs>
            <w:rPr>
              <w:rFonts w:cstheme="minorBidi"/>
              <w:noProof/>
              <w:kern w:val="2"/>
              <w:sz w:val="24"/>
              <w:szCs w:val="24"/>
              <w14:ligatures w14:val="standardContextual"/>
            </w:rPr>
          </w:pPr>
          <w:hyperlink w:history="1" w:anchor="_Toc233996729">
            <w:r w:rsidRPr="00466C3C">
              <w:rPr>
                <w:rStyle w:val="Hipervnculo"/>
                <w:rFonts w:ascii="Verdana" w:hAnsi="Verdana"/>
                <w:noProof/>
              </w:rPr>
              <w:t>4.1.</w:t>
            </w:r>
            <w:r w:rsidRPr="00466C3C">
              <w:rPr>
                <w:rFonts w:cstheme="minorBidi"/>
                <w:noProof/>
                <w:kern w:val="2"/>
                <w:sz w:val="24"/>
                <w:szCs w:val="24"/>
                <w14:ligatures w14:val="standardContextual"/>
              </w:rPr>
              <w:tab/>
            </w:r>
            <w:r w:rsidRPr="00466C3C">
              <w:rPr>
                <w:rStyle w:val="Hipervnculo"/>
                <w:rFonts w:ascii="Verdana" w:hAnsi="Verdana"/>
                <w:noProof/>
              </w:rPr>
              <w:t>Presupuesto asignado al Ministerio de Minas y Energía (Por vigencia)</w:t>
            </w:r>
            <w:r w:rsidRPr="00466C3C">
              <w:rPr>
                <w:noProof/>
                <w:webHidden/>
              </w:rPr>
              <w:tab/>
            </w:r>
            <w:r w:rsidRPr="00466C3C">
              <w:rPr>
                <w:noProof/>
                <w:webHidden/>
              </w:rPr>
              <w:fldChar w:fldCharType="begin"/>
            </w:r>
            <w:r w:rsidRPr="00466C3C">
              <w:rPr>
                <w:noProof/>
                <w:webHidden/>
              </w:rPr>
              <w:instrText xml:space="preserve"> PAGEREF _Toc233996729 \h </w:instrText>
            </w:r>
            <w:r w:rsidRPr="00466C3C">
              <w:rPr>
                <w:noProof/>
                <w:webHidden/>
              </w:rPr>
            </w:r>
            <w:r w:rsidRPr="00466C3C">
              <w:rPr>
                <w:noProof/>
                <w:webHidden/>
              </w:rPr>
              <w:fldChar w:fldCharType="separate"/>
            </w:r>
            <w:r w:rsidRPr="00466C3C">
              <w:rPr>
                <w:noProof/>
                <w:webHidden/>
              </w:rPr>
              <w:t>85</w:t>
            </w:r>
            <w:r w:rsidRPr="00466C3C">
              <w:rPr>
                <w:noProof/>
                <w:webHidden/>
              </w:rPr>
              <w:fldChar w:fldCharType="end"/>
            </w:r>
          </w:hyperlink>
        </w:p>
        <w:p w:rsidRPr="00466C3C" w:rsidR="00466C3C" w:rsidRDefault="00466C3C" w14:paraId="768C3C54" w14:textId="6D100F27">
          <w:pPr>
            <w:pStyle w:val="TDC2"/>
            <w:tabs>
              <w:tab w:val="left" w:pos="960"/>
              <w:tab w:val="right" w:leader="dot" w:pos="8828"/>
            </w:tabs>
            <w:rPr>
              <w:rFonts w:cstheme="minorBidi"/>
              <w:noProof/>
              <w:kern w:val="2"/>
              <w:sz w:val="24"/>
              <w:szCs w:val="24"/>
              <w14:ligatures w14:val="standardContextual"/>
            </w:rPr>
          </w:pPr>
          <w:hyperlink w:history="1" w:anchor="_Toc233996730">
            <w:r w:rsidRPr="00466C3C">
              <w:rPr>
                <w:rStyle w:val="Hipervnculo"/>
                <w:rFonts w:ascii="Verdana" w:hAnsi="Verdana"/>
                <w:noProof/>
              </w:rPr>
              <w:t>4.2.</w:t>
            </w:r>
            <w:r w:rsidRPr="00466C3C">
              <w:rPr>
                <w:rFonts w:cstheme="minorBidi"/>
                <w:noProof/>
                <w:kern w:val="2"/>
                <w:sz w:val="24"/>
                <w:szCs w:val="24"/>
                <w14:ligatures w14:val="standardContextual"/>
              </w:rPr>
              <w:tab/>
            </w:r>
            <w:r w:rsidRPr="00466C3C">
              <w:rPr>
                <w:rStyle w:val="Hipervnculo"/>
                <w:rFonts w:ascii="Verdana" w:hAnsi="Verdana"/>
                <w:noProof/>
              </w:rPr>
              <w:t>Ejecución presupuestal (Por vigencia- Anexos)</w:t>
            </w:r>
            <w:r w:rsidRPr="00466C3C">
              <w:rPr>
                <w:noProof/>
                <w:webHidden/>
              </w:rPr>
              <w:tab/>
            </w:r>
            <w:r w:rsidRPr="00466C3C">
              <w:rPr>
                <w:noProof/>
                <w:webHidden/>
              </w:rPr>
              <w:fldChar w:fldCharType="begin"/>
            </w:r>
            <w:r w:rsidRPr="00466C3C">
              <w:rPr>
                <w:noProof/>
                <w:webHidden/>
              </w:rPr>
              <w:instrText xml:space="preserve"> PAGEREF _Toc233996730 \h </w:instrText>
            </w:r>
            <w:r w:rsidRPr="00466C3C">
              <w:rPr>
                <w:noProof/>
                <w:webHidden/>
              </w:rPr>
            </w:r>
            <w:r w:rsidRPr="00466C3C">
              <w:rPr>
                <w:noProof/>
                <w:webHidden/>
              </w:rPr>
              <w:fldChar w:fldCharType="separate"/>
            </w:r>
            <w:r w:rsidRPr="00466C3C">
              <w:rPr>
                <w:noProof/>
                <w:webHidden/>
              </w:rPr>
              <w:t>88</w:t>
            </w:r>
            <w:r w:rsidRPr="00466C3C">
              <w:rPr>
                <w:noProof/>
                <w:webHidden/>
              </w:rPr>
              <w:fldChar w:fldCharType="end"/>
            </w:r>
          </w:hyperlink>
        </w:p>
        <w:p w:rsidRPr="00466C3C" w:rsidR="00466C3C" w:rsidRDefault="00466C3C" w14:paraId="7CF353CE" w14:textId="69BDF853">
          <w:pPr>
            <w:pStyle w:val="TDC2"/>
            <w:tabs>
              <w:tab w:val="left" w:pos="960"/>
              <w:tab w:val="right" w:leader="dot" w:pos="8828"/>
            </w:tabs>
            <w:rPr>
              <w:rFonts w:cstheme="minorBidi"/>
              <w:noProof/>
              <w:kern w:val="2"/>
              <w:sz w:val="24"/>
              <w:szCs w:val="24"/>
              <w14:ligatures w14:val="standardContextual"/>
            </w:rPr>
          </w:pPr>
          <w:hyperlink w:history="1" w:anchor="_Toc233996731">
            <w:r w:rsidRPr="00466C3C">
              <w:rPr>
                <w:rStyle w:val="Hipervnculo"/>
                <w:rFonts w:ascii="Verdana" w:hAnsi="Verdana"/>
                <w:noProof/>
              </w:rPr>
              <w:t>4.3.</w:t>
            </w:r>
            <w:r w:rsidRPr="00466C3C">
              <w:rPr>
                <w:rFonts w:cstheme="minorBidi"/>
                <w:noProof/>
                <w:kern w:val="2"/>
                <w:sz w:val="24"/>
                <w:szCs w:val="24"/>
                <w14:ligatures w14:val="standardContextual"/>
              </w:rPr>
              <w:tab/>
            </w:r>
            <w:r w:rsidRPr="00466C3C">
              <w:rPr>
                <w:rStyle w:val="Hipervnculo"/>
                <w:rFonts w:ascii="Verdana" w:hAnsi="Verdana"/>
                <w:noProof/>
              </w:rPr>
              <w:t>Ejecución presupuestal proyectos de inversión Sector Minas y Energía por vigencia (Por vigencia)</w:t>
            </w:r>
            <w:r w:rsidRPr="00466C3C">
              <w:rPr>
                <w:noProof/>
                <w:webHidden/>
              </w:rPr>
              <w:tab/>
            </w:r>
            <w:r w:rsidRPr="00466C3C">
              <w:rPr>
                <w:noProof/>
                <w:webHidden/>
              </w:rPr>
              <w:fldChar w:fldCharType="begin"/>
            </w:r>
            <w:r w:rsidRPr="00466C3C">
              <w:rPr>
                <w:noProof/>
                <w:webHidden/>
              </w:rPr>
              <w:instrText xml:space="preserve"> PAGEREF _Toc233996731 \h </w:instrText>
            </w:r>
            <w:r w:rsidRPr="00466C3C">
              <w:rPr>
                <w:noProof/>
                <w:webHidden/>
              </w:rPr>
            </w:r>
            <w:r w:rsidRPr="00466C3C">
              <w:rPr>
                <w:noProof/>
                <w:webHidden/>
              </w:rPr>
              <w:fldChar w:fldCharType="separate"/>
            </w:r>
            <w:r w:rsidRPr="00466C3C">
              <w:rPr>
                <w:noProof/>
                <w:webHidden/>
              </w:rPr>
              <w:t>97</w:t>
            </w:r>
            <w:r w:rsidRPr="00466C3C">
              <w:rPr>
                <w:noProof/>
                <w:webHidden/>
              </w:rPr>
              <w:fldChar w:fldCharType="end"/>
            </w:r>
          </w:hyperlink>
        </w:p>
        <w:p w:rsidRPr="00466C3C" w:rsidR="00466C3C" w:rsidRDefault="00466C3C" w14:paraId="1DE2F841" w14:textId="053E1F01">
          <w:pPr>
            <w:pStyle w:val="TDC2"/>
            <w:tabs>
              <w:tab w:val="left" w:pos="960"/>
              <w:tab w:val="right" w:leader="dot" w:pos="8828"/>
            </w:tabs>
            <w:rPr>
              <w:rFonts w:cstheme="minorBidi"/>
              <w:noProof/>
              <w:kern w:val="2"/>
              <w:sz w:val="24"/>
              <w:szCs w:val="24"/>
              <w14:ligatures w14:val="standardContextual"/>
            </w:rPr>
          </w:pPr>
          <w:hyperlink w:history="1" w:anchor="_Toc233996732">
            <w:r w:rsidRPr="00466C3C">
              <w:rPr>
                <w:rStyle w:val="Hipervnculo"/>
                <w:rFonts w:ascii="Verdana" w:hAnsi="Verdana"/>
                <w:noProof/>
              </w:rPr>
              <w:t>4.4.</w:t>
            </w:r>
            <w:r w:rsidRPr="00466C3C">
              <w:rPr>
                <w:rFonts w:cstheme="minorBidi"/>
                <w:noProof/>
                <w:kern w:val="2"/>
                <w:sz w:val="24"/>
                <w:szCs w:val="24"/>
                <w14:ligatures w14:val="standardContextual"/>
              </w:rPr>
              <w:tab/>
            </w:r>
            <w:r w:rsidRPr="00466C3C">
              <w:rPr>
                <w:rStyle w:val="Hipervnculo"/>
                <w:rFonts w:ascii="Verdana" w:hAnsi="Verdana"/>
                <w:noProof/>
              </w:rPr>
              <w:t>Ejecución Presupuestal Subsidios y Fondos por vigencia (Por vigencia)</w:t>
            </w:r>
            <w:r w:rsidRPr="00466C3C">
              <w:rPr>
                <w:noProof/>
                <w:webHidden/>
              </w:rPr>
              <w:tab/>
            </w:r>
            <w:r w:rsidRPr="00466C3C">
              <w:rPr>
                <w:noProof/>
                <w:webHidden/>
              </w:rPr>
              <w:fldChar w:fldCharType="begin"/>
            </w:r>
            <w:r w:rsidRPr="00466C3C">
              <w:rPr>
                <w:noProof/>
                <w:webHidden/>
              </w:rPr>
              <w:instrText xml:space="preserve"> PAGEREF _Toc233996732 \h </w:instrText>
            </w:r>
            <w:r w:rsidRPr="00466C3C">
              <w:rPr>
                <w:noProof/>
                <w:webHidden/>
              </w:rPr>
            </w:r>
            <w:r w:rsidRPr="00466C3C">
              <w:rPr>
                <w:noProof/>
                <w:webHidden/>
              </w:rPr>
              <w:fldChar w:fldCharType="separate"/>
            </w:r>
            <w:r w:rsidRPr="00466C3C">
              <w:rPr>
                <w:noProof/>
                <w:webHidden/>
              </w:rPr>
              <w:t>105</w:t>
            </w:r>
            <w:r w:rsidRPr="00466C3C">
              <w:rPr>
                <w:noProof/>
                <w:webHidden/>
              </w:rPr>
              <w:fldChar w:fldCharType="end"/>
            </w:r>
          </w:hyperlink>
        </w:p>
        <w:p w:rsidRPr="00466C3C" w:rsidR="00466C3C" w:rsidRDefault="00466C3C" w14:paraId="275A972D" w14:textId="7554F7A4">
          <w:pPr>
            <w:pStyle w:val="TDC2"/>
            <w:tabs>
              <w:tab w:val="left" w:pos="960"/>
              <w:tab w:val="right" w:leader="dot" w:pos="8828"/>
            </w:tabs>
            <w:rPr>
              <w:rFonts w:cstheme="minorBidi"/>
              <w:noProof/>
              <w:kern w:val="2"/>
              <w:sz w:val="24"/>
              <w:szCs w:val="24"/>
              <w14:ligatures w14:val="standardContextual"/>
            </w:rPr>
          </w:pPr>
          <w:hyperlink w:history="1" w:anchor="_Toc233996733">
            <w:r w:rsidRPr="00466C3C">
              <w:rPr>
                <w:rStyle w:val="Hipervnculo"/>
                <w:rFonts w:ascii="Verdana" w:hAnsi="Verdana"/>
                <w:noProof/>
              </w:rPr>
              <w:t>4.5.</w:t>
            </w:r>
            <w:r w:rsidRPr="00466C3C">
              <w:rPr>
                <w:rFonts w:cstheme="minorBidi"/>
                <w:noProof/>
                <w:kern w:val="2"/>
                <w:sz w:val="24"/>
                <w:szCs w:val="24"/>
                <w14:ligatures w14:val="standardContextual"/>
              </w:rPr>
              <w:tab/>
            </w:r>
            <w:r w:rsidRPr="00466C3C">
              <w:rPr>
                <w:rStyle w:val="Hipervnculo"/>
                <w:rFonts w:ascii="Verdana" w:hAnsi="Verdana"/>
                <w:noProof/>
              </w:rPr>
              <w:t>Ejecución contractual por vigencia (Por vigencia)</w:t>
            </w:r>
            <w:r w:rsidRPr="00466C3C">
              <w:rPr>
                <w:noProof/>
                <w:webHidden/>
              </w:rPr>
              <w:tab/>
            </w:r>
            <w:r w:rsidRPr="00466C3C">
              <w:rPr>
                <w:noProof/>
                <w:webHidden/>
              </w:rPr>
              <w:fldChar w:fldCharType="begin"/>
            </w:r>
            <w:r w:rsidRPr="00466C3C">
              <w:rPr>
                <w:noProof/>
                <w:webHidden/>
              </w:rPr>
              <w:instrText xml:space="preserve"> PAGEREF _Toc233996733 \h </w:instrText>
            </w:r>
            <w:r w:rsidRPr="00466C3C">
              <w:rPr>
                <w:noProof/>
                <w:webHidden/>
              </w:rPr>
            </w:r>
            <w:r w:rsidRPr="00466C3C">
              <w:rPr>
                <w:noProof/>
                <w:webHidden/>
              </w:rPr>
              <w:fldChar w:fldCharType="separate"/>
            </w:r>
            <w:r w:rsidRPr="00466C3C">
              <w:rPr>
                <w:noProof/>
                <w:webHidden/>
              </w:rPr>
              <w:t>111</w:t>
            </w:r>
            <w:r w:rsidRPr="00466C3C">
              <w:rPr>
                <w:noProof/>
                <w:webHidden/>
              </w:rPr>
              <w:fldChar w:fldCharType="end"/>
            </w:r>
          </w:hyperlink>
        </w:p>
        <w:p w:rsidRPr="00466C3C" w:rsidR="00466C3C" w:rsidRDefault="00466C3C" w14:paraId="596670B6" w14:textId="2E77C332">
          <w:pPr>
            <w:pStyle w:val="TDC2"/>
            <w:tabs>
              <w:tab w:val="left" w:pos="960"/>
              <w:tab w:val="right" w:leader="dot" w:pos="8828"/>
            </w:tabs>
            <w:rPr>
              <w:rFonts w:cstheme="minorBidi"/>
              <w:noProof/>
              <w:kern w:val="2"/>
              <w:sz w:val="24"/>
              <w:szCs w:val="24"/>
              <w14:ligatures w14:val="standardContextual"/>
            </w:rPr>
          </w:pPr>
          <w:hyperlink w:history="1" w:anchor="_Toc233996734">
            <w:r w:rsidRPr="00466C3C">
              <w:rPr>
                <w:rStyle w:val="Hipervnculo"/>
                <w:rFonts w:ascii="Verdana" w:hAnsi="Verdana"/>
                <w:noProof/>
              </w:rPr>
              <w:t>4.6.</w:t>
            </w:r>
            <w:r w:rsidRPr="00466C3C">
              <w:rPr>
                <w:rFonts w:cstheme="minorBidi"/>
                <w:noProof/>
                <w:kern w:val="2"/>
                <w:sz w:val="24"/>
                <w:szCs w:val="24"/>
                <w14:ligatures w14:val="standardContextual"/>
              </w:rPr>
              <w:tab/>
            </w:r>
            <w:r w:rsidRPr="00466C3C">
              <w:rPr>
                <w:rStyle w:val="Hipervnculo"/>
                <w:rFonts w:ascii="Verdana" w:hAnsi="Verdana"/>
                <w:noProof/>
              </w:rPr>
              <w:t>Prácticas para la austeridad del gasto público</w:t>
            </w:r>
            <w:r w:rsidRPr="00466C3C">
              <w:rPr>
                <w:noProof/>
                <w:webHidden/>
              </w:rPr>
              <w:tab/>
            </w:r>
            <w:r w:rsidRPr="00466C3C">
              <w:rPr>
                <w:noProof/>
                <w:webHidden/>
              </w:rPr>
              <w:fldChar w:fldCharType="begin"/>
            </w:r>
            <w:r w:rsidRPr="00466C3C">
              <w:rPr>
                <w:noProof/>
                <w:webHidden/>
              </w:rPr>
              <w:instrText xml:space="preserve"> PAGEREF _Toc233996734 \h </w:instrText>
            </w:r>
            <w:r w:rsidRPr="00466C3C">
              <w:rPr>
                <w:noProof/>
                <w:webHidden/>
              </w:rPr>
            </w:r>
            <w:r w:rsidRPr="00466C3C">
              <w:rPr>
                <w:noProof/>
                <w:webHidden/>
              </w:rPr>
              <w:fldChar w:fldCharType="separate"/>
            </w:r>
            <w:r w:rsidRPr="00466C3C">
              <w:rPr>
                <w:noProof/>
                <w:webHidden/>
              </w:rPr>
              <w:t>117</w:t>
            </w:r>
            <w:r w:rsidRPr="00466C3C">
              <w:rPr>
                <w:noProof/>
                <w:webHidden/>
              </w:rPr>
              <w:fldChar w:fldCharType="end"/>
            </w:r>
          </w:hyperlink>
        </w:p>
        <w:p w:rsidRPr="00466C3C" w:rsidR="00466C3C" w:rsidRDefault="00466C3C" w14:paraId="49FEEE60" w14:textId="583E4507">
          <w:pPr>
            <w:pStyle w:val="TDC2"/>
            <w:tabs>
              <w:tab w:val="left" w:pos="960"/>
              <w:tab w:val="right" w:leader="dot" w:pos="8828"/>
            </w:tabs>
            <w:rPr>
              <w:rFonts w:cstheme="minorBidi"/>
              <w:noProof/>
              <w:kern w:val="2"/>
              <w:sz w:val="24"/>
              <w:szCs w:val="24"/>
              <w14:ligatures w14:val="standardContextual"/>
            </w:rPr>
          </w:pPr>
          <w:hyperlink w:history="1" w:anchor="_Toc233996735">
            <w:r w:rsidRPr="00466C3C">
              <w:rPr>
                <w:rStyle w:val="Hipervnculo"/>
                <w:rFonts w:ascii="Verdana" w:hAnsi="Verdana"/>
                <w:noProof/>
              </w:rPr>
              <w:t>4.7.</w:t>
            </w:r>
            <w:r w:rsidRPr="00466C3C">
              <w:rPr>
                <w:rFonts w:cstheme="minorBidi"/>
                <w:noProof/>
                <w:kern w:val="2"/>
                <w:sz w:val="24"/>
                <w:szCs w:val="24"/>
                <w14:ligatures w14:val="standardContextual"/>
              </w:rPr>
              <w:tab/>
            </w:r>
            <w:r w:rsidRPr="00466C3C">
              <w:rPr>
                <w:rStyle w:val="Hipervnculo"/>
                <w:rFonts w:ascii="Verdana" w:hAnsi="Verdana"/>
                <w:noProof/>
              </w:rPr>
              <w:t>Cobro coactivo</w:t>
            </w:r>
            <w:r w:rsidRPr="00466C3C">
              <w:rPr>
                <w:noProof/>
                <w:webHidden/>
              </w:rPr>
              <w:tab/>
            </w:r>
            <w:r w:rsidRPr="00466C3C">
              <w:rPr>
                <w:noProof/>
                <w:webHidden/>
              </w:rPr>
              <w:fldChar w:fldCharType="begin"/>
            </w:r>
            <w:r w:rsidRPr="00466C3C">
              <w:rPr>
                <w:noProof/>
                <w:webHidden/>
              </w:rPr>
              <w:instrText xml:space="preserve"> PAGEREF _Toc233996735 \h </w:instrText>
            </w:r>
            <w:r w:rsidRPr="00466C3C">
              <w:rPr>
                <w:noProof/>
                <w:webHidden/>
              </w:rPr>
            </w:r>
            <w:r w:rsidRPr="00466C3C">
              <w:rPr>
                <w:noProof/>
                <w:webHidden/>
              </w:rPr>
              <w:fldChar w:fldCharType="separate"/>
            </w:r>
            <w:r w:rsidRPr="00466C3C">
              <w:rPr>
                <w:noProof/>
                <w:webHidden/>
              </w:rPr>
              <w:t>121</w:t>
            </w:r>
            <w:r w:rsidRPr="00466C3C">
              <w:rPr>
                <w:noProof/>
                <w:webHidden/>
              </w:rPr>
              <w:fldChar w:fldCharType="end"/>
            </w:r>
          </w:hyperlink>
        </w:p>
        <w:p w:rsidRPr="00466C3C" w:rsidR="00466C3C" w:rsidRDefault="00466C3C" w14:paraId="540BC72B" w14:textId="3F76F5DD">
          <w:pPr>
            <w:pStyle w:val="TDC1"/>
            <w:tabs>
              <w:tab w:val="left" w:pos="720"/>
              <w:tab w:val="right" w:leader="dot" w:pos="8828"/>
            </w:tabs>
            <w:rPr>
              <w:rFonts w:cstheme="minorBidi"/>
              <w:noProof/>
              <w:kern w:val="2"/>
              <w:sz w:val="24"/>
              <w:szCs w:val="24"/>
              <w14:ligatures w14:val="standardContextual"/>
            </w:rPr>
          </w:pPr>
          <w:hyperlink w:history="1" w:anchor="_Toc233996736">
            <w:r w:rsidRPr="00466C3C">
              <w:rPr>
                <w:rStyle w:val="Hipervnculo"/>
                <w:rFonts w:ascii="Verdana" w:hAnsi="Verdana"/>
                <w:noProof/>
              </w:rPr>
              <w:t>5.</w:t>
            </w:r>
            <w:r w:rsidRPr="00466C3C">
              <w:rPr>
                <w:rFonts w:cstheme="minorBidi"/>
                <w:noProof/>
                <w:kern w:val="2"/>
                <w:sz w:val="24"/>
                <w:szCs w:val="24"/>
                <w14:ligatures w14:val="standardContextual"/>
              </w:rPr>
              <w:tab/>
            </w:r>
            <w:r w:rsidRPr="00466C3C">
              <w:rPr>
                <w:rStyle w:val="Hipervnculo"/>
                <w:rFonts w:ascii="Verdana" w:hAnsi="Verdana"/>
                <w:noProof/>
              </w:rPr>
              <w:t>De cara al ciudadano</w:t>
            </w:r>
            <w:r w:rsidRPr="00466C3C">
              <w:rPr>
                <w:noProof/>
                <w:webHidden/>
              </w:rPr>
              <w:tab/>
            </w:r>
            <w:r w:rsidRPr="00466C3C">
              <w:rPr>
                <w:noProof/>
                <w:webHidden/>
              </w:rPr>
              <w:fldChar w:fldCharType="begin"/>
            </w:r>
            <w:r w:rsidRPr="00466C3C">
              <w:rPr>
                <w:noProof/>
                <w:webHidden/>
              </w:rPr>
              <w:instrText xml:space="preserve"> PAGEREF _Toc233996736 \h </w:instrText>
            </w:r>
            <w:r w:rsidRPr="00466C3C">
              <w:rPr>
                <w:noProof/>
                <w:webHidden/>
              </w:rPr>
            </w:r>
            <w:r w:rsidRPr="00466C3C">
              <w:rPr>
                <w:noProof/>
                <w:webHidden/>
              </w:rPr>
              <w:fldChar w:fldCharType="separate"/>
            </w:r>
            <w:r w:rsidRPr="00466C3C">
              <w:rPr>
                <w:noProof/>
                <w:webHidden/>
              </w:rPr>
              <w:t>123</w:t>
            </w:r>
            <w:r w:rsidRPr="00466C3C">
              <w:rPr>
                <w:noProof/>
                <w:webHidden/>
              </w:rPr>
              <w:fldChar w:fldCharType="end"/>
            </w:r>
          </w:hyperlink>
        </w:p>
        <w:p w:rsidRPr="00466C3C" w:rsidR="00466C3C" w:rsidRDefault="00466C3C" w14:paraId="62E4A4D8" w14:textId="4057ACBC">
          <w:pPr>
            <w:pStyle w:val="TDC2"/>
            <w:tabs>
              <w:tab w:val="left" w:pos="960"/>
              <w:tab w:val="right" w:leader="dot" w:pos="8828"/>
            </w:tabs>
            <w:rPr>
              <w:rFonts w:cstheme="minorBidi"/>
              <w:noProof/>
              <w:kern w:val="2"/>
              <w:sz w:val="24"/>
              <w:szCs w:val="24"/>
              <w14:ligatures w14:val="standardContextual"/>
            </w:rPr>
          </w:pPr>
          <w:hyperlink w:history="1" w:anchor="_Toc233996737">
            <w:r w:rsidRPr="00466C3C">
              <w:rPr>
                <w:rStyle w:val="Hipervnculo"/>
                <w:rFonts w:ascii="Verdana" w:hAnsi="Verdana"/>
                <w:noProof/>
              </w:rPr>
              <w:t>5.1.</w:t>
            </w:r>
            <w:r w:rsidRPr="00466C3C">
              <w:rPr>
                <w:rFonts w:cstheme="minorBidi"/>
                <w:noProof/>
                <w:kern w:val="2"/>
                <w:sz w:val="24"/>
                <w:szCs w:val="24"/>
                <w14:ligatures w14:val="standardContextual"/>
              </w:rPr>
              <w:tab/>
            </w:r>
            <w:r w:rsidRPr="00466C3C">
              <w:rPr>
                <w:rStyle w:val="Hipervnculo"/>
                <w:rFonts w:ascii="Verdana" w:hAnsi="Verdana"/>
                <w:noProof/>
              </w:rPr>
              <w:t>Caracterización de usuarios y medición de la satisfacción</w:t>
            </w:r>
            <w:r w:rsidRPr="00466C3C">
              <w:rPr>
                <w:noProof/>
                <w:webHidden/>
              </w:rPr>
              <w:tab/>
            </w:r>
            <w:r w:rsidRPr="00466C3C">
              <w:rPr>
                <w:noProof/>
                <w:webHidden/>
              </w:rPr>
              <w:fldChar w:fldCharType="begin"/>
            </w:r>
            <w:r w:rsidRPr="00466C3C">
              <w:rPr>
                <w:noProof/>
                <w:webHidden/>
              </w:rPr>
              <w:instrText xml:space="preserve"> PAGEREF _Toc233996737 \h </w:instrText>
            </w:r>
            <w:r w:rsidRPr="00466C3C">
              <w:rPr>
                <w:noProof/>
                <w:webHidden/>
              </w:rPr>
            </w:r>
            <w:r w:rsidRPr="00466C3C">
              <w:rPr>
                <w:noProof/>
                <w:webHidden/>
              </w:rPr>
              <w:fldChar w:fldCharType="separate"/>
            </w:r>
            <w:r w:rsidRPr="00466C3C">
              <w:rPr>
                <w:noProof/>
                <w:webHidden/>
              </w:rPr>
              <w:t>123</w:t>
            </w:r>
            <w:r w:rsidRPr="00466C3C">
              <w:rPr>
                <w:noProof/>
                <w:webHidden/>
              </w:rPr>
              <w:fldChar w:fldCharType="end"/>
            </w:r>
          </w:hyperlink>
        </w:p>
        <w:p w:rsidRPr="00466C3C" w:rsidR="00466C3C" w:rsidRDefault="00466C3C" w14:paraId="7894E5B5" w14:textId="24CE91F2">
          <w:pPr>
            <w:pStyle w:val="TDC2"/>
            <w:tabs>
              <w:tab w:val="left" w:pos="960"/>
              <w:tab w:val="right" w:leader="dot" w:pos="8828"/>
            </w:tabs>
            <w:rPr>
              <w:rFonts w:cstheme="minorBidi"/>
              <w:noProof/>
              <w:kern w:val="2"/>
              <w:sz w:val="24"/>
              <w:szCs w:val="24"/>
              <w14:ligatures w14:val="standardContextual"/>
            </w:rPr>
          </w:pPr>
          <w:hyperlink w:history="1" w:anchor="_Toc233996738">
            <w:r w:rsidRPr="00466C3C">
              <w:rPr>
                <w:rStyle w:val="Hipervnculo"/>
                <w:rFonts w:ascii="Verdana" w:hAnsi="Verdana"/>
                <w:noProof/>
              </w:rPr>
              <w:t>5.2.</w:t>
            </w:r>
            <w:r w:rsidRPr="00466C3C">
              <w:rPr>
                <w:rFonts w:cstheme="minorBidi"/>
                <w:noProof/>
                <w:kern w:val="2"/>
                <w:sz w:val="24"/>
                <w:szCs w:val="24"/>
                <w14:ligatures w14:val="standardContextual"/>
              </w:rPr>
              <w:tab/>
            </w:r>
            <w:r w:rsidRPr="00466C3C">
              <w:rPr>
                <w:rStyle w:val="Hipervnculo"/>
                <w:rFonts w:ascii="Verdana" w:hAnsi="Verdana"/>
                <w:noProof/>
              </w:rPr>
              <w:t>Canales de atención y servicio a las ciudadanías diversas</w:t>
            </w:r>
            <w:r w:rsidRPr="00466C3C">
              <w:rPr>
                <w:noProof/>
                <w:webHidden/>
              </w:rPr>
              <w:tab/>
            </w:r>
            <w:r w:rsidRPr="00466C3C">
              <w:rPr>
                <w:noProof/>
                <w:webHidden/>
              </w:rPr>
              <w:fldChar w:fldCharType="begin"/>
            </w:r>
            <w:r w:rsidRPr="00466C3C">
              <w:rPr>
                <w:noProof/>
                <w:webHidden/>
              </w:rPr>
              <w:instrText xml:space="preserve"> PAGEREF _Toc233996738 \h </w:instrText>
            </w:r>
            <w:r w:rsidRPr="00466C3C">
              <w:rPr>
                <w:noProof/>
                <w:webHidden/>
              </w:rPr>
            </w:r>
            <w:r w:rsidRPr="00466C3C">
              <w:rPr>
                <w:noProof/>
                <w:webHidden/>
              </w:rPr>
              <w:fldChar w:fldCharType="separate"/>
            </w:r>
            <w:r w:rsidRPr="00466C3C">
              <w:rPr>
                <w:noProof/>
                <w:webHidden/>
              </w:rPr>
              <w:t>128</w:t>
            </w:r>
            <w:r w:rsidRPr="00466C3C">
              <w:rPr>
                <w:noProof/>
                <w:webHidden/>
              </w:rPr>
              <w:fldChar w:fldCharType="end"/>
            </w:r>
          </w:hyperlink>
        </w:p>
        <w:p w:rsidRPr="00466C3C" w:rsidR="00466C3C" w:rsidRDefault="00466C3C" w14:paraId="033D3889" w14:textId="5AC0347A">
          <w:pPr>
            <w:pStyle w:val="TDC2"/>
            <w:tabs>
              <w:tab w:val="left" w:pos="960"/>
              <w:tab w:val="right" w:leader="dot" w:pos="8828"/>
            </w:tabs>
            <w:rPr>
              <w:rFonts w:cstheme="minorBidi"/>
              <w:noProof/>
              <w:kern w:val="2"/>
              <w:sz w:val="24"/>
              <w:szCs w:val="24"/>
              <w14:ligatures w14:val="standardContextual"/>
            </w:rPr>
          </w:pPr>
          <w:hyperlink w:history="1" w:anchor="_Toc233996739">
            <w:r w:rsidRPr="00466C3C">
              <w:rPr>
                <w:rStyle w:val="Hipervnculo"/>
                <w:rFonts w:ascii="Verdana" w:hAnsi="Verdana"/>
                <w:noProof/>
              </w:rPr>
              <w:t>5.3.</w:t>
            </w:r>
            <w:r w:rsidRPr="00466C3C">
              <w:rPr>
                <w:rFonts w:cstheme="minorBidi"/>
                <w:noProof/>
                <w:kern w:val="2"/>
                <w:sz w:val="24"/>
                <w:szCs w:val="24"/>
                <w14:ligatures w14:val="standardContextual"/>
              </w:rPr>
              <w:tab/>
            </w:r>
            <w:r w:rsidRPr="00466C3C">
              <w:rPr>
                <w:rStyle w:val="Hipervnculo"/>
                <w:rFonts w:ascii="Verdana" w:hAnsi="Verdana"/>
                <w:noProof/>
              </w:rPr>
              <w:t>Participación de las ciudadanías diversas y prácticas de control social (Incluiría RdC, avances de estrategia educomunicativa, Nodo de RdC y RdC de Paz)</w:t>
            </w:r>
            <w:r w:rsidRPr="00466C3C">
              <w:rPr>
                <w:noProof/>
                <w:webHidden/>
              </w:rPr>
              <w:tab/>
            </w:r>
            <w:r w:rsidRPr="00466C3C">
              <w:rPr>
                <w:noProof/>
                <w:webHidden/>
              </w:rPr>
              <w:fldChar w:fldCharType="begin"/>
            </w:r>
            <w:r w:rsidRPr="00466C3C">
              <w:rPr>
                <w:noProof/>
                <w:webHidden/>
              </w:rPr>
              <w:instrText xml:space="preserve"> PAGEREF _Toc233996739 \h </w:instrText>
            </w:r>
            <w:r w:rsidRPr="00466C3C">
              <w:rPr>
                <w:noProof/>
                <w:webHidden/>
              </w:rPr>
            </w:r>
            <w:r w:rsidRPr="00466C3C">
              <w:rPr>
                <w:noProof/>
                <w:webHidden/>
              </w:rPr>
              <w:fldChar w:fldCharType="separate"/>
            </w:r>
            <w:r w:rsidRPr="00466C3C">
              <w:rPr>
                <w:noProof/>
                <w:webHidden/>
              </w:rPr>
              <w:t>132</w:t>
            </w:r>
            <w:r w:rsidRPr="00466C3C">
              <w:rPr>
                <w:noProof/>
                <w:webHidden/>
              </w:rPr>
              <w:fldChar w:fldCharType="end"/>
            </w:r>
          </w:hyperlink>
        </w:p>
        <w:p w:rsidRPr="00466C3C" w:rsidR="00466C3C" w:rsidRDefault="00466C3C" w14:paraId="5EAE82E9" w14:textId="08BDD8EE">
          <w:pPr>
            <w:pStyle w:val="TDC2"/>
            <w:tabs>
              <w:tab w:val="left" w:pos="960"/>
              <w:tab w:val="right" w:leader="dot" w:pos="8828"/>
            </w:tabs>
            <w:rPr>
              <w:rFonts w:cstheme="minorBidi"/>
              <w:noProof/>
              <w:kern w:val="2"/>
              <w:sz w:val="24"/>
              <w:szCs w:val="24"/>
              <w14:ligatures w14:val="standardContextual"/>
            </w:rPr>
          </w:pPr>
          <w:hyperlink w:history="1" w:anchor="_Toc233996740">
            <w:r w:rsidRPr="00466C3C">
              <w:rPr>
                <w:rStyle w:val="Hipervnculo"/>
                <w:rFonts w:ascii="Verdana" w:hAnsi="Verdana"/>
                <w:noProof/>
              </w:rPr>
              <w:t>5.4.</w:t>
            </w:r>
            <w:r w:rsidRPr="00466C3C">
              <w:rPr>
                <w:rFonts w:cstheme="minorBidi"/>
                <w:noProof/>
                <w:kern w:val="2"/>
                <w:sz w:val="24"/>
                <w:szCs w:val="24"/>
                <w14:ligatures w14:val="standardContextual"/>
              </w:rPr>
              <w:tab/>
            </w:r>
            <w:r w:rsidRPr="00466C3C">
              <w:rPr>
                <w:rStyle w:val="Hipervnculo"/>
                <w:rFonts w:ascii="Verdana" w:hAnsi="Verdana"/>
                <w:noProof/>
              </w:rPr>
              <w:t>Oferta de trámites y servicios</w:t>
            </w:r>
            <w:r w:rsidRPr="00466C3C">
              <w:rPr>
                <w:noProof/>
                <w:webHidden/>
              </w:rPr>
              <w:tab/>
            </w:r>
            <w:r w:rsidRPr="00466C3C">
              <w:rPr>
                <w:noProof/>
                <w:webHidden/>
              </w:rPr>
              <w:fldChar w:fldCharType="begin"/>
            </w:r>
            <w:r w:rsidRPr="00466C3C">
              <w:rPr>
                <w:noProof/>
                <w:webHidden/>
              </w:rPr>
              <w:instrText xml:space="preserve"> PAGEREF _Toc233996740 \h </w:instrText>
            </w:r>
            <w:r w:rsidRPr="00466C3C">
              <w:rPr>
                <w:noProof/>
                <w:webHidden/>
              </w:rPr>
            </w:r>
            <w:r w:rsidRPr="00466C3C">
              <w:rPr>
                <w:noProof/>
                <w:webHidden/>
              </w:rPr>
              <w:fldChar w:fldCharType="separate"/>
            </w:r>
            <w:r w:rsidRPr="00466C3C">
              <w:rPr>
                <w:noProof/>
                <w:webHidden/>
              </w:rPr>
              <w:t>136</w:t>
            </w:r>
            <w:r w:rsidRPr="00466C3C">
              <w:rPr>
                <w:noProof/>
                <w:webHidden/>
              </w:rPr>
              <w:fldChar w:fldCharType="end"/>
            </w:r>
          </w:hyperlink>
        </w:p>
        <w:p w:rsidRPr="00466C3C" w:rsidR="00466C3C" w:rsidRDefault="00466C3C" w14:paraId="67E105C0" w14:textId="58EE94A6">
          <w:pPr>
            <w:pStyle w:val="TDC2"/>
            <w:tabs>
              <w:tab w:val="left" w:pos="720"/>
              <w:tab w:val="right" w:leader="dot" w:pos="8828"/>
            </w:tabs>
            <w:rPr>
              <w:rFonts w:cstheme="minorBidi"/>
              <w:noProof/>
              <w:kern w:val="2"/>
              <w:sz w:val="24"/>
              <w:szCs w:val="24"/>
              <w14:ligatures w14:val="standardContextual"/>
            </w:rPr>
          </w:pPr>
          <w:hyperlink w:history="1" w:anchor="_Toc233996741">
            <w:r w:rsidRPr="00466C3C">
              <w:rPr>
                <w:rStyle w:val="Hipervnculo"/>
                <w:rFonts w:ascii="Verdana" w:hAnsi="Verdana"/>
                <w:noProof/>
              </w:rPr>
              <w:t>6.</w:t>
            </w:r>
            <w:r w:rsidRPr="00466C3C">
              <w:rPr>
                <w:rFonts w:cstheme="minorBidi"/>
                <w:noProof/>
                <w:kern w:val="2"/>
                <w:sz w:val="24"/>
                <w:szCs w:val="24"/>
                <w14:ligatures w14:val="standardContextual"/>
              </w:rPr>
              <w:tab/>
            </w:r>
            <w:r w:rsidRPr="00466C3C">
              <w:rPr>
                <w:rStyle w:val="Hipervnculo"/>
                <w:rFonts w:ascii="Verdana" w:hAnsi="Verdana"/>
                <w:noProof/>
              </w:rPr>
              <w:t>Derechos Humanos y Paz</w:t>
            </w:r>
            <w:r w:rsidRPr="00466C3C">
              <w:rPr>
                <w:noProof/>
                <w:webHidden/>
              </w:rPr>
              <w:tab/>
            </w:r>
            <w:r w:rsidRPr="00466C3C">
              <w:rPr>
                <w:noProof/>
                <w:webHidden/>
              </w:rPr>
              <w:fldChar w:fldCharType="begin"/>
            </w:r>
            <w:r w:rsidRPr="00466C3C">
              <w:rPr>
                <w:noProof/>
                <w:webHidden/>
              </w:rPr>
              <w:instrText xml:space="preserve"> PAGEREF _Toc233996741 \h </w:instrText>
            </w:r>
            <w:r w:rsidRPr="00466C3C">
              <w:rPr>
                <w:noProof/>
                <w:webHidden/>
              </w:rPr>
            </w:r>
            <w:r w:rsidRPr="00466C3C">
              <w:rPr>
                <w:noProof/>
                <w:webHidden/>
              </w:rPr>
              <w:fldChar w:fldCharType="separate"/>
            </w:r>
            <w:r w:rsidRPr="00466C3C">
              <w:rPr>
                <w:noProof/>
                <w:webHidden/>
              </w:rPr>
              <w:t>137</w:t>
            </w:r>
            <w:r w:rsidRPr="00466C3C">
              <w:rPr>
                <w:noProof/>
                <w:webHidden/>
              </w:rPr>
              <w:fldChar w:fldCharType="end"/>
            </w:r>
          </w:hyperlink>
        </w:p>
        <w:p w:rsidRPr="00466C3C" w:rsidR="00466C3C" w:rsidRDefault="00466C3C" w14:paraId="3EA6972D" w14:textId="76210A48">
          <w:pPr>
            <w:pStyle w:val="TDC2"/>
            <w:tabs>
              <w:tab w:val="right" w:leader="dot" w:pos="8828"/>
            </w:tabs>
            <w:rPr>
              <w:rFonts w:cstheme="minorBidi"/>
              <w:noProof/>
              <w:kern w:val="2"/>
              <w:sz w:val="24"/>
              <w:szCs w:val="24"/>
              <w14:ligatures w14:val="standardContextual"/>
            </w:rPr>
          </w:pPr>
          <w:hyperlink w:history="1" w:anchor="_Toc233996742">
            <w:r w:rsidRPr="00466C3C">
              <w:rPr>
                <w:rStyle w:val="Hipervnculo"/>
                <w:rFonts w:ascii="Verdana" w:hAnsi="Verdana"/>
                <w:noProof/>
              </w:rPr>
              <w:t>6.1 Derechos humanos y paz</w:t>
            </w:r>
            <w:r w:rsidRPr="00466C3C">
              <w:rPr>
                <w:noProof/>
                <w:webHidden/>
              </w:rPr>
              <w:tab/>
            </w:r>
            <w:r w:rsidRPr="00466C3C">
              <w:rPr>
                <w:noProof/>
                <w:webHidden/>
              </w:rPr>
              <w:fldChar w:fldCharType="begin"/>
            </w:r>
            <w:r w:rsidRPr="00466C3C">
              <w:rPr>
                <w:noProof/>
                <w:webHidden/>
              </w:rPr>
              <w:instrText xml:space="preserve"> PAGEREF _Toc233996742 \h </w:instrText>
            </w:r>
            <w:r w:rsidRPr="00466C3C">
              <w:rPr>
                <w:noProof/>
                <w:webHidden/>
              </w:rPr>
            </w:r>
            <w:r w:rsidRPr="00466C3C">
              <w:rPr>
                <w:noProof/>
                <w:webHidden/>
              </w:rPr>
              <w:fldChar w:fldCharType="separate"/>
            </w:r>
            <w:r w:rsidRPr="00466C3C">
              <w:rPr>
                <w:noProof/>
                <w:webHidden/>
              </w:rPr>
              <w:t>148</w:t>
            </w:r>
            <w:r w:rsidRPr="00466C3C">
              <w:rPr>
                <w:noProof/>
                <w:webHidden/>
              </w:rPr>
              <w:fldChar w:fldCharType="end"/>
            </w:r>
          </w:hyperlink>
        </w:p>
        <w:p w:rsidRPr="00466C3C" w:rsidR="00466C3C" w:rsidRDefault="00466C3C" w14:paraId="18027FED" w14:textId="1164C155">
          <w:pPr>
            <w:pStyle w:val="TDC2"/>
            <w:tabs>
              <w:tab w:val="right" w:leader="dot" w:pos="8828"/>
            </w:tabs>
            <w:rPr>
              <w:rFonts w:cstheme="minorBidi"/>
              <w:noProof/>
              <w:kern w:val="2"/>
              <w:sz w:val="24"/>
              <w:szCs w:val="24"/>
              <w14:ligatures w14:val="standardContextual"/>
            </w:rPr>
          </w:pPr>
          <w:hyperlink w:history="1" w:anchor="_Toc233996743">
            <w:r w:rsidRPr="00466C3C">
              <w:rPr>
                <w:rStyle w:val="Hipervnculo"/>
                <w:rFonts w:ascii="Verdana" w:hAnsi="Verdana"/>
                <w:noProof/>
              </w:rPr>
              <w:t>6.2 Género</w:t>
            </w:r>
            <w:r w:rsidRPr="00466C3C">
              <w:rPr>
                <w:noProof/>
                <w:webHidden/>
              </w:rPr>
              <w:tab/>
            </w:r>
            <w:r w:rsidRPr="00466C3C">
              <w:rPr>
                <w:noProof/>
                <w:webHidden/>
              </w:rPr>
              <w:fldChar w:fldCharType="begin"/>
            </w:r>
            <w:r w:rsidRPr="00466C3C">
              <w:rPr>
                <w:noProof/>
                <w:webHidden/>
              </w:rPr>
              <w:instrText xml:space="preserve"> PAGEREF _Toc233996743 \h </w:instrText>
            </w:r>
            <w:r w:rsidRPr="00466C3C">
              <w:rPr>
                <w:noProof/>
                <w:webHidden/>
              </w:rPr>
            </w:r>
            <w:r w:rsidRPr="00466C3C">
              <w:rPr>
                <w:noProof/>
                <w:webHidden/>
              </w:rPr>
              <w:fldChar w:fldCharType="separate"/>
            </w:r>
            <w:r w:rsidRPr="00466C3C">
              <w:rPr>
                <w:noProof/>
                <w:webHidden/>
              </w:rPr>
              <w:t>149</w:t>
            </w:r>
            <w:r w:rsidRPr="00466C3C">
              <w:rPr>
                <w:noProof/>
                <w:webHidden/>
              </w:rPr>
              <w:fldChar w:fldCharType="end"/>
            </w:r>
          </w:hyperlink>
        </w:p>
        <w:p w:rsidRPr="00466C3C" w:rsidR="00466C3C" w:rsidRDefault="00466C3C" w14:paraId="32F27420" w14:textId="44AA610E">
          <w:pPr>
            <w:pStyle w:val="TDC1"/>
            <w:tabs>
              <w:tab w:val="left" w:pos="720"/>
              <w:tab w:val="right" w:leader="dot" w:pos="8828"/>
            </w:tabs>
            <w:rPr>
              <w:rFonts w:cstheme="minorBidi"/>
              <w:noProof/>
              <w:kern w:val="2"/>
              <w:sz w:val="24"/>
              <w:szCs w:val="24"/>
              <w14:ligatures w14:val="standardContextual"/>
            </w:rPr>
          </w:pPr>
          <w:hyperlink w:history="1" w:anchor="_Toc233996744">
            <w:r w:rsidRPr="00466C3C">
              <w:rPr>
                <w:rStyle w:val="Hipervnculo"/>
                <w:rFonts w:ascii="Verdana" w:hAnsi="Verdana"/>
                <w:noProof/>
              </w:rPr>
              <w:t>7.</w:t>
            </w:r>
            <w:r w:rsidRPr="00466C3C">
              <w:rPr>
                <w:rFonts w:cstheme="minorBidi"/>
                <w:noProof/>
                <w:kern w:val="2"/>
                <w:sz w:val="24"/>
                <w:szCs w:val="24"/>
                <w14:ligatures w14:val="standardContextual"/>
              </w:rPr>
              <w:tab/>
            </w:r>
            <w:r w:rsidRPr="00466C3C">
              <w:rPr>
                <w:rStyle w:val="Hipervnculo"/>
                <w:rFonts w:ascii="Verdana" w:hAnsi="Verdana"/>
                <w:noProof/>
              </w:rPr>
              <w:t>Nuestro desempeño</w:t>
            </w:r>
            <w:r w:rsidRPr="00466C3C">
              <w:rPr>
                <w:noProof/>
                <w:webHidden/>
              </w:rPr>
              <w:tab/>
            </w:r>
            <w:r w:rsidRPr="00466C3C">
              <w:rPr>
                <w:noProof/>
                <w:webHidden/>
              </w:rPr>
              <w:fldChar w:fldCharType="begin"/>
            </w:r>
            <w:r w:rsidRPr="00466C3C">
              <w:rPr>
                <w:noProof/>
                <w:webHidden/>
              </w:rPr>
              <w:instrText xml:space="preserve"> PAGEREF _Toc233996744 \h </w:instrText>
            </w:r>
            <w:r w:rsidRPr="00466C3C">
              <w:rPr>
                <w:noProof/>
                <w:webHidden/>
              </w:rPr>
            </w:r>
            <w:r w:rsidRPr="00466C3C">
              <w:rPr>
                <w:noProof/>
                <w:webHidden/>
              </w:rPr>
              <w:fldChar w:fldCharType="separate"/>
            </w:r>
            <w:r w:rsidRPr="00466C3C">
              <w:rPr>
                <w:noProof/>
                <w:webHidden/>
              </w:rPr>
              <w:t>162</w:t>
            </w:r>
            <w:r w:rsidRPr="00466C3C">
              <w:rPr>
                <w:noProof/>
                <w:webHidden/>
              </w:rPr>
              <w:fldChar w:fldCharType="end"/>
            </w:r>
          </w:hyperlink>
        </w:p>
        <w:p w:rsidRPr="00466C3C" w:rsidR="00466C3C" w:rsidRDefault="00466C3C" w14:paraId="1A5DBEFA" w14:textId="3C93CA40">
          <w:pPr>
            <w:pStyle w:val="TDC2"/>
            <w:tabs>
              <w:tab w:val="left" w:pos="960"/>
              <w:tab w:val="right" w:leader="dot" w:pos="8828"/>
            </w:tabs>
            <w:rPr>
              <w:rFonts w:cstheme="minorBidi"/>
              <w:noProof/>
              <w:kern w:val="2"/>
              <w:sz w:val="24"/>
              <w:szCs w:val="24"/>
              <w14:ligatures w14:val="standardContextual"/>
            </w:rPr>
          </w:pPr>
          <w:hyperlink w:history="1" w:anchor="_Toc233996745">
            <w:r w:rsidRPr="00466C3C">
              <w:rPr>
                <w:rStyle w:val="Hipervnculo"/>
                <w:rFonts w:ascii="Verdana" w:hAnsi="Verdana"/>
                <w:noProof/>
              </w:rPr>
              <w:t>7.1.</w:t>
            </w:r>
            <w:r w:rsidRPr="00466C3C">
              <w:rPr>
                <w:rFonts w:cstheme="minorBidi"/>
                <w:noProof/>
                <w:kern w:val="2"/>
                <w:sz w:val="24"/>
                <w:szCs w:val="24"/>
                <w14:ligatures w14:val="standardContextual"/>
              </w:rPr>
              <w:tab/>
            </w:r>
            <w:r w:rsidRPr="00466C3C">
              <w:rPr>
                <w:rStyle w:val="Hipervnculo"/>
                <w:rFonts w:ascii="Verdana" w:hAnsi="Verdana"/>
                <w:noProof/>
              </w:rPr>
              <w:t>Avances en la implementación MIPG y MDI</w:t>
            </w:r>
            <w:r w:rsidRPr="00466C3C">
              <w:rPr>
                <w:noProof/>
                <w:webHidden/>
              </w:rPr>
              <w:tab/>
            </w:r>
            <w:r w:rsidRPr="00466C3C">
              <w:rPr>
                <w:noProof/>
                <w:webHidden/>
              </w:rPr>
              <w:fldChar w:fldCharType="begin"/>
            </w:r>
            <w:r w:rsidRPr="00466C3C">
              <w:rPr>
                <w:noProof/>
                <w:webHidden/>
              </w:rPr>
              <w:instrText xml:space="preserve"> PAGEREF _Toc233996745 \h </w:instrText>
            </w:r>
            <w:r w:rsidRPr="00466C3C">
              <w:rPr>
                <w:noProof/>
                <w:webHidden/>
              </w:rPr>
            </w:r>
            <w:r w:rsidRPr="00466C3C">
              <w:rPr>
                <w:noProof/>
                <w:webHidden/>
              </w:rPr>
              <w:fldChar w:fldCharType="separate"/>
            </w:r>
            <w:r w:rsidRPr="00466C3C">
              <w:rPr>
                <w:noProof/>
                <w:webHidden/>
              </w:rPr>
              <w:t>163</w:t>
            </w:r>
            <w:r w:rsidRPr="00466C3C">
              <w:rPr>
                <w:noProof/>
                <w:webHidden/>
              </w:rPr>
              <w:fldChar w:fldCharType="end"/>
            </w:r>
          </w:hyperlink>
        </w:p>
        <w:p w:rsidRPr="00466C3C" w:rsidR="00466C3C" w:rsidRDefault="00466C3C" w14:paraId="19743E03" w14:textId="27124315">
          <w:pPr>
            <w:pStyle w:val="TDC2"/>
            <w:tabs>
              <w:tab w:val="left" w:pos="960"/>
              <w:tab w:val="right" w:leader="dot" w:pos="8828"/>
            </w:tabs>
            <w:rPr>
              <w:rFonts w:cstheme="minorBidi"/>
              <w:noProof/>
              <w:kern w:val="2"/>
              <w:sz w:val="24"/>
              <w:szCs w:val="24"/>
              <w14:ligatures w14:val="standardContextual"/>
            </w:rPr>
          </w:pPr>
          <w:hyperlink w:history="1" w:anchor="_Toc233996746">
            <w:r w:rsidRPr="00466C3C">
              <w:rPr>
                <w:rStyle w:val="Hipervnculo"/>
                <w:rFonts w:ascii="Verdana" w:hAnsi="Verdana"/>
                <w:noProof/>
              </w:rPr>
              <w:t>7.2.</w:t>
            </w:r>
            <w:r w:rsidRPr="00466C3C">
              <w:rPr>
                <w:rFonts w:cstheme="minorBidi"/>
                <w:noProof/>
                <w:kern w:val="2"/>
                <w:sz w:val="24"/>
                <w:szCs w:val="24"/>
                <w14:ligatures w14:val="standardContextual"/>
              </w:rPr>
              <w:tab/>
            </w:r>
            <w:r w:rsidRPr="00466C3C">
              <w:rPr>
                <w:rStyle w:val="Hipervnculo"/>
                <w:rFonts w:ascii="Verdana" w:hAnsi="Verdana"/>
                <w:noProof/>
              </w:rPr>
              <w:t>Sistema Integrado de Gestión del Ministerio de Minas y Energía</w:t>
            </w:r>
            <w:r w:rsidRPr="00466C3C">
              <w:rPr>
                <w:noProof/>
                <w:webHidden/>
              </w:rPr>
              <w:tab/>
            </w:r>
            <w:r w:rsidRPr="00466C3C">
              <w:rPr>
                <w:noProof/>
                <w:webHidden/>
              </w:rPr>
              <w:fldChar w:fldCharType="begin"/>
            </w:r>
            <w:r w:rsidRPr="00466C3C">
              <w:rPr>
                <w:noProof/>
                <w:webHidden/>
              </w:rPr>
              <w:instrText xml:space="preserve"> PAGEREF _Toc233996746 \h </w:instrText>
            </w:r>
            <w:r w:rsidRPr="00466C3C">
              <w:rPr>
                <w:noProof/>
                <w:webHidden/>
              </w:rPr>
            </w:r>
            <w:r w:rsidRPr="00466C3C">
              <w:rPr>
                <w:noProof/>
                <w:webHidden/>
              </w:rPr>
              <w:fldChar w:fldCharType="separate"/>
            </w:r>
            <w:r w:rsidRPr="00466C3C">
              <w:rPr>
                <w:noProof/>
                <w:webHidden/>
              </w:rPr>
              <w:t>164</w:t>
            </w:r>
            <w:r w:rsidRPr="00466C3C">
              <w:rPr>
                <w:noProof/>
                <w:webHidden/>
              </w:rPr>
              <w:fldChar w:fldCharType="end"/>
            </w:r>
          </w:hyperlink>
        </w:p>
        <w:p w:rsidRPr="00466C3C" w:rsidR="00466C3C" w:rsidRDefault="00466C3C" w14:paraId="1B7BAD9E" w14:textId="75680D55">
          <w:pPr>
            <w:pStyle w:val="TDC2"/>
            <w:tabs>
              <w:tab w:val="left" w:pos="960"/>
              <w:tab w:val="right" w:leader="dot" w:pos="8828"/>
            </w:tabs>
            <w:rPr>
              <w:rFonts w:cstheme="minorBidi"/>
              <w:noProof/>
              <w:kern w:val="2"/>
              <w:sz w:val="24"/>
              <w:szCs w:val="24"/>
              <w14:ligatures w14:val="standardContextual"/>
            </w:rPr>
          </w:pPr>
          <w:hyperlink w:history="1" w:anchor="_Toc233996747">
            <w:r w:rsidRPr="00466C3C">
              <w:rPr>
                <w:rStyle w:val="Hipervnculo"/>
                <w:rFonts w:ascii="Verdana" w:hAnsi="Verdana"/>
                <w:noProof/>
              </w:rPr>
              <w:t>7.3.</w:t>
            </w:r>
            <w:r w:rsidRPr="00466C3C">
              <w:rPr>
                <w:rFonts w:cstheme="minorBidi"/>
                <w:noProof/>
                <w:kern w:val="2"/>
                <w:sz w:val="24"/>
                <w:szCs w:val="24"/>
                <w14:ligatures w14:val="standardContextual"/>
              </w:rPr>
              <w:tab/>
            </w:r>
            <w:r w:rsidRPr="00466C3C">
              <w:rPr>
                <w:rStyle w:val="Hipervnculo"/>
                <w:rFonts w:ascii="Verdana" w:hAnsi="Verdana"/>
                <w:noProof/>
              </w:rPr>
              <w:t>Gestión de riesgos y líneas de defensa en la gestión</w:t>
            </w:r>
            <w:r w:rsidRPr="00466C3C">
              <w:rPr>
                <w:noProof/>
                <w:webHidden/>
              </w:rPr>
              <w:tab/>
            </w:r>
            <w:r w:rsidRPr="00466C3C">
              <w:rPr>
                <w:noProof/>
                <w:webHidden/>
              </w:rPr>
              <w:fldChar w:fldCharType="begin"/>
            </w:r>
            <w:r w:rsidRPr="00466C3C">
              <w:rPr>
                <w:noProof/>
                <w:webHidden/>
              </w:rPr>
              <w:instrText xml:space="preserve"> PAGEREF _Toc233996747 \h </w:instrText>
            </w:r>
            <w:r w:rsidRPr="00466C3C">
              <w:rPr>
                <w:noProof/>
                <w:webHidden/>
              </w:rPr>
            </w:r>
            <w:r w:rsidRPr="00466C3C">
              <w:rPr>
                <w:noProof/>
                <w:webHidden/>
              </w:rPr>
              <w:fldChar w:fldCharType="separate"/>
            </w:r>
            <w:r w:rsidRPr="00466C3C">
              <w:rPr>
                <w:noProof/>
                <w:webHidden/>
              </w:rPr>
              <w:t>167</w:t>
            </w:r>
            <w:r w:rsidRPr="00466C3C">
              <w:rPr>
                <w:noProof/>
                <w:webHidden/>
              </w:rPr>
              <w:fldChar w:fldCharType="end"/>
            </w:r>
          </w:hyperlink>
        </w:p>
        <w:p w:rsidRPr="00466C3C" w:rsidR="00466C3C" w:rsidRDefault="00466C3C" w14:paraId="72C04689" w14:textId="7713BFB3">
          <w:pPr>
            <w:pStyle w:val="TDC2"/>
            <w:tabs>
              <w:tab w:val="left" w:pos="960"/>
              <w:tab w:val="right" w:leader="dot" w:pos="8828"/>
            </w:tabs>
            <w:rPr>
              <w:rFonts w:cstheme="minorBidi"/>
              <w:noProof/>
              <w:kern w:val="2"/>
              <w:sz w:val="24"/>
              <w:szCs w:val="24"/>
              <w14:ligatures w14:val="standardContextual"/>
            </w:rPr>
          </w:pPr>
          <w:hyperlink w:history="1" w:anchor="_Toc233996748">
            <w:r w:rsidRPr="00466C3C">
              <w:rPr>
                <w:rStyle w:val="Hipervnculo"/>
                <w:rFonts w:ascii="Verdana" w:hAnsi="Verdana"/>
                <w:noProof/>
              </w:rPr>
              <w:t>7.4.</w:t>
            </w:r>
            <w:r w:rsidRPr="00466C3C">
              <w:rPr>
                <w:rFonts w:cstheme="minorBidi"/>
                <w:noProof/>
                <w:kern w:val="2"/>
                <w:sz w:val="24"/>
                <w:szCs w:val="24"/>
                <w14:ligatures w14:val="standardContextual"/>
              </w:rPr>
              <w:tab/>
            </w:r>
            <w:r w:rsidRPr="00466C3C">
              <w:rPr>
                <w:rStyle w:val="Hipervnculo"/>
                <w:rFonts w:ascii="Verdana" w:hAnsi="Verdana"/>
                <w:noProof/>
              </w:rPr>
              <w:t>Gestión Internacional en el Ministerio Minas y Energía</w:t>
            </w:r>
            <w:r w:rsidRPr="00466C3C">
              <w:rPr>
                <w:noProof/>
                <w:webHidden/>
              </w:rPr>
              <w:tab/>
            </w:r>
            <w:r w:rsidRPr="00466C3C">
              <w:rPr>
                <w:noProof/>
                <w:webHidden/>
              </w:rPr>
              <w:fldChar w:fldCharType="begin"/>
            </w:r>
            <w:r w:rsidRPr="00466C3C">
              <w:rPr>
                <w:noProof/>
                <w:webHidden/>
              </w:rPr>
              <w:instrText xml:space="preserve"> PAGEREF _Toc233996748 \h </w:instrText>
            </w:r>
            <w:r w:rsidRPr="00466C3C">
              <w:rPr>
                <w:noProof/>
                <w:webHidden/>
              </w:rPr>
            </w:r>
            <w:r w:rsidRPr="00466C3C">
              <w:rPr>
                <w:noProof/>
                <w:webHidden/>
              </w:rPr>
              <w:fldChar w:fldCharType="separate"/>
            </w:r>
            <w:r w:rsidRPr="00466C3C">
              <w:rPr>
                <w:noProof/>
                <w:webHidden/>
              </w:rPr>
              <w:t>171</w:t>
            </w:r>
            <w:r w:rsidRPr="00466C3C">
              <w:rPr>
                <w:noProof/>
                <w:webHidden/>
              </w:rPr>
              <w:fldChar w:fldCharType="end"/>
            </w:r>
          </w:hyperlink>
        </w:p>
        <w:p w:rsidRPr="00466C3C" w:rsidR="00466C3C" w:rsidRDefault="00466C3C" w14:paraId="555EE231" w14:textId="749CF02D">
          <w:pPr>
            <w:pStyle w:val="TDC2"/>
            <w:tabs>
              <w:tab w:val="left" w:pos="1200"/>
              <w:tab w:val="right" w:leader="dot" w:pos="8828"/>
            </w:tabs>
            <w:rPr>
              <w:rFonts w:cstheme="minorBidi"/>
              <w:noProof/>
              <w:kern w:val="2"/>
              <w:sz w:val="24"/>
              <w:szCs w:val="24"/>
              <w14:ligatures w14:val="standardContextual"/>
            </w:rPr>
          </w:pPr>
          <w:hyperlink w:history="1" w:anchor="_Toc233996749">
            <w:r w:rsidRPr="00466C3C">
              <w:rPr>
                <w:rStyle w:val="Hipervnculo"/>
                <w:rFonts w:ascii="Verdana" w:hAnsi="Verdana"/>
                <w:noProof/>
              </w:rPr>
              <w:t>7.4.1.</w:t>
            </w:r>
            <w:r w:rsidRPr="00466C3C">
              <w:rPr>
                <w:rFonts w:cstheme="minorBidi"/>
                <w:noProof/>
                <w:kern w:val="2"/>
                <w:sz w:val="24"/>
                <w:szCs w:val="24"/>
                <w14:ligatures w14:val="standardContextual"/>
              </w:rPr>
              <w:tab/>
            </w:r>
            <w:r w:rsidRPr="00466C3C">
              <w:rPr>
                <w:rStyle w:val="Hipervnculo"/>
                <w:rFonts w:ascii="Verdana" w:hAnsi="Verdana"/>
                <w:noProof/>
              </w:rPr>
              <w:t>Escenarios de posicionamiento internacional</w:t>
            </w:r>
            <w:r w:rsidRPr="00466C3C">
              <w:rPr>
                <w:noProof/>
                <w:webHidden/>
              </w:rPr>
              <w:tab/>
            </w:r>
            <w:r w:rsidRPr="00466C3C">
              <w:rPr>
                <w:noProof/>
                <w:webHidden/>
              </w:rPr>
              <w:fldChar w:fldCharType="begin"/>
            </w:r>
            <w:r w:rsidRPr="00466C3C">
              <w:rPr>
                <w:noProof/>
                <w:webHidden/>
              </w:rPr>
              <w:instrText xml:space="preserve"> PAGEREF _Toc233996749 \h </w:instrText>
            </w:r>
            <w:r w:rsidRPr="00466C3C">
              <w:rPr>
                <w:noProof/>
                <w:webHidden/>
              </w:rPr>
            </w:r>
            <w:r w:rsidRPr="00466C3C">
              <w:rPr>
                <w:noProof/>
                <w:webHidden/>
              </w:rPr>
              <w:fldChar w:fldCharType="separate"/>
            </w:r>
            <w:r w:rsidRPr="00466C3C">
              <w:rPr>
                <w:noProof/>
                <w:webHidden/>
              </w:rPr>
              <w:t>172</w:t>
            </w:r>
            <w:r w:rsidRPr="00466C3C">
              <w:rPr>
                <w:noProof/>
                <w:webHidden/>
              </w:rPr>
              <w:fldChar w:fldCharType="end"/>
            </w:r>
          </w:hyperlink>
        </w:p>
        <w:p w:rsidRPr="00466C3C" w:rsidR="00466C3C" w:rsidRDefault="00466C3C" w14:paraId="34184559" w14:textId="5A8E98B1">
          <w:pPr>
            <w:pStyle w:val="TDC1"/>
            <w:tabs>
              <w:tab w:val="left" w:pos="720"/>
              <w:tab w:val="right" w:leader="dot" w:pos="8828"/>
            </w:tabs>
            <w:rPr>
              <w:rFonts w:cstheme="minorBidi"/>
              <w:noProof/>
              <w:kern w:val="2"/>
              <w:sz w:val="24"/>
              <w:szCs w:val="24"/>
              <w14:ligatures w14:val="standardContextual"/>
            </w:rPr>
          </w:pPr>
          <w:hyperlink w:history="1" w:anchor="_Toc233996750">
            <w:r w:rsidRPr="00466C3C">
              <w:rPr>
                <w:rStyle w:val="Hipervnculo"/>
                <w:rFonts w:ascii="Verdana" w:hAnsi="Verdana"/>
                <w:noProof/>
              </w:rPr>
              <w:t>8.</w:t>
            </w:r>
            <w:r w:rsidRPr="00466C3C">
              <w:rPr>
                <w:rFonts w:cstheme="minorBidi"/>
                <w:noProof/>
                <w:kern w:val="2"/>
                <w:sz w:val="24"/>
                <w:szCs w:val="24"/>
                <w14:ligatures w14:val="standardContextual"/>
              </w:rPr>
              <w:tab/>
            </w:r>
            <w:r w:rsidRPr="00466C3C">
              <w:rPr>
                <w:rStyle w:val="Hipervnculo"/>
                <w:rFonts w:ascii="Verdana" w:hAnsi="Verdana"/>
                <w:noProof/>
              </w:rPr>
              <w:t>Nuestras tecnologías de la información y la comunicación</w:t>
            </w:r>
            <w:r w:rsidRPr="00466C3C">
              <w:rPr>
                <w:noProof/>
                <w:webHidden/>
              </w:rPr>
              <w:tab/>
            </w:r>
            <w:r w:rsidRPr="00466C3C">
              <w:rPr>
                <w:noProof/>
                <w:webHidden/>
              </w:rPr>
              <w:fldChar w:fldCharType="begin"/>
            </w:r>
            <w:r w:rsidRPr="00466C3C">
              <w:rPr>
                <w:noProof/>
                <w:webHidden/>
              </w:rPr>
              <w:instrText xml:space="preserve"> PAGEREF _Toc233996750 \h </w:instrText>
            </w:r>
            <w:r w:rsidRPr="00466C3C">
              <w:rPr>
                <w:noProof/>
                <w:webHidden/>
              </w:rPr>
            </w:r>
            <w:r w:rsidRPr="00466C3C">
              <w:rPr>
                <w:noProof/>
                <w:webHidden/>
              </w:rPr>
              <w:fldChar w:fldCharType="separate"/>
            </w:r>
            <w:r w:rsidRPr="00466C3C">
              <w:rPr>
                <w:noProof/>
                <w:webHidden/>
              </w:rPr>
              <w:t>183</w:t>
            </w:r>
            <w:r w:rsidRPr="00466C3C">
              <w:rPr>
                <w:noProof/>
                <w:webHidden/>
              </w:rPr>
              <w:fldChar w:fldCharType="end"/>
            </w:r>
          </w:hyperlink>
        </w:p>
        <w:p w:rsidRPr="00466C3C" w:rsidR="00466C3C" w:rsidRDefault="00466C3C" w14:paraId="22292F1E" w14:textId="1ACFF79A">
          <w:pPr>
            <w:pStyle w:val="TDC2"/>
            <w:tabs>
              <w:tab w:val="left" w:pos="960"/>
              <w:tab w:val="right" w:leader="dot" w:pos="8828"/>
            </w:tabs>
            <w:rPr>
              <w:rFonts w:cstheme="minorBidi"/>
              <w:noProof/>
              <w:kern w:val="2"/>
              <w:sz w:val="24"/>
              <w:szCs w:val="24"/>
              <w14:ligatures w14:val="standardContextual"/>
            </w:rPr>
          </w:pPr>
          <w:hyperlink w:history="1" w:anchor="_Toc233996751">
            <w:r w:rsidRPr="00466C3C">
              <w:rPr>
                <w:rStyle w:val="Hipervnculo"/>
                <w:rFonts w:ascii="Verdana" w:hAnsi="Verdana"/>
                <w:noProof/>
              </w:rPr>
              <w:t>8.1.</w:t>
            </w:r>
            <w:r w:rsidRPr="00466C3C">
              <w:rPr>
                <w:rFonts w:cstheme="minorBidi"/>
                <w:noProof/>
                <w:kern w:val="2"/>
                <w:sz w:val="24"/>
                <w:szCs w:val="24"/>
                <w14:ligatures w14:val="standardContextual"/>
              </w:rPr>
              <w:tab/>
            </w:r>
            <w:r w:rsidRPr="00466C3C">
              <w:rPr>
                <w:rStyle w:val="Hipervnculo"/>
                <w:rFonts w:ascii="Verdana" w:hAnsi="Verdana"/>
                <w:noProof/>
              </w:rPr>
              <w:t>Tecnologías al servicio de los grupos de valor</w:t>
            </w:r>
            <w:r w:rsidRPr="00466C3C">
              <w:rPr>
                <w:noProof/>
                <w:webHidden/>
              </w:rPr>
              <w:tab/>
            </w:r>
            <w:r w:rsidRPr="00466C3C">
              <w:rPr>
                <w:noProof/>
                <w:webHidden/>
              </w:rPr>
              <w:fldChar w:fldCharType="begin"/>
            </w:r>
            <w:r w:rsidRPr="00466C3C">
              <w:rPr>
                <w:noProof/>
                <w:webHidden/>
              </w:rPr>
              <w:instrText xml:space="preserve"> PAGEREF _Toc233996751 \h </w:instrText>
            </w:r>
            <w:r w:rsidRPr="00466C3C">
              <w:rPr>
                <w:noProof/>
                <w:webHidden/>
              </w:rPr>
            </w:r>
            <w:r w:rsidRPr="00466C3C">
              <w:rPr>
                <w:noProof/>
                <w:webHidden/>
              </w:rPr>
              <w:fldChar w:fldCharType="separate"/>
            </w:r>
            <w:r w:rsidRPr="00466C3C">
              <w:rPr>
                <w:noProof/>
                <w:webHidden/>
              </w:rPr>
              <w:t>184</w:t>
            </w:r>
            <w:r w:rsidRPr="00466C3C">
              <w:rPr>
                <w:noProof/>
                <w:webHidden/>
              </w:rPr>
              <w:fldChar w:fldCharType="end"/>
            </w:r>
          </w:hyperlink>
        </w:p>
        <w:p w:rsidRPr="00466C3C" w:rsidR="00466C3C" w:rsidRDefault="00466C3C" w14:paraId="210145D3" w14:textId="2AA8689A">
          <w:pPr>
            <w:pStyle w:val="TDC2"/>
            <w:tabs>
              <w:tab w:val="left" w:pos="960"/>
              <w:tab w:val="right" w:leader="dot" w:pos="8828"/>
            </w:tabs>
            <w:rPr>
              <w:rFonts w:cstheme="minorBidi"/>
              <w:noProof/>
              <w:kern w:val="2"/>
              <w:sz w:val="24"/>
              <w:szCs w:val="24"/>
              <w14:ligatures w14:val="standardContextual"/>
            </w:rPr>
          </w:pPr>
          <w:hyperlink w:history="1" w:anchor="_Toc233996752">
            <w:r w:rsidRPr="00466C3C">
              <w:rPr>
                <w:rStyle w:val="Hipervnculo"/>
                <w:rFonts w:ascii="Verdana" w:hAnsi="Verdana"/>
                <w:noProof/>
              </w:rPr>
              <w:t>8.2.</w:t>
            </w:r>
            <w:r w:rsidRPr="00466C3C">
              <w:rPr>
                <w:rFonts w:cstheme="minorBidi"/>
                <w:noProof/>
                <w:kern w:val="2"/>
                <w:sz w:val="24"/>
                <w:szCs w:val="24"/>
                <w14:ligatures w14:val="standardContextual"/>
              </w:rPr>
              <w:tab/>
            </w:r>
            <w:r w:rsidRPr="00466C3C">
              <w:rPr>
                <w:rStyle w:val="Hipervnculo"/>
                <w:rFonts w:ascii="Verdana" w:hAnsi="Verdana"/>
                <w:noProof/>
              </w:rPr>
              <w:t>Avances Gobierno Digital</w:t>
            </w:r>
            <w:r w:rsidRPr="00466C3C">
              <w:rPr>
                <w:noProof/>
                <w:webHidden/>
              </w:rPr>
              <w:tab/>
            </w:r>
            <w:r w:rsidRPr="00466C3C">
              <w:rPr>
                <w:noProof/>
                <w:webHidden/>
              </w:rPr>
              <w:fldChar w:fldCharType="begin"/>
            </w:r>
            <w:r w:rsidRPr="00466C3C">
              <w:rPr>
                <w:noProof/>
                <w:webHidden/>
              </w:rPr>
              <w:instrText xml:space="preserve"> PAGEREF _Toc233996752 \h </w:instrText>
            </w:r>
            <w:r w:rsidRPr="00466C3C">
              <w:rPr>
                <w:noProof/>
                <w:webHidden/>
              </w:rPr>
            </w:r>
            <w:r w:rsidRPr="00466C3C">
              <w:rPr>
                <w:noProof/>
                <w:webHidden/>
              </w:rPr>
              <w:fldChar w:fldCharType="separate"/>
            </w:r>
            <w:r w:rsidRPr="00466C3C">
              <w:rPr>
                <w:noProof/>
                <w:webHidden/>
              </w:rPr>
              <w:t>193</w:t>
            </w:r>
            <w:r w:rsidRPr="00466C3C">
              <w:rPr>
                <w:noProof/>
                <w:webHidden/>
              </w:rPr>
              <w:fldChar w:fldCharType="end"/>
            </w:r>
          </w:hyperlink>
        </w:p>
        <w:p w:rsidRPr="00466C3C" w:rsidR="00466C3C" w:rsidRDefault="00466C3C" w14:paraId="48E084C5" w14:textId="32D00696">
          <w:pPr>
            <w:pStyle w:val="TDC1"/>
            <w:tabs>
              <w:tab w:val="right" w:leader="dot" w:pos="8828"/>
            </w:tabs>
            <w:rPr>
              <w:rFonts w:cstheme="minorBidi"/>
              <w:noProof/>
              <w:kern w:val="2"/>
              <w:sz w:val="24"/>
              <w:szCs w:val="24"/>
              <w14:ligatures w14:val="standardContextual"/>
            </w:rPr>
          </w:pPr>
          <w:hyperlink w:history="1" w:anchor="_Toc233996753">
            <w:r w:rsidRPr="00466C3C">
              <w:rPr>
                <w:rStyle w:val="Hipervnculo"/>
                <w:rFonts w:ascii="Verdana" w:hAnsi="Verdana"/>
                <w:noProof/>
              </w:rPr>
              <w:t>8.3. Avances Gobierno Digital</w:t>
            </w:r>
            <w:r w:rsidRPr="00466C3C">
              <w:rPr>
                <w:noProof/>
                <w:webHidden/>
              </w:rPr>
              <w:tab/>
            </w:r>
            <w:r w:rsidRPr="00466C3C">
              <w:rPr>
                <w:noProof/>
                <w:webHidden/>
              </w:rPr>
              <w:fldChar w:fldCharType="begin"/>
            </w:r>
            <w:r w:rsidRPr="00466C3C">
              <w:rPr>
                <w:noProof/>
                <w:webHidden/>
              </w:rPr>
              <w:instrText xml:space="preserve"> PAGEREF _Toc233996753 \h </w:instrText>
            </w:r>
            <w:r w:rsidRPr="00466C3C">
              <w:rPr>
                <w:noProof/>
                <w:webHidden/>
              </w:rPr>
            </w:r>
            <w:r w:rsidRPr="00466C3C">
              <w:rPr>
                <w:noProof/>
                <w:webHidden/>
              </w:rPr>
              <w:fldChar w:fldCharType="separate"/>
            </w:r>
            <w:r w:rsidRPr="00466C3C">
              <w:rPr>
                <w:noProof/>
                <w:webHidden/>
              </w:rPr>
              <w:t>205</w:t>
            </w:r>
            <w:r w:rsidRPr="00466C3C">
              <w:rPr>
                <w:noProof/>
                <w:webHidden/>
              </w:rPr>
              <w:fldChar w:fldCharType="end"/>
            </w:r>
          </w:hyperlink>
        </w:p>
        <w:p w:rsidRPr="00466C3C" w:rsidR="00466C3C" w:rsidRDefault="00466C3C" w14:paraId="68526097" w14:textId="28B9AD99">
          <w:pPr>
            <w:pStyle w:val="TDC1"/>
            <w:tabs>
              <w:tab w:val="left" w:pos="720"/>
              <w:tab w:val="right" w:leader="dot" w:pos="8828"/>
            </w:tabs>
            <w:rPr>
              <w:rFonts w:cstheme="minorBidi"/>
              <w:noProof/>
              <w:kern w:val="2"/>
              <w:sz w:val="24"/>
              <w:szCs w:val="24"/>
              <w14:ligatures w14:val="standardContextual"/>
            </w:rPr>
          </w:pPr>
          <w:hyperlink w:history="1" w:anchor="_Toc233996754">
            <w:r w:rsidRPr="00466C3C">
              <w:rPr>
                <w:rStyle w:val="Hipervnculo"/>
                <w:rFonts w:ascii="Verdana" w:hAnsi="Verdana"/>
                <w:noProof/>
              </w:rPr>
              <w:t>9.</w:t>
            </w:r>
            <w:r w:rsidRPr="00466C3C">
              <w:rPr>
                <w:rFonts w:cstheme="minorBidi"/>
                <w:noProof/>
                <w:kern w:val="2"/>
                <w:sz w:val="24"/>
                <w:szCs w:val="24"/>
                <w14:ligatures w14:val="standardContextual"/>
              </w:rPr>
              <w:tab/>
            </w:r>
            <w:r w:rsidRPr="00466C3C">
              <w:rPr>
                <w:rStyle w:val="Hipervnculo"/>
                <w:rFonts w:ascii="Verdana" w:hAnsi="Verdana"/>
                <w:noProof/>
              </w:rPr>
              <w:t>Gestión del conocimiento y la innovación</w:t>
            </w:r>
            <w:r w:rsidRPr="00466C3C">
              <w:rPr>
                <w:noProof/>
                <w:webHidden/>
              </w:rPr>
              <w:tab/>
            </w:r>
            <w:r w:rsidRPr="00466C3C">
              <w:rPr>
                <w:noProof/>
                <w:webHidden/>
              </w:rPr>
              <w:fldChar w:fldCharType="begin"/>
            </w:r>
            <w:r w:rsidRPr="00466C3C">
              <w:rPr>
                <w:noProof/>
                <w:webHidden/>
              </w:rPr>
              <w:instrText xml:space="preserve"> PAGEREF _Toc233996754 \h </w:instrText>
            </w:r>
            <w:r w:rsidRPr="00466C3C">
              <w:rPr>
                <w:noProof/>
                <w:webHidden/>
              </w:rPr>
            </w:r>
            <w:r w:rsidRPr="00466C3C">
              <w:rPr>
                <w:noProof/>
                <w:webHidden/>
              </w:rPr>
              <w:fldChar w:fldCharType="separate"/>
            </w:r>
            <w:r w:rsidRPr="00466C3C">
              <w:rPr>
                <w:noProof/>
                <w:webHidden/>
              </w:rPr>
              <w:t>215</w:t>
            </w:r>
            <w:r w:rsidRPr="00466C3C">
              <w:rPr>
                <w:noProof/>
                <w:webHidden/>
              </w:rPr>
              <w:fldChar w:fldCharType="end"/>
            </w:r>
          </w:hyperlink>
        </w:p>
        <w:p w:rsidRPr="00466C3C" w:rsidR="00466C3C" w:rsidRDefault="00466C3C" w14:paraId="3B5077B1" w14:textId="6370D739">
          <w:pPr>
            <w:pStyle w:val="TDC2"/>
            <w:tabs>
              <w:tab w:val="left" w:pos="960"/>
              <w:tab w:val="right" w:leader="dot" w:pos="8828"/>
            </w:tabs>
            <w:rPr>
              <w:rFonts w:cstheme="minorBidi"/>
              <w:noProof/>
              <w:kern w:val="2"/>
              <w:sz w:val="24"/>
              <w:szCs w:val="24"/>
              <w14:ligatures w14:val="standardContextual"/>
            </w:rPr>
          </w:pPr>
          <w:hyperlink w:history="1" w:anchor="_Toc233996755">
            <w:r w:rsidRPr="00466C3C">
              <w:rPr>
                <w:rStyle w:val="Hipervnculo"/>
                <w:rFonts w:ascii="Verdana" w:hAnsi="Verdana"/>
                <w:noProof/>
              </w:rPr>
              <w:t>9.1.</w:t>
            </w:r>
            <w:r w:rsidRPr="00466C3C">
              <w:rPr>
                <w:rFonts w:cstheme="minorBidi"/>
                <w:noProof/>
                <w:kern w:val="2"/>
                <w:sz w:val="24"/>
                <w:szCs w:val="24"/>
                <w14:ligatures w14:val="standardContextual"/>
              </w:rPr>
              <w:tab/>
            </w:r>
            <w:r w:rsidRPr="00466C3C">
              <w:rPr>
                <w:rStyle w:val="Hipervnculo"/>
                <w:rFonts w:ascii="Verdana" w:hAnsi="Verdana"/>
                <w:noProof/>
              </w:rPr>
              <w:t>Buenas prácticas para la gestión del conocimiento y la innovación</w:t>
            </w:r>
            <w:r w:rsidRPr="00466C3C">
              <w:rPr>
                <w:noProof/>
                <w:webHidden/>
              </w:rPr>
              <w:tab/>
            </w:r>
            <w:r w:rsidRPr="00466C3C">
              <w:rPr>
                <w:noProof/>
                <w:webHidden/>
              </w:rPr>
              <w:fldChar w:fldCharType="begin"/>
            </w:r>
            <w:r w:rsidRPr="00466C3C">
              <w:rPr>
                <w:noProof/>
                <w:webHidden/>
              </w:rPr>
              <w:instrText xml:space="preserve"> PAGEREF _Toc233996755 \h </w:instrText>
            </w:r>
            <w:r w:rsidRPr="00466C3C">
              <w:rPr>
                <w:noProof/>
                <w:webHidden/>
              </w:rPr>
            </w:r>
            <w:r w:rsidRPr="00466C3C">
              <w:rPr>
                <w:noProof/>
                <w:webHidden/>
              </w:rPr>
              <w:fldChar w:fldCharType="separate"/>
            </w:r>
            <w:r w:rsidRPr="00466C3C">
              <w:rPr>
                <w:noProof/>
                <w:webHidden/>
              </w:rPr>
              <w:t>216</w:t>
            </w:r>
            <w:r w:rsidRPr="00466C3C">
              <w:rPr>
                <w:noProof/>
                <w:webHidden/>
              </w:rPr>
              <w:fldChar w:fldCharType="end"/>
            </w:r>
          </w:hyperlink>
        </w:p>
        <w:p w:rsidRPr="00466C3C" w:rsidR="00466C3C" w:rsidRDefault="00466C3C" w14:paraId="190C9E4A" w14:textId="6AB3E849">
          <w:pPr>
            <w:pStyle w:val="TDC2"/>
            <w:tabs>
              <w:tab w:val="left" w:pos="960"/>
              <w:tab w:val="right" w:leader="dot" w:pos="8828"/>
            </w:tabs>
            <w:rPr>
              <w:rFonts w:cstheme="minorBidi"/>
              <w:noProof/>
              <w:kern w:val="2"/>
              <w:sz w:val="24"/>
              <w:szCs w:val="24"/>
              <w14:ligatures w14:val="standardContextual"/>
            </w:rPr>
          </w:pPr>
          <w:hyperlink w:history="1" w:anchor="_Toc233996756">
            <w:r w:rsidRPr="00466C3C">
              <w:rPr>
                <w:rStyle w:val="Hipervnculo"/>
                <w:rFonts w:ascii="Verdana" w:hAnsi="Verdana"/>
                <w:noProof/>
              </w:rPr>
              <w:t>9.2.</w:t>
            </w:r>
            <w:r w:rsidRPr="00466C3C">
              <w:rPr>
                <w:rFonts w:cstheme="minorBidi"/>
                <w:noProof/>
                <w:kern w:val="2"/>
                <w:sz w:val="24"/>
                <w:szCs w:val="24"/>
                <w14:ligatures w14:val="standardContextual"/>
              </w:rPr>
              <w:tab/>
            </w:r>
            <w:r w:rsidRPr="00466C3C">
              <w:rPr>
                <w:rStyle w:val="Hipervnculo"/>
                <w:rFonts w:ascii="Verdana" w:hAnsi="Verdana"/>
                <w:noProof/>
              </w:rPr>
              <w:t>Red Nacional de Conocimiento para la Transición Energética Justa (RedTEJ)</w:t>
            </w:r>
            <w:r w:rsidRPr="00466C3C">
              <w:rPr>
                <w:noProof/>
                <w:webHidden/>
              </w:rPr>
              <w:tab/>
            </w:r>
            <w:r w:rsidRPr="00466C3C">
              <w:rPr>
                <w:noProof/>
                <w:webHidden/>
              </w:rPr>
              <w:fldChar w:fldCharType="begin"/>
            </w:r>
            <w:r w:rsidRPr="00466C3C">
              <w:rPr>
                <w:noProof/>
                <w:webHidden/>
              </w:rPr>
              <w:instrText xml:space="preserve"> PAGEREF _Toc233996756 \h </w:instrText>
            </w:r>
            <w:r w:rsidRPr="00466C3C">
              <w:rPr>
                <w:noProof/>
                <w:webHidden/>
              </w:rPr>
            </w:r>
            <w:r w:rsidRPr="00466C3C">
              <w:rPr>
                <w:noProof/>
                <w:webHidden/>
              </w:rPr>
              <w:fldChar w:fldCharType="separate"/>
            </w:r>
            <w:r w:rsidRPr="00466C3C">
              <w:rPr>
                <w:noProof/>
                <w:webHidden/>
              </w:rPr>
              <w:t>244</w:t>
            </w:r>
            <w:r w:rsidRPr="00466C3C">
              <w:rPr>
                <w:noProof/>
                <w:webHidden/>
              </w:rPr>
              <w:fldChar w:fldCharType="end"/>
            </w:r>
          </w:hyperlink>
        </w:p>
        <w:p w:rsidRPr="00466C3C" w:rsidR="00466C3C" w:rsidRDefault="00466C3C" w14:paraId="14214052" w14:textId="31E1646F">
          <w:pPr>
            <w:pStyle w:val="TDC2"/>
            <w:tabs>
              <w:tab w:val="left" w:pos="960"/>
              <w:tab w:val="right" w:leader="dot" w:pos="8828"/>
            </w:tabs>
            <w:rPr>
              <w:rFonts w:cstheme="minorBidi"/>
              <w:noProof/>
              <w:kern w:val="2"/>
              <w:sz w:val="24"/>
              <w:szCs w:val="24"/>
              <w14:ligatures w14:val="standardContextual"/>
            </w:rPr>
          </w:pPr>
          <w:hyperlink w:history="1" w:anchor="_Toc233996757">
            <w:r w:rsidRPr="00466C3C">
              <w:rPr>
                <w:rStyle w:val="Hipervnculo"/>
                <w:rFonts w:ascii="Verdana" w:hAnsi="Verdana"/>
                <w:noProof/>
              </w:rPr>
              <w:t>9.3.</w:t>
            </w:r>
            <w:r w:rsidRPr="00466C3C">
              <w:rPr>
                <w:rFonts w:cstheme="minorBidi"/>
                <w:noProof/>
                <w:kern w:val="2"/>
                <w:sz w:val="24"/>
                <w:szCs w:val="24"/>
                <w14:ligatures w14:val="standardContextual"/>
              </w:rPr>
              <w:tab/>
            </w:r>
            <w:r w:rsidRPr="00466C3C">
              <w:rPr>
                <w:rStyle w:val="Hipervnculo"/>
                <w:rFonts w:ascii="Verdana" w:hAnsi="Verdana"/>
                <w:noProof/>
              </w:rPr>
              <w:t>Gestión Estadística</w:t>
            </w:r>
            <w:r w:rsidRPr="00466C3C">
              <w:rPr>
                <w:noProof/>
                <w:webHidden/>
              </w:rPr>
              <w:tab/>
            </w:r>
            <w:r w:rsidRPr="00466C3C">
              <w:rPr>
                <w:noProof/>
                <w:webHidden/>
              </w:rPr>
              <w:fldChar w:fldCharType="begin"/>
            </w:r>
            <w:r w:rsidRPr="00466C3C">
              <w:rPr>
                <w:noProof/>
                <w:webHidden/>
              </w:rPr>
              <w:instrText xml:space="preserve"> PAGEREF _Toc233996757 \h </w:instrText>
            </w:r>
            <w:r w:rsidRPr="00466C3C">
              <w:rPr>
                <w:noProof/>
                <w:webHidden/>
              </w:rPr>
            </w:r>
            <w:r w:rsidRPr="00466C3C">
              <w:rPr>
                <w:noProof/>
                <w:webHidden/>
              </w:rPr>
              <w:fldChar w:fldCharType="separate"/>
            </w:r>
            <w:r w:rsidRPr="00466C3C">
              <w:rPr>
                <w:noProof/>
                <w:webHidden/>
              </w:rPr>
              <w:t>255</w:t>
            </w:r>
            <w:r w:rsidRPr="00466C3C">
              <w:rPr>
                <w:noProof/>
                <w:webHidden/>
              </w:rPr>
              <w:fldChar w:fldCharType="end"/>
            </w:r>
          </w:hyperlink>
        </w:p>
        <w:p w:rsidRPr="00466C3C" w:rsidR="00466C3C" w:rsidRDefault="00466C3C" w14:paraId="5AAD4F8C" w14:textId="7DD51CC7">
          <w:pPr>
            <w:pStyle w:val="TDC1"/>
            <w:tabs>
              <w:tab w:val="left" w:pos="720"/>
              <w:tab w:val="right" w:leader="dot" w:pos="8828"/>
            </w:tabs>
            <w:rPr>
              <w:rFonts w:cstheme="minorBidi"/>
              <w:noProof/>
              <w:kern w:val="2"/>
              <w:sz w:val="24"/>
              <w:szCs w:val="24"/>
              <w14:ligatures w14:val="standardContextual"/>
            </w:rPr>
          </w:pPr>
          <w:hyperlink w:history="1" w:anchor="_Toc233996758">
            <w:r w:rsidRPr="00466C3C">
              <w:rPr>
                <w:rStyle w:val="Hipervnculo"/>
                <w:rFonts w:ascii="Verdana" w:hAnsi="Verdana"/>
                <w:noProof/>
              </w:rPr>
              <w:t>10.</w:t>
            </w:r>
            <w:r w:rsidRPr="00466C3C">
              <w:rPr>
                <w:rFonts w:cstheme="minorBidi"/>
                <w:noProof/>
                <w:kern w:val="2"/>
                <w:sz w:val="24"/>
                <w:szCs w:val="24"/>
                <w14:ligatures w14:val="standardContextual"/>
              </w:rPr>
              <w:tab/>
            </w:r>
            <w:r w:rsidRPr="00466C3C">
              <w:rPr>
                <w:rStyle w:val="Hipervnculo"/>
                <w:rFonts w:ascii="Verdana" w:hAnsi="Verdana"/>
                <w:noProof/>
              </w:rPr>
              <w:t>Nuestra Gestión Documental</w:t>
            </w:r>
            <w:r w:rsidRPr="00466C3C">
              <w:rPr>
                <w:noProof/>
                <w:webHidden/>
              </w:rPr>
              <w:tab/>
            </w:r>
            <w:r w:rsidRPr="00466C3C">
              <w:rPr>
                <w:noProof/>
                <w:webHidden/>
              </w:rPr>
              <w:fldChar w:fldCharType="begin"/>
            </w:r>
            <w:r w:rsidRPr="00466C3C">
              <w:rPr>
                <w:noProof/>
                <w:webHidden/>
              </w:rPr>
              <w:instrText xml:space="preserve"> PAGEREF _Toc233996758 \h </w:instrText>
            </w:r>
            <w:r w:rsidRPr="00466C3C">
              <w:rPr>
                <w:noProof/>
                <w:webHidden/>
              </w:rPr>
            </w:r>
            <w:r w:rsidRPr="00466C3C">
              <w:rPr>
                <w:noProof/>
                <w:webHidden/>
              </w:rPr>
              <w:fldChar w:fldCharType="separate"/>
            </w:r>
            <w:r w:rsidRPr="00466C3C">
              <w:rPr>
                <w:noProof/>
                <w:webHidden/>
              </w:rPr>
              <w:t>260</w:t>
            </w:r>
            <w:r w:rsidRPr="00466C3C">
              <w:rPr>
                <w:noProof/>
                <w:webHidden/>
              </w:rPr>
              <w:fldChar w:fldCharType="end"/>
            </w:r>
          </w:hyperlink>
        </w:p>
        <w:p w:rsidRPr="00466C3C" w:rsidR="00466C3C" w:rsidRDefault="00466C3C" w14:paraId="45D18BD2" w14:textId="59523178">
          <w:pPr>
            <w:pStyle w:val="TDC2"/>
            <w:tabs>
              <w:tab w:val="left" w:pos="1200"/>
              <w:tab w:val="right" w:leader="dot" w:pos="8828"/>
            </w:tabs>
            <w:rPr>
              <w:rFonts w:cstheme="minorBidi"/>
              <w:noProof/>
              <w:kern w:val="2"/>
              <w:sz w:val="24"/>
              <w:szCs w:val="24"/>
              <w14:ligatures w14:val="standardContextual"/>
            </w:rPr>
          </w:pPr>
          <w:hyperlink w:history="1" w:anchor="_Toc233996759">
            <w:r w:rsidRPr="00466C3C">
              <w:rPr>
                <w:rStyle w:val="Hipervnculo"/>
                <w:rFonts w:ascii="Verdana" w:hAnsi="Verdana"/>
                <w:noProof/>
              </w:rPr>
              <w:t>10.1.</w:t>
            </w:r>
            <w:r w:rsidRPr="00466C3C">
              <w:rPr>
                <w:rFonts w:cstheme="minorBidi"/>
                <w:noProof/>
                <w:kern w:val="2"/>
                <w:sz w:val="24"/>
                <w:szCs w:val="24"/>
                <w14:ligatures w14:val="standardContextual"/>
              </w:rPr>
              <w:tab/>
            </w:r>
            <w:r w:rsidRPr="00466C3C">
              <w:rPr>
                <w:rStyle w:val="Hipervnculo"/>
                <w:rFonts w:ascii="Verdana" w:hAnsi="Verdana"/>
                <w:noProof/>
              </w:rPr>
              <w:t>Programa de Gestión Documental - PGD</w:t>
            </w:r>
            <w:r w:rsidRPr="00466C3C">
              <w:rPr>
                <w:noProof/>
                <w:webHidden/>
              </w:rPr>
              <w:tab/>
            </w:r>
            <w:r w:rsidRPr="00466C3C">
              <w:rPr>
                <w:noProof/>
                <w:webHidden/>
              </w:rPr>
              <w:fldChar w:fldCharType="begin"/>
            </w:r>
            <w:r w:rsidRPr="00466C3C">
              <w:rPr>
                <w:noProof/>
                <w:webHidden/>
              </w:rPr>
              <w:instrText xml:space="preserve"> PAGEREF _Toc233996759 \h </w:instrText>
            </w:r>
            <w:r w:rsidRPr="00466C3C">
              <w:rPr>
                <w:noProof/>
                <w:webHidden/>
              </w:rPr>
            </w:r>
            <w:r w:rsidRPr="00466C3C">
              <w:rPr>
                <w:noProof/>
                <w:webHidden/>
              </w:rPr>
              <w:fldChar w:fldCharType="separate"/>
            </w:r>
            <w:r w:rsidRPr="00466C3C">
              <w:rPr>
                <w:noProof/>
                <w:webHidden/>
              </w:rPr>
              <w:t>264</w:t>
            </w:r>
            <w:r w:rsidRPr="00466C3C">
              <w:rPr>
                <w:noProof/>
                <w:webHidden/>
              </w:rPr>
              <w:fldChar w:fldCharType="end"/>
            </w:r>
          </w:hyperlink>
        </w:p>
        <w:p w:rsidRPr="00466C3C" w:rsidR="00466C3C" w:rsidRDefault="00466C3C" w14:paraId="12EDC897" w14:textId="6C221A43">
          <w:pPr>
            <w:pStyle w:val="TDC2"/>
            <w:tabs>
              <w:tab w:val="left" w:pos="1200"/>
              <w:tab w:val="right" w:leader="dot" w:pos="8828"/>
            </w:tabs>
            <w:rPr>
              <w:rFonts w:cstheme="minorBidi"/>
              <w:noProof/>
              <w:kern w:val="2"/>
              <w:sz w:val="24"/>
              <w:szCs w:val="24"/>
              <w14:ligatures w14:val="standardContextual"/>
            </w:rPr>
          </w:pPr>
          <w:hyperlink w:history="1" w:anchor="_Toc233996760">
            <w:r w:rsidRPr="00466C3C">
              <w:rPr>
                <w:rStyle w:val="Hipervnculo"/>
                <w:rFonts w:ascii="Verdana" w:hAnsi="Verdana" w:eastAsia="Verdana" w:cs="Verdana"/>
                <w:noProof/>
              </w:rPr>
              <w:t>10.2.</w:t>
            </w:r>
            <w:r w:rsidRPr="00466C3C">
              <w:rPr>
                <w:rFonts w:cstheme="minorBidi"/>
                <w:noProof/>
                <w:kern w:val="2"/>
                <w:sz w:val="24"/>
                <w:szCs w:val="24"/>
                <w14:ligatures w14:val="standardContextual"/>
              </w:rPr>
              <w:tab/>
            </w:r>
            <w:r w:rsidRPr="00466C3C">
              <w:rPr>
                <w:rStyle w:val="Hipervnculo"/>
                <w:rFonts w:ascii="Verdana" w:hAnsi="Verdana"/>
                <w:noProof/>
              </w:rPr>
              <w:t>Avances y beneficios de los instrumentos archivísticos</w:t>
            </w:r>
            <w:r w:rsidRPr="00466C3C">
              <w:rPr>
                <w:noProof/>
                <w:webHidden/>
              </w:rPr>
              <w:tab/>
            </w:r>
            <w:r w:rsidRPr="00466C3C">
              <w:rPr>
                <w:noProof/>
                <w:webHidden/>
              </w:rPr>
              <w:fldChar w:fldCharType="begin"/>
            </w:r>
            <w:r w:rsidRPr="00466C3C">
              <w:rPr>
                <w:noProof/>
                <w:webHidden/>
              </w:rPr>
              <w:instrText xml:space="preserve"> PAGEREF _Toc233996760 \h </w:instrText>
            </w:r>
            <w:r w:rsidRPr="00466C3C">
              <w:rPr>
                <w:noProof/>
                <w:webHidden/>
              </w:rPr>
            </w:r>
            <w:r w:rsidRPr="00466C3C">
              <w:rPr>
                <w:noProof/>
                <w:webHidden/>
              </w:rPr>
              <w:fldChar w:fldCharType="separate"/>
            </w:r>
            <w:r w:rsidRPr="00466C3C">
              <w:rPr>
                <w:noProof/>
                <w:webHidden/>
              </w:rPr>
              <w:t>270</w:t>
            </w:r>
            <w:r w:rsidRPr="00466C3C">
              <w:rPr>
                <w:noProof/>
                <w:webHidden/>
              </w:rPr>
              <w:fldChar w:fldCharType="end"/>
            </w:r>
          </w:hyperlink>
        </w:p>
        <w:p w:rsidRPr="00466C3C" w:rsidR="00466C3C" w:rsidRDefault="00466C3C" w14:paraId="4734FF67" w14:textId="581170F3">
          <w:pPr>
            <w:pStyle w:val="TDC1"/>
            <w:tabs>
              <w:tab w:val="left" w:pos="720"/>
              <w:tab w:val="right" w:leader="dot" w:pos="8828"/>
            </w:tabs>
            <w:rPr>
              <w:rFonts w:cstheme="minorBidi"/>
              <w:noProof/>
              <w:kern w:val="2"/>
              <w:sz w:val="24"/>
              <w:szCs w:val="24"/>
              <w14:ligatures w14:val="standardContextual"/>
            </w:rPr>
          </w:pPr>
          <w:hyperlink w:history="1" w:anchor="_Toc233996761">
            <w:r w:rsidRPr="00466C3C">
              <w:rPr>
                <w:rStyle w:val="Hipervnculo"/>
                <w:rFonts w:ascii="Verdana" w:hAnsi="Verdana"/>
                <w:noProof/>
              </w:rPr>
              <w:t>11.</w:t>
            </w:r>
            <w:r w:rsidRPr="00466C3C">
              <w:rPr>
                <w:rFonts w:cstheme="minorBidi"/>
                <w:noProof/>
                <w:kern w:val="2"/>
                <w:sz w:val="24"/>
                <w:szCs w:val="24"/>
                <w14:ligatures w14:val="standardContextual"/>
              </w:rPr>
              <w:tab/>
            </w:r>
            <w:r w:rsidRPr="00466C3C">
              <w:rPr>
                <w:rStyle w:val="Hipervnculo"/>
                <w:rFonts w:ascii="Verdana" w:hAnsi="Verdana"/>
                <w:noProof/>
              </w:rPr>
              <w:t>Gestión para la sostenibilidad ambiental institucional</w:t>
            </w:r>
            <w:r w:rsidRPr="00466C3C">
              <w:rPr>
                <w:noProof/>
                <w:webHidden/>
              </w:rPr>
              <w:tab/>
            </w:r>
            <w:r w:rsidRPr="00466C3C">
              <w:rPr>
                <w:noProof/>
                <w:webHidden/>
              </w:rPr>
              <w:fldChar w:fldCharType="begin"/>
            </w:r>
            <w:r w:rsidRPr="00466C3C">
              <w:rPr>
                <w:noProof/>
                <w:webHidden/>
              </w:rPr>
              <w:instrText xml:space="preserve"> PAGEREF _Toc233996761 \h </w:instrText>
            </w:r>
            <w:r w:rsidRPr="00466C3C">
              <w:rPr>
                <w:noProof/>
                <w:webHidden/>
              </w:rPr>
            </w:r>
            <w:r w:rsidRPr="00466C3C">
              <w:rPr>
                <w:noProof/>
                <w:webHidden/>
              </w:rPr>
              <w:fldChar w:fldCharType="separate"/>
            </w:r>
            <w:r w:rsidRPr="00466C3C">
              <w:rPr>
                <w:noProof/>
                <w:webHidden/>
              </w:rPr>
              <w:t>271</w:t>
            </w:r>
            <w:r w:rsidRPr="00466C3C">
              <w:rPr>
                <w:noProof/>
                <w:webHidden/>
              </w:rPr>
              <w:fldChar w:fldCharType="end"/>
            </w:r>
          </w:hyperlink>
        </w:p>
        <w:p w:rsidRPr="00466C3C" w:rsidR="00466C3C" w:rsidRDefault="00466C3C" w14:paraId="5736F53F" w14:textId="61FFAE1A">
          <w:pPr>
            <w:pStyle w:val="TDC2"/>
            <w:tabs>
              <w:tab w:val="left" w:pos="1200"/>
              <w:tab w:val="right" w:leader="dot" w:pos="8828"/>
            </w:tabs>
            <w:rPr>
              <w:rFonts w:cstheme="minorBidi"/>
              <w:noProof/>
              <w:kern w:val="2"/>
              <w:sz w:val="24"/>
              <w:szCs w:val="24"/>
              <w14:ligatures w14:val="standardContextual"/>
            </w:rPr>
          </w:pPr>
          <w:hyperlink w:history="1" w:anchor="_Toc233996762">
            <w:r w:rsidRPr="00466C3C">
              <w:rPr>
                <w:rStyle w:val="Hipervnculo"/>
                <w:rFonts w:ascii="Verdana" w:hAnsi="Verdana"/>
                <w:noProof/>
              </w:rPr>
              <w:t>11.1.</w:t>
            </w:r>
            <w:r w:rsidRPr="00466C3C">
              <w:rPr>
                <w:rFonts w:cstheme="minorBidi"/>
                <w:noProof/>
                <w:kern w:val="2"/>
                <w:sz w:val="24"/>
                <w:szCs w:val="24"/>
                <w14:ligatures w14:val="standardContextual"/>
              </w:rPr>
              <w:tab/>
            </w:r>
            <w:r w:rsidRPr="00466C3C">
              <w:rPr>
                <w:rStyle w:val="Hipervnculo"/>
                <w:rFonts w:ascii="Verdana" w:hAnsi="Verdana"/>
                <w:noProof/>
              </w:rPr>
              <w:t>Avances en el Sistema de Gestión Ambiental en el Ministerio de Minas y Energía</w:t>
            </w:r>
            <w:r w:rsidRPr="00466C3C">
              <w:rPr>
                <w:noProof/>
                <w:webHidden/>
              </w:rPr>
              <w:tab/>
            </w:r>
            <w:r w:rsidRPr="00466C3C">
              <w:rPr>
                <w:noProof/>
                <w:webHidden/>
              </w:rPr>
              <w:fldChar w:fldCharType="begin"/>
            </w:r>
            <w:r w:rsidRPr="00466C3C">
              <w:rPr>
                <w:noProof/>
                <w:webHidden/>
              </w:rPr>
              <w:instrText xml:space="preserve"> PAGEREF _Toc233996762 \h </w:instrText>
            </w:r>
            <w:r w:rsidRPr="00466C3C">
              <w:rPr>
                <w:noProof/>
                <w:webHidden/>
              </w:rPr>
            </w:r>
            <w:r w:rsidRPr="00466C3C">
              <w:rPr>
                <w:noProof/>
                <w:webHidden/>
              </w:rPr>
              <w:fldChar w:fldCharType="separate"/>
            </w:r>
            <w:r w:rsidRPr="00466C3C">
              <w:rPr>
                <w:noProof/>
                <w:webHidden/>
              </w:rPr>
              <w:t>272</w:t>
            </w:r>
            <w:r w:rsidRPr="00466C3C">
              <w:rPr>
                <w:noProof/>
                <w:webHidden/>
              </w:rPr>
              <w:fldChar w:fldCharType="end"/>
            </w:r>
          </w:hyperlink>
        </w:p>
        <w:p w:rsidRPr="00466C3C" w:rsidR="00466C3C" w:rsidRDefault="00466C3C" w14:paraId="726B6220" w14:textId="77491A52">
          <w:pPr>
            <w:pStyle w:val="TDC1"/>
            <w:tabs>
              <w:tab w:val="left" w:pos="720"/>
              <w:tab w:val="right" w:leader="dot" w:pos="8828"/>
            </w:tabs>
            <w:rPr>
              <w:rFonts w:cstheme="minorBidi"/>
              <w:noProof/>
              <w:kern w:val="2"/>
              <w:sz w:val="24"/>
              <w:szCs w:val="24"/>
              <w14:ligatures w14:val="standardContextual"/>
            </w:rPr>
          </w:pPr>
          <w:hyperlink w:history="1" w:anchor="_Toc233996763">
            <w:r w:rsidRPr="00466C3C">
              <w:rPr>
                <w:rStyle w:val="Hipervnculo"/>
                <w:rFonts w:ascii="Verdana" w:hAnsi="Verdana"/>
                <w:noProof/>
              </w:rPr>
              <w:t>12.</w:t>
            </w:r>
            <w:r w:rsidRPr="00466C3C">
              <w:rPr>
                <w:rFonts w:cstheme="minorBidi"/>
                <w:noProof/>
                <w:kern w:val="2"/>
                <w:sz w:val="24"/>
                <w:szCs w:val="24"/>
                <w14:ligatures w14:val="standardContextual"/>
              </w:rPr>
              <w:tab/>
            </w:r>
            <w:r w:rsidRPr="00466C3C">
              <w:rPr>
                <w:rStyle w:val="Hipervnculo"/>
                <w:rFonts w:ascii="Verdana" w:hAnsi="Verdana"/>
                <w:noProof/>
              </w:rPr>
              <w:t>Transparencia y ética pública</w:t>
            </w:r>
            <w:r w:rsidRPr="00466C3C">
              <w:rPr>
                <w:noProof/>
                <w:webHidden/>
              </w:rPr>
              <w:tab/>
            </w:r>
            <w:r w:rsidRPr="00466C3C">
              <w:rPr>
                <w:noProof/>
                <w:webHidden/>
              </w:rPr>
              <w:fldChar w:fldCharType="begin"/>
            </w:r>
            <w:r w:rsidRPr="00466C3C">
              <w:rPr>
                <w:noProof/>
                <w:webHidden/>
              </w:rPr>
              <w:instrText xml:space="preserve"> PAGEREF _Toc233996763 \h </w:instrText>
            </w:r>
            <w:r w:rsidRPr="00466C3C">
              <w:rPr>
                <w:noProof/>
                <w:webHidden/>
              </w:rPr>
            </w:r>
            <w:r w:rsidRPr="00466C3C">
              <w:rPr>
                <w:noProof/>
                <w:webHidden/>
              </w:rPr>
              <w:fldChar w:fldCharType="separate"/>
            </w:r>
            <w:r w:rsidRPr="00466C3C">
              <w:rPr>
                <w:noProof/>
                <w:webHidden/>
              </w:rPr>
              <w:t>284</w:t>
            </w:r>
            <w:r w:rsidRPr="00466C3C">
              <w:rPr>
                <w:noProof/>
                <w:webHidden/>
              </w:rPr>
              <w:fldChar w:fldCharType="end"/>
            </w:r>
          </w:hyperlink>
        </w:p>
        <w:p w:rsidRPr="00466C3C" w:rsidR="00466C3C" w:rsidRDefault="00466C3C" w14:paraId="1CA06994" w14:textId="3B0F0E2D">
          <w:pPr>
            <w:pStyle w:val="TDC2"/>
            <w:tabs>
              <w:tab w:val="left" w:pos="1200"/>
              <w:tab w:val="right" w:leader="dot" w:pos="8828"/>
            </w:tabs>
            <w:rPr>
              <w:rFonts w:cstheme="minorBidi"/>
              <w:noProof/>
              <w:kern w:val="2"/>
              <w:sz w:val="24"/>
              <w:szCs w:val="24"/>
              <w14:ligatures w14:val="standardContextual"/>
            </w:rPr>
          </w:pPr>
          <w:hyperlink w:history="1" w:anchor="_Toc233996764">
            <w:r w:rsidRPr="00466C3C">
              <w:rPr>
                <w:rStyle w:val="Hipervnculo"/>
                <w:rFonts w:ascii="Verdana" w:hAnsi="Verdana"/>
                <w:noProof/>
              </w:rPr>
              <w:t>12.1.</w:t>
            </w:r>
            <w:r w:rsidRPr="00466C3C">
              <w:rPr>
                <w:rFonts w:cstheme="minorBidi"/>
                <w:noProof/>
                <w:kern w:val="2"/>
                <w:sz w:val="24"/>
                <w:szCs w:val="24"/>
                <w14:ligatures w14:val="standardContextual"/>
              </w:rPr>
              <w:tab/>
            </w:r>
            <w:r w:rsidRPr="00466C3C">
              <w:rPr>
                <w:rStyle w:val="Hipervnculo"/>
                <w:rFonts w:ascii="Verdana" w:hAnsi="Verdana"/>
                <w:noProof/>
              </w:rPr>
              <w:t>Prácticas de transparencia y Estado Abierto</w:t>
            </w:r>
            <w:r w:rsidRPr="00466C3C">
              <w:rPr>
                <w:noProof/>
                <w:webHidden/>
              </w:rPr>
              <w:tab/>
            </w:r>
            <w:r w:rsidRPr="00466C3C">
              <w:rPr>
                <w:noProof/>
                <w:webHidden/>
              </w:rPr>
              <w:fldChar w:fldCharType="begin"/>
            </w:r>
            <w:r w:rsidRPr="00466C3C">
              <w:rPr>
                <w:noProof/>
                <w:webHidden/>
              </w:rPr>
              <w:instrText xml:space="preserve"> PAGEREF _Toc233996764 \h </w:instrText>
            </w:r>
            <w:r w:rsidRPr="00466C3C">
              <w:rPr>
                <w:noProof/>
                <w:webHidden/>
              </w:rPr>
            </w:r>
            <w:r w:rsidRPr="00466C3C">
              <w:rPr>
                <w:noProof/>
                <w:webHidden/>
              </w:rPr>
              <w:fldChar w:fldCharType="separate"/>
            </w:r>
            <w:r w:rsidRPr="00466C3C">
              <w:rPr>
                <w:noProof/>
                <w:webHidden/>
              </w:rPr>
              <w:t>285</w:t>
            </w:r>
            <w:r w:rsidRPr="00466C3C">
              <w:rPr>
                <w:noProof/>
                <w:webHidden/>
              </w:rPr>
              <w:fldChar w:fldCharType="end"/>
            </w:r>
          </w:hyperlink>
        </w:p>
        <w:p w:rsidRPr="00466C3C" w:rsidR="00466C3C" w:rsidRDefault="00466C3C" w14:paraId="50FF014C" w14:textId="46CDA5EA">
          <w:pPr>
            <w:pStyle w:val="TDC2"/>
            <w:tabs>
              <w:tab w:val="left" w:pos="1200"/>
              <w:tab w:val="right" w:leader="dot" w:pos="8828"/>
            </w:tabs>
            <w:rPr>
              <w:rFonts w:cstheme="minorBidi"/>
              <w:noProof/>
              <w:kern w:val="2"/>
              <w:sz w:val="24"/>
              <w:szCs w:val="24"/>
              <w14:ligatures w14:val="standardContextual"/>
            </w:rPr>
          </w:pPr>
          <w:hyperlink w:history="1" w:anchor="_Toc233996765">
            <w:r w:rsidRPr="00466C3C">
              <w:rPr>
                <w:rStyle w:val="Hipervnculo"/>
                <w:rFonts w:ascii="Verdana" w:hAnsi="Verdana"/>
                <w:noProof/>
              </w:rPr>
              <w:t>12.2.</w:t>
            </w:r>
            <w:r w:rsidRPr="00466C3C">
              <w:rPr>
                <w:rFonts w:cstheme="minorBidi"/>
                <w:noProof/>
                <w:kern w:val="2"/>
                <w:sz w:val="24"/>
                <w:szCs w:val="24"/>
                <w14:ligatures w14:val="standardContextual"/>
              </w:rPr>
              <w:tab/>
            </w:r>
            <w:r w:rsidRPr="00466C3C">
              <w:rPr>
                <w:rStyle w:val="Hipervnculo"/>
                <w:rFonts w:ascii="Verdana" w:hAnsi="Verdana"/>
                <w:noProof/>
              </w:rPr>
              <w:t>Cultura de Integridad y Código de valores</w:t>
            </w:r>
            <w:r w:rsidRPr="00466C3C">
              <w:rPr>
                <w:noProof/>
                <w:webHidden/>
              </w:rPr>
              <w:tab/>
            </w:r>
            <w:r w:rsidRPr="00466C3C">
              <w:rPr>
                <w:noProof/>
                <w:webHidden/>
              </w:rPr>
              <w:fldChar w:fldCharType="begin"/>
            </w:r>
            <w:r w:rsidRPr="00466C3C">
              <w:rPr>
                <w:noProof/>
                <w:webHidden/>
              </w:rPr>
              <w:instrText xml:space="preserve"> PAGEREF _Toc233996765 \h </w:instrText>
            </w:r>
            <w:r w:rsidRPr="00466C3C">
              <w:rPr>
                <w:noProof/>
                <w:webHidden/>
              </w:rPr>
            </w:r>
            <w:r w:rsidRPr="00466C3C">
              <w:rPr>
                <w:noProof/>
                <w:webHidden/>
              </w:rPr>
              <w:fldChar w:fldCharType="separate"/>
            </w:r>
            <w:r w:rsidRPr="00466C3C">
              <w:rPr>
                <w:noProof/>
                <w:webHidden/>
              </w:rPr>
              <w:t>288</w:t>
            </w:r>
            <w:r w:rsidRPr="00466C3C">
              <w:rPr>
                <w:noProof/>
                <w:webHidden/>
              </w:rPr>
              <w:fldChar w:fldCharType="end"/>
            </w:r>
          </w:hyperlink>
        </w:p>
        <w:p w:rsidRPr="00466C3C" w:rsidR="00466C3C" w:rsidRDefault="00466C3C" w14:paraId="61E192BB" w14:textId="1B6E1E77">
          <w:pPr>
            <w:pStyle w:val="TDC2"/>
            <w:tabs>
              <w:tab w:val="left" w:pos="1200"/>
              <w:tab w:val="right" w:leader="dot" w:pos="8828"/>
            </w:tabs>
            <w:rPr>
              <w:rFonts w:cstheme="minorBidi"/>
              <w:noProof/>
              <w:kern w:val="2"/>
              <w:sz w:val="24"/>
              <w:szCs w:val="24"/>
              <w14:ligatures w14:val="standardContextual"/>
            </w:rPr>
          </w:pPr>
          <w:hyperlink w:history="1" w:anchor="_Toc233996766">
            <w:r w:rsidRPr="00466C3C">
              <w:rPr>
                <w:rStyle w:val="Hipervnculo"/>
                <w:rFonts w:ascii="Verdana" w:hAnsi="Verdana"/>
                <w:noProof/>
              </w:rPr>
              <w:t>12.3.</w:t>
            </w:r>
            <w:r w:rsidRPr="00466C3C">
              <w:rPr>
                <w:rFonts w:cstheme="minorBidi"/>
                <w:noProof/>
                <w:kern w:val="2"/>
                <w:sz w:val="24"/>
                <w:szCs w:val="24"/>
                <w14:ligatures w14:val="standardContextual"/>
              </w:rPr>
              <w:tab/>
            </w:r>
            <w:r w:rsidRPr="00466C3C">
              <w:rPr>
                <w:rStyle w:val="Hipervnculo"/>
                <w:rFonts w:ascii="Verdana" w:hAnsi="Verdana"/>
                <w:noProof/>
              </w:rPr>
              <w:t>Iniciativa de Transparencia en la Industria Extractiva - EITI</w:t>
            </w:r>
            <w:r w:rsidRPr="00466C3C">
              <w:rPr>
                <w:noProof/>
                <w:webHidden/>
              </w:rPr>
              <w:tab/>
            </w:r>
            <w:r w:rsidRPr="00466C3C">
              <w:rPr>
                <w:noProof/>
                <w:webHidden/>
              </w:rPr>
              <w:fldChar w:fldCharType="begin"/>
            </w:r>
            <w:r w:rsidRPr="00466C3C">
              <w:rPr>
                <w:noProof/>
                <w:webHidden/>
              </w:rPr>
              <w:instrText xml:space="preserve"> PAGEREF _Toc233996766 \h </w:instrText>
            </w:r>
            <w:r w:rsidRPr="00466C3C">
              <w:rPr>
                <w:noProof/>
                <w:webHidden/>
              </w:rPr>
            </w:r>
            <w:r w:rsidRPr="00466C3C">
              <w:rPr>
                <w:noProof/>
                <w:webHidden/>
              </w:rPr>
              <w:fldChar w:fldCharType="separate"/>
            </w:r>
            <w:r w:rsidRPr="00466C3C">
              <w:rPr>
                <w:noProof/>
                <w:webHidden/>
              </w:rPr>
              <w:t>288</w:t>
            </w:r>
            <w:r w:rsidRPr="00466C3C">
              <w:rPr>
                <w:noProof/>
                <w:webHidden/>
              </w:rPr>
              <w:fldChar w:fldCharType="end"/>
            </w:r>
          </w:hyperlink>
        </w:p>
        <w:p w:rsidRPr="00466C3C" w:rsidR="00466C3C" w:rsidRDefault="00466C3C" w14:paraId="25C6ECC6" w14:textId="392F97B5">
          <w:pPr>
            <w:pStyle w:val="TDC1"/>
            <w:tabs>
              <w:tab w:val="left" w:pos="720"/>
              <w:tab w:val="right" w:leader="dot" w:pos="8828"/>
            </w:tabs>
            <w:rPr>
              <w:rFonts w:cstheme="minorBidi"/>
              <w:noProof/>
              <w:kern w:val="2"/>
              <w:sz w:val="24"/>
              <w:szCs w:val="24"/>
              <w14:ligatures w14:val="standardContextual"/>
            </w:rPr>
          </w:pPr>
          <w:hyperlink w:history="1" w:anchor="_Toc233996767">
            <w:r w:rsidRPr="00466C3C">
              <w:rPr>
                <w:rStyle w:val="Hipervnculo"/>
                <w:rFonts w:ascii="Verdana" w:hAnsi="Verdana"/>
                <w:noProof/>
              </w:rPr>
              <w:t>13.</w:t>
            </w:r>
            <w:r w:rsidRPr="00466C3C">
              <w:rPr>
                <w:rFonts w:cstheme="minorBidi"/>
                <w:noProof/>
                <w:kern w:val="2"/>
                <w:sz w:val="24"/>
                <w:szCs w:val="24"/>
                <w14:ligatures w14:val="standardContextual"/>
              </w:rPr>
              <w:tab/>
            </w:r>
            <w:r w:rsidRPr="00466C3C">
              <w:rPr>
                <w:rStyle w:val="Hipervnculo"/>
                <w:rFonts w:ascii="Verdana" w:hAnsi="Verdana"/>
                <w:noProof/>
              </w:rPr>
              <w:t>Gestión de Comunicaciones</w:t>
            </w:r>
            <w:r w:rsidRPr="00466C3C">
              <w:rPr>
                <w:noProof/>
                <w:webHidden/>
              </w:rPr>
              <w:tab/>
            </w:r>
            <w:r w:rsidRPr="00466C3C">
              <w:rPr>
                <w:noProof/>
                <w:webHidden/>
              </w:rPr>
              <w:fldChar w:fldCharType="begin"/>
            </w:r>
            <w:r w:rsidRPr="00466C3C">
              <w:rPr>
                <w:noProof/>
                <w:webHidden/>
              </w:rPr>
              <w:instrText xml:space="preserve"> PAGEREF _Toc233996767 \h </w:instrText>
            </w:r>
            <w:r w:rsidRPr="00466C3C">
              <w:rPr>
                <w:noProof/>
                <w:webHidden/>
              </w:rPr>
            </w:r>
            <w:r w:rsidRPr="00466C3C">
              <w:rPr>
                <w:noProof/>
                <w:webHidden/>
              </w:rPr>
              <w:fldChar w:fldCharType="separate"/>
            </w:r>
            <w:r w:rsidRPr="00466C3C">
              <w:rPr>
                <w:noProof/>
                <w:webHidden/>
              </w:rPr>
              <w:t>296</w:t>
            </w:r>
            <w:r w:rsidRPr="00466C3C">
              <w:rPr>
                <w:noProof/>
                <w:webHidden/>
              </w:rPr>
              <w:fldChar w:fldCharType="end"/>
            </w:r>
          </w:hyperlink>
        </w:p>
        <w:p w:rsidRPr="00466C3C" w:rsidR="00466C3C" w:rsidRDefault="00466C3C" w14:paraId="5B761D6D" w14:textId="15BA67F6">
          <w:pPr>
            <w:pStyle w:val="TDC2"/>
            <w:tabs>
              <w:tab w:val="left" w:pos="1200"/>
              <w:tab w:val="right" w:leader="dot" w:pos="8828"/>
            </w:tabs>
            <w:rPr>
              <w:rFonts w:cstheme="minorBidi"/>
              <w:noProof/>
              <w:kern w:val="2"/>
              <w:sz w:val="24"/>
              <w:szCs w:val="24"/>
              <w14:ligatures w14:val="standardContextual"/>
            </w:rPr>
          </w:pPr>
          <w:hyperlink w:history="1" w:anchor="_Toc233996768">
            <w:r w:rsidRPr="00466C3C">
              <w:rPr>
                <w:rStyle w:val="Hipervnculo"/>
                <w:rFonts w:ascii="Verdana" w:hAnsi="Verdana"/>
                <w:noProof/>
              </w:rPr>
              <w:t>13.1.</w:t>
            </w:r>
            <w:r w:rsidRPr="00466C3C">
              <w:rPr>
                <w:rFonts w:cstheme="minorBidi"/>
                <w:noProof/>
                <w:kern w:val="2"/>
                <w:sz w:val="24"/>
                <w:szCs w:val="24"/>
                <w14:ligatures w14:val="standardContextual"/>
              </w:rPr>
              <w:tab/>
            </w:r>
            <w:r w:rsidRPr="00466C3C">
              <w:rPr>
                <w:rStyle w:val="Hipervnculo"/>
                <w:rFonts w:ascii="Verdana" w:hAnsi="Verdana"/>
                <w:noProof/>
              </w:rPr>
              <w:t>Fortalecimiento de las Comunicaciones Externas</w:t>
            </w:r>
            <w:r w:rsidRPr="00466C3C">
              <w:rPr>
                <w:noProof/>
                <w:webHidden/>
              </w:rPr>
              <w:tab/>
            </w:r>
            <w:r w:rsidRPr="00466C3C">
              <w:rPr>
                <w:noProof/>
                <w:webHidden/>
              </w:rPr>
              <w:fldChar w:fldCharType="begin"/>
            </w:r>
            <w:r w:rsidRPr="00466C3C">
              <w:rPr>
                <w:noProof/>
                <w:webHidden/>
              </w:rPr>
              <w:instrText xml:space="preserve"> PAGEREF _Toc233996768 \h </w:instrText>
            </w:r>
            <w:r w:rsidRPr="00466C3C">
              <w:rPr>
                <w:noProof/>
                <w:webHidden/>
              </w:rPr>
            </w:r>
            <w:r w:rsidRPr="00466C3C">
              <w:rPr>
                <w:noProof/>
                <w:webHidden/>
              </w:rPr>
              <w:fldChar w:fldCharType="separate"/>
            </w:r>
            <w:r w:rsidRPr="00466C3C">
              <w:rPr>
                <w:noProof/>
                <w:webHidden/>
              </w:rPr>
              <w:t>297</w:t>
            </w:r>
            <w:r w:rsidRPr="00466C3C">
              <w:rPr>
                <w:noProof/>
                <w:webHidden/>
              </w:rPr>
              <w:fldChar w:fldCharType="end"/>
            </w:r>
          </w:hyperlink>
        </w:p>
        <w:p w:rsidRPr="00466C3C" w:rsidR="00466C3C" w:rsidRDefault="00466C3C" w14:paraId="5D53D2F6" w14:textId="5C95AEEB">
          <w:pPr>
            <w:pStyle w:val="TDC2"/>
            <w:tabs>
              <w:tab w:val="left" w:pos="1200"/>
              <w:tab w:val="right" w:leader="dot" w:pos="8828"/>
            </w:tabs>
            <w:rPr>
              <w:rFonts w:cstheme="minorBidi"/>
              <w:noProof/>
              <w:kern w:val="2"/>
              <w:sz w:val="24"/>
              <w:szCs w:val="24"/>
              <w14:ligatures w14:val="standardContextual"/>
            </w:rPr>
          </w:pPr>
          <w:hyperlink w:history="1" w:anchor="_Toc233996769">
            <w:r w:rsidRPr="00466C3C">
              <w:rPr>
                <w:rStyle w:val="Hipervnculo"/>
                <w:rFonts w:ascii="Verdana" w:hAnsi="Verdana"/>
                <w:noProof/>
              </w:rPr>
              <w:t>13.2.</w:t>
            </w:r>
            <w:r w:rsidRPr="00466C3C">
              <w:rPr>
                <w:rFonts w:cstheme="minorBidi"/>
                <w:noProof/>
                <w:kern w:val="2"/>
                <w:sz w:val="24"/>
                <w:szCs w:val="24"/>
                <w14:ligatures w14:val="standardContextual"/>
              </w:rPr>
              <w:tab/>
            </w:r>
            <w:r w:rsidRPr="00466C3C">
              <w:rPr>
                <w:rStyle w:val="Hipervnculo"/>
                <w:rFonts w:ascii="Verdana" w:hAnsi="Verdana"/>
                <w:noProof/>
              </w:rPr>
              <w:t>Consolidación de la Comunicación Interna</w:t>
            </w:r>
            <w:r w:rsidRPr="00466C3C">
              <w:rPr>
                <w:noProof/>
                <w:webHidden/>
              </w:rPr>
              <w:tab/>
            </w:r>
            <w:r w:rsidRPr="00466C3C">
              <w:rPr>
                <w:noProof/>
                <w:webHidden/>
              </w:rPr>
              <w:fldChar w:fldCharType="begin"/>
            </w:r>
            <w:r w:rsidRPr="00466C3C">
              <w:rPr>
                <w:noProof/>
                <w:webHidden/>
              </w:rPr>
              <w:instrText xml:space="preserve"> PAGEREF _Toc233996769 \h </w:instrText>
            </w:r>
            <w:r w:rsidRPr="00466C3C">
              <w:rPr>
                <w:noProof/>
                <w:webHidden/>
              </w:rPr>
            </w:r>
            <w:r w:rsidRPr="00466C3C">
              <w:rPr>
                <w:noProof/>
                <w:webHidden/>
              </w:rPr>
              <w:fldChar w:fldCharType="separate"/>
            </w:r>
            <w:r w:rsidRPr="00466C3C">
              <w:rPr>
                <w:noProof/>
                <w:webHidden/>
              </w:rPr>
              <w:t>298</w:t>
            </w:r>
            <w:r w:rsidRPr="00466C3C">
              <w:rPr>
                <w:noProof/>
                <w:webHidden/>
              </w:rPr>
              <w:fldChar w:fldCharType="end"/>
            </w:r>
          </w:hyperlink>
        </w:p>
        <w:p w:rsidRPr="00466C3C" w:rsidR="00466C3C" w:rsidRDefault="00466C3C" w14:paraId="73D10493" w14:textId="2396AE15">
          <w:pPr>
            <w:pStyle w:val="TDC1"/>
            <w:tabs>
              <w:tab w:val="left" w:pos="720"/>
              <w:tab w:val="right" w:leader="dot" w:pos="8828"/>
            </w:tabs>
            <w:rPr>
              <w:rFonts w:cstheme="minorBidi"/>
              <w:noProof/>
              <w:kern w:val="2"/>
              <w:sz w:val="24"/>
              <w:szCs w:val="24"/>
              <w14:ligatures w14:val="standardContextual"/>
            </w:rPr>
          </w:pPr>
          <w:hyperlink w:history="1" w:anchor="_Toc233996770">
            <w:r w:rsidRPr="00466C3C">
              <w:rPr>
                <w:rStyle w:val="Hipervnculo"/>
                <w:rFonts w:ascii="Verdana" w:hAnsi="Verdana"/>
                <w:noProof/>
              </w:rPr>
              <w:t>14.</w:t>
            </w:r>
            <w:r w:rsidRPr="00466C3C">
              <w:rPr>
                <w:rFonts w:cstheme="minorBidi"/>
                <w:noProof/>
                <w:kern w:val="2"/>
                <w:sz w:val="24"/>
                <w:szCs w:val="24"/>
                <w14:ligatures w14:val="standardContextual"/>
              </w:rPr>
              <w:tab/>
            </w:r>
            <w:r w:rsidRPr="00466C3C">
              <w:rPr>
                <w:rStyle w:val="Hipervnculo"/>
                <w:rFonts w:ascii="Verdana" w:hAnsi="Verdana"/>
                <w:noProof/>
              </w:rPr>
              <w:t>Control y evaluación para el mejoramiento de la gestión</w:t>
            </w:r>
            <w:r w:rsidRPr="00466C3C">
              <w:rPr>
                <w:noProof/>
                <w:webHidden/>
              </w:rPr>
              <w:tab/>
            </w:r>
            <w:r w:rsidRPr="00466C3C">
              <w:rPr>
                <w:noProof/>
                <w:webHidden/>
              </w:rPr>
              <w:fldChar w:fldCharType="begin"/>
            </w:r>
            <w:r w:rsidRPr="00466C3C">
              <w:rPr>
                <w:noProof/>
                <w:webHidden/>
              </w:rPr>
              <w:instrText xml:space="preserve"> PAGEREF _Toc233996770 \h </w:instrText>
            </w:r>
            <w:r w:rsidRPr="00466C3C">
              <w:rPr>
                <w:noProof/>
                <w:webHidden/>
              </w:rPr>
            </w:r>
            <w:r w:rsidRPr="00466C3C">
              <w:rPr>
                <w:noProof/>
                <w:webHidden/>
              </w:rPr>
              <w:fldChar w:fldCharType="separate"/>
            </w:r>
            <w:r w:rsidRPr="00466C3C">
              <w:rPr>
                <w:noProof/>
                <w:webHidden/>
              </w:rPr>
              <w:t>299</w:t>
            </w:r>
            <w:r w:rsidRPr="00466C3C">
              <w:rPr>
                <w:noProof/>
                <w:webHidden/>
              </w:rPr>
              <w:fldChar w:fldCharType="end"/>
            </w:r>
          </w:hyperlink>
        </w:p>
        <w:p w:rsidRPr="00466C3C" w:rsidR="00466C3C" w:rsidRDefault="00466C3C" w14:paraId="34A97A1B" w14:textId="509B9921">
          <w:pPr>
            <w:pStyle w:val="TDC2"/>
            <w:tabs>
              <w:tab w:val="left" w:pos="1200"/>
              <w:tab w:val="right" w:leader="dot" w:pos="8828"/>
            </w:tabs>
            <w:rPr>
              <w:rFonts w:cstheme="minorBidi"/>
              <w:noProof/>
              <w:kern w:val="2"/>
              <w:sz w:val="24"/>
              <w:szCs w:val="24"/>
              <w14:ligatures w14:val="standardContextual"/>
            </w:rPr>
          </w:pPr>
          <w:hyperlink w:history="1" w:anchor="_Toc233996771">
            <w:r w:rsidRPr="00466C3C">
              <w:rPr>
                <w:rStyle w:val="Hipervnculo"/>
                <w:rFonts w:ascii="Verdana" w:hAnsi="Verdana"/>
                <w:noProof/>
              </w:rPr>
              <w:t>14.1.</w:t>
            </w:r>
            <w:r w:rsidRPr="00466C3C">
              <w:rPr>
                <w:rFonts w:cstheme="minorBidi"/>
                <w:noProof/>
                <w:kern w:val="2"/>
                <w:sz w:val="24"/>
                <w:szCs w:val="24"/>
                <w14:ligatures w14:val="standardContextual"/>
              </w:rPr>
              <w:tab/>
            </w:r>
            <w:r w:rsidRPr="00466C3C">
              <w:rPr>
                <w:rStyle w:val="Hipervnculo"/>
                <w:rFonts w:ascii="Verdana" w:hAnsi="Verdana"/>
                <w:noProof/>
              </w:rPr>
              <w:t>Principales resultados derivadas de las auditorías internas independientes</w:t>
            </w:r>
            <w:r w:rsidRPr="00466C3C">
              <w:rPr>
                <w:noProof/>
                <w:webHidden/>
              </w:rPr>
              <w:tab/>
            </w:r>
            <w:r w:rsidRPr="00466C3C">
              <w:rPr>
                <w:noProof/>
                <w:webHidden/>
              </w:rPr>
              <w:fldChar w:fldCharType="begin"/>
            </w:r>
            <w:r w:rsidRPr="00466C3C">
              <w:rPr>
                <w:noProof/>
                <w:webHidden/>
              </w:rPr>
              <w:instrText xml:space="preserve"> PAGEREF _Toc233996771 \h </w:instrText>
            </w:r>
            <w:r w:rsidRPr="00466C3C">
              <w:rPr>
                <w:noProof/>
                <w:webHidden/>
              </w:rPr>
            </w:r>
            <w:r w:rsidRPr="00466C3C">
              <w:rPr>
                <w:noProof/>
                <w:webHidden/>
              </w:rPr>
              <w:fldChar w:fldCharType="separate"/>
            </w:r>
            <w:r w:rsidRPr="00466C3C">
              <w:rPr>
                <w:noProof/>
                <w:webHidden/>
              </w:rPr>
              <w:t>300</w:t>
            </w:r>
            <w:r w:rsidRPr="00466C3C">
              <w:rPr>
                <w:noProof/>
                <w:webHidden/>
              </w:rPr>
              <w:fldChar w:fldCharType="end"/>
            </w:r>
          </w:hyperlink>
        </w:p>
        <w:p w:rsidRPr="00466C3C" w:rsidR="00466C3C" w:rsidRDefault="00466C3C" w14:paraId="64BE3DA4" w14:textId="65F6B5E9">
          <w:pPr>
            <w:pStyle w:val="TDC2"/>
            <w:tabs>
              <w:tab w:val="left" w:pos="1200"/>
              <w:tab w:val="right" w:leader="dot" w:pos="8828"/>
            </w:tabs>
            <w:rPr>
              <w:rFonts w:cstheme="minorBidi"/>
              <w:noProof/>
              <w:kern w:val="2"/>
              <w:sz w:val="24"/>
              <w:szCs w:val="24"/>
              <w14:ligatures w14:val="standardContextual"/>
            </w:rPr>
          </w:pPr>
          <w:hyperlink w:history="1" w:anchor="_Toc233996772">
            <w:r w:rsidRPr="00466C3C">
              <w:rPr>
                <w:rStyle w:val="Hipervnculo"/>
                <w:rFonts w:ascii="Verdana" w:hAnsi="Verdana"/>
                <w:noProof/>
              </w:rPr>
              <w:t>14.2.</w:t>
            </w:r>
            <w:r w:rsidRPr="00466C3C">
              <w:rPr>
                <w:rFonts w:cstheme="minorBidi"/>
                <w:noProof/>
                <w:kern w:val="2"/>
                <w:sz w:val="24"/>
                <w:szCs w:val="24"/>
                <w14:ligatures w14:val="standardContextual"/>
              </w:rPr>
              <w:tab/>
            </w:r>
            <w:r w:rsidRPr="00466C3C">
              <w:rPr>
                <w:rStyle w:val="Hipervnculo"/>
                <w:rFonts w:ascii="Verdana" w:hAnsi="Verdana"/>
                <w:noProof/>
              </w:rPr>
              <w:t>Relacionamiento y compromisos con entes de control</w:t>
            </w:r>
            <w:r w:rsidRPr="00466C3C">
              <w:rPr>
                <w:noProof/>
                <w:webHidden/>
              </w:rPr>
              <w:tab/>
            </w:r>
            <w:r w:rsidRPr="00466C3C">
              <w:rPr>
                <w:noProof/>
                <w:webHidden/>
              </w:rPr>
              <w:fldChar w:fldCharType="begin"/>
            </w:r>
            <w:r w:rsidRPr="00466C3C">
              <w:rPr>
                <w:noProof/>
                <w:webHidden/>
              </w:rPr>
              <w:instrText xml:space="preserve"> PAGEREF _Toc233996772 \h </w:instrText>
            </w:r>
            <w:r w:rsidRPr="00466C3C">
              <w:rPr>
                <w:noProof/>
                <w:webHidden/>
              </w:rPr>
            </w:r>
            <w:r w:rsidRPr="00466C3C">
              <w:rPr>
                <w:noProof/>
                <w:webHidden/>
              </w:rPr>
              <w:fldChar w:fldCharType="separate"/>
            </w:r>
            <w:r w:rsidRPr="00466C3C">
              <w:rPr>
                <w:noProof/>
                <w:webHidden/>
              </w:rPr>
              <w:t>302</w:t>
            </w:r>
            <w:r w:rsidRPr="00466C3C">
              <w:rPr>
                <w:noProof/>
                <w:webHidden/>
              </w:rPr>
              <w:fldChar w:fldCharType="end"/>
            </w:r>
          </w:hyperlink>
        </w:p>
        <w:p w:rsidRPr="00466C3C" w:rsidR="00466C3C" w:rsidRDefault="00466C3C" w14:paraId="714FA2A1" w14:textId="51E0A0F5">
          <w:pPr>
            <w:pStyle w:val="TDC2"/>
            <w:tabs>
              <w:tab w:val="left" w:pos="1200"/>
              <w:tab w:val="right" w:leader="dot" w:pos="8828"/>
            </w:tabs>
            <w:rPr>
              <w:rFonts w:cstheme="minorBidi"/>
              <w:noProof/>
              <w:kern w:val="2"/>
              <w:sz w:val="24"/>
              <w:szCs w:val="24"/>
              <w14:ligatures w14:val="standardContextual"/>
            </w:rPr>
          </w:pPr>
          <w:hyperlink w:history="1" w:anchor="_Toc233996773">
            <w:r w:rsidRPr="00466C3C">
              <w:rPr>
                <w:rStyle w:val="Hipervnculo"/>
                <w:rFonts w:ascii="Verdana" w:hAnsi="Verdana"/>
                <w:noProof/>
              </w:rPr>
              <w:t>14.3.</w:t>
            </w:r>
            <w:r w:rsidRPr="00466C3C">
              <w:rPr>
                <w:rFonts w:cstheme="minorBidi"/>
                <w:noProof/>
                <w:kern w:val="2"/>
                <w:sz w:val="24"/>
                <w:szCs w:val="24"/>
                <w14:ligatures w14:val="standardContextual"/>
              </w:rPr>
              <w:tab/>
            </w:r>
            <w:r w:rsidRPr="00466C3C">
              <w:rPr>
                <w:rStyle w:val="Hipervnculo"/>
                <w:rFonts w:ascii="Verdana" w:hAnsi="Verdana"/>
                <w:noProof/>
              </w:rPr>
              <w:t>Gestión Del Control Disciplinario</w:t>
            </w:r>
            <w:r w:rsidRPr="00466C3C">
              <w:rPr>
                <w:rStyle w:val="Hipervnculo"/>
                <w:rFonts w:ascii="Verdana" w:hAnsi="Verdana" w:cs="Arial"/>
                <w:noProof/>
              </w:rPr>
              <w:t> </w:t>
            </w:r>
            <w:r w:rsidRPr="00466C3C">
              <w:rPr>
                <w:rStyle w:val="Hipervnculo"/>
                <w:rFonts w:ascii="Verdana" w:hAnsi="Verdana"/>
                <w:noProof/>
              </w:rPr>
              <w:t>Interno</w:t>
            </w:r>
            <w:r w:rsidRPr="00466C3C">
              <w:rPr>
                <w:rStyle w:val="Hipervnculo"/>
                <w:rFonts w:ascii="Verdana" w:hAnsi="Verdana" w:cs="Arial"/>
                <w:noProof/>
              </w:rPr>
              <w:t> </w:t>
            </w:r>
            <w:r w:rsidRPr="00466C3C">
              <w:rPr>
                <w:noProof/>
                <w:webHidden/>
              </w:rPr>
              <w:tab/>
            </w:r>
            <w:r w:rsidRPr="00466C3C">
              <w:rPr>
                <w:noProof/>
                <w:webHidden/>
              </w:rPr>
              <w:fldChar w:fldCharType="begin"/>
            </w:r>
            <w:r w:rsidRPr="00466C3C">
              <w:rPr>
                <w:noProof/>
                <w:webHidden/>
              </w:rPr>
              <w:instrText xml:space="preserve"> PAGEREF _Toc233996773 \h </w:instrText>
            </w:r>
            <w:r w:rsidRPr="00466C3C">
              <w:rPr>
                <w:noProof/>
                <w:webHidden/>
              </w:rPr>
            </w:r>
            <w:r w:rsidRPr="00466C3C">
              <w:rPr>
                <w:noProof/>
                <w:webHidden/>
              </w:rPr>
              <w:fldChar w:fldCharType="separate"/>
            </w:r>
            <w:r w:rsidRPr="00466C3C">
              <w:rPr>
                <w:noProof/>
                <w:webHidden/>
              </w:rPr>
              <w:t>303</w:t>
            </w:r>
            <w:r w:rsidRPr="00466C3C">
              <w:rPr>
                <w:noProof/>
                <w:webHidden/>
              </w:rPr>
              <w:fldChar w:fldCharType="end"/>
            </w:r>
          </w:hyperlink>
        </w:p>
        <w:p w:rsidRPr="00466C3C" w:rsidR="00466C3C" w:rsidRDefault="00466C3C" w14:paraId="171EE377" w14:textId="5784DAB5">
          <w:pPr>
            <w:pStyle w:val="TDC1"/>
            <w:tabs>
              <w:tab w:val="left" w:pos="720"/>
              <w:tab w:val="right" w:leader="dot" w:pos="8828"/>
            </w:tabs>
            <w:rPr>
              <w:rFonts w:cstheme="minorBidi"/>
              <w:noProof/>
              <w:kern w:val="2"/>
              <w:sz w:val="24"/>
              <w:szCs w:val="24"/>
              <w14:ligatures w14:val="standardContextual"/>
            </w:rPr>
          </w:pPr>
          <w:hyperlink w:history="1" w:anchor="_Toc233996774">
            <w:r w:rsidRPr="00466C3C">
              <w:rPr>
                <w:rStyle w:val="Hipervnculo"/>
                <w:rFonts w:ascii="Verdana" w:hAnsi="Verdana"/>
                <w:noProof/>
              </w:rPr>
              <w:t>15.</w:t>
            </w:r>
            <w:r w:rsidRPr="00466C3C">
              <w:rPr>
                <w:rFonts w:cstheme="minorBidi"/>
                <w:noProof/>
                <w:kern w:val="2"/>
                <w:sz w:val="24"/>
                <w:szCs w:val="24"/>
                <w14:ligatures w14:val="standardContextual"/>
              </w:rPr>
              <w:tab/>
            </w:r>
            <w:r w:rsidRPr="00466C3C">
              <w:rPr>
                <w:rStyle w:val="Hipervnculo"/>
                <w:rFonts w:ascii="Verdana" w:hAnsi="Verdana"/>
                <w:noProof/>
              </w:rPr>
              <w:t>Retos y Recomendaciones</w:t>
            </w:r>
            <w:r w:rsidRPr="00466C3C">
              <w:rPr>
                <w:noProof/>
                <w:webHidden/>
              </w:rPr>
              <w:tab/>
            </w:r>
            <w:r w:rsidRPr="00466C3C">
              <w:rPr>
                <w:noProof/>
                <w:webHidden/>
              </w:rPr>
              <w:fldChar w:fldCharType="begin"/>
            </w:r>
            <w:r w:rsidRPr="00466C3C">
              <w:rPr>
                <w:noProof/>
                <w:webHidden/>
              </w:rPr>
              <w:instrText xml:space="preserve"> PAGEREF _Toc233996774 \h </w:instrText>
            </w:r>
            <w:r w:rsidRPr="00466C3C">
              <w:rPr>
                <w:noProof/>
                <w:webHidden/>
              </w:rPr>
            </w:r>
            <w:r w:rsidRPr="00466C3C">
              <w:rPr>
                <w:noProof/>
                <w:webHidden/>
              </w:rPr>
              <w:fldChar w:fldCharType="separate"/>
            </w:r>
            <w:r w:rsidRPr="00466C3C">
              <w:rPr>
                <w:noProof/>
                <w:webHidden/>
              </w:rPr>
              <w:t>306</w:t>
            </w:r>
            <w:r w:rsidRPr="00466C3C">
              <w:rPr>
                <w:noProof/>
                <w:webHidden/>
              </w:rPr>
              <w:fldChar w:fldCharType="end"/>
            </w:r>
          </w:hyperlink>
        </w:p>
        <w:p w:rsidRPr="00466C3C" w:rsidR="00466C3C" w:rsidRDefault="00466C3C" w14:paraId="17091224" w14:textId="5C9D9855">
          <w:pPr>
            <w:pStyle w:val="TDC2"/>
            <w:tabs>
              <w:tab w:val="left" w:pos="1200"/>
              <w:tab w:val="right" w:leader="dot" w:pos="8828"/>
            </w:tabs>
            <w:rPr>
              <w:rFonts w:cstheme="minorBidi"/>
              <w:noProof/>
              <w:kern w:val="2"/>
              <w:sz w:val="24"/>
              <w:szCs w:val="24"/>
              <w14:ligatures w14:val="standardContextual"/>
            </w:rPr>
          </w:pPr>
          <w:hyperlink w:history="1" w:anchor="_Toc233996775">
            <w:r w:rsidRPr="00466C3C">
              <w:rPr>
                <w:rStyle w:val="Hipervnculo"/>
                <w:rFonts w:ascii="Verdana" w:hAnsi="Verdana"/>
                <w:noProof/>
              </w:rPr>
              <w:t>15.1.</w:t>
            </w:r>
            <w:r w:rsidRPr="00466C3C">
              <w:rPr>
                <w:rFonts w:cstheme="minorBidi"/>
                <w:noProof/>
                <w:kern w:val="2"/>
                <w:sz w:val="24"/>
                <w:szCs w:val="24"/>
                <w14:ligatures w14:val="standardContextual"/>
              </w:rPr>
              <w:tab/>
            </w:r>
            <w:r w:rsidRPr="00466C3C">
              <w:rPr>
                <w:rStyle w:val="Hipervnculo"/>
                <w:rFonts w:ascii="Verdana" w:hAnsi="Verdana"/>
                <w:noProof/>
              </w:rPr>
              <w:t>Estratégicos: Recomendaciones (en materia de resultados)</w:t>
            </w:r>
            <w:r w:rsidRPr="00466C3C">
              <w:rPr>
                <w:noProof/>
                <w:webHidden/>
              </w:rPr>
              <w:tab/>
            </w:r>
            <w:r w:rsidRPr="00466C3C">
              <w:rPr>
                <w:noProof/>
                <w:webHidden/>
              </w:rPr>
              <w:fldChar w:fldCharType="begin"/>
            </w:r>
            <w:r w:rsidRPr="00466C3C">
              <w:rPr>
                <w:noProof/>
                <w:webHidden/>
              </w:rPr>
              <w:instrText xml:space="preserve"> PAGEREF _Toc233996775 \h </w:instrText>
            </w:r>
            <w:r w:rsidRPr="00466C3C">
              <w:rPr>
                <w:noProof/>
                <w:webHidden/>
              </w:rPr>
            </w:r>
            <w:r w:rsidRPr="00466C3C">
              <w:rPr>
                <w:noProof/>
                <w:webHidden/>
              </w:rPr>
              <w:fldChar w:fldCharType="separate"/>
            </w:r>
            <w:r w:rsidRPr="00466C3C">
              <w:rPr>
                <w:noProof/>
                <w:webHidden/>
              </w:rPr>
              <w:t>306</w:t>
            </w:r>
            <w:r w:rsidRPr="00466C3C">
              <w:rPr>
                <w:noProof/>
                <w:webHidden/>
              </w:rPr>
              <w:fldChar w:fldCharType="end"/>
            </w:r>
          </w:hyperlink>
        </w:p>
        <w:p w:rsidRPr="00466C3C" w:rsidR="00466C3C" w:rsidRDefault="00466C3C" w14:paraId="5209B49C" w14:textId="3D24470B">
          <w:pPr>
            <w:pStyle w:val="TDC2"/>
            <w:tabs>
              <w:tab w:val="left" w:pos="1200"/>
              <w:tab w:val="right" w:leader="dot" w:pos="8828"/>
            </w:tabs>
            <w:rPr>
              <w:rFonts w:cstheme="minorBidi"/>
              <w:noProof/>
              <w:kern w:val="2"/>
              <w:sz w:val="24"/>
              <w:szCs w:val="24"/>
              <w14:ligatures w14:val="standardContextual"/>
            </w:rPr>
          </w:pPr>
          <w:hyperlink w:history="1" w:anchor="_Toc233996776">
            <w:r w:rsidRPr="00466C3C">
              <w:rPr>
                <w:rStyle w:val="Hipervnculo"/>
                <w:rFonts w:ascii="Verdana" w:hAnsi="Verdana"/>
                <w:noProof/>
              </w:rPr>
              <w:t>15.2.</w:t>
            </w:r>
            <w:r w:rsidRPr="00466C3C">
              <w:rPr>
                <w:rFonts w:cstheme="minorBidi"/>
                <w:noProof/>
                <w:kern w:val="2"/>
                <w:sz w:val="24"/>
                <w:szCs w:val="24"/>
                <w14:ligatures w14:val="standardContextual"/>
              </w:rPr>
              <w:tab/>
            </w:r>
            <w:r w:rsidRPr="00466C3C">
              <w:rPr>
                <w:rStyle w:val="Hipervnculo"/>
                <w:rFonts w:ascii="Verdana" w:hAnsi="Verdana"/>
                <w:noProof/>
              </w:rPr>
              <w:t>Operativos: Recomendaciones (a nivel de producto y/o proceso o gestión)</w:t>
            </w:r>
            <w:r w:rsidRPr="00466C3C">
              <w:rPr>
                <w:noProof/>
                <w:webHidden/>
              </w:rPr>
              <w:tab/>
            </w:r>
            <w:r w:rsidRPr="00466C3C">
              <w:rPr>
                <w:noProof/>
                <w:webHidden/>
              </w:rPr>
              <w:fldChar w:fldCharType="begin"/>
            </w:r>
            <w:r w:rsidRPr="00466C3C">
              <w:rPr>
                <w:noProof/>
                <w:webHidden/>
              </w:rPr>
              <w:instrText xml:space="preserve"> PAGEREF _Toc233996776 \h </w:instrText>
            </w:r>
            <w:r w:rsidRPr="00466C3C">
              <w:rPr>
                <w:noProof/>
                <w:webHidden/>
              </w:rPr>
            </w:r>
            <w:r w:rsidRPr="00466C3C">
              <w:rPr>
                <w:noProof/>
                <w:webHidden/>
              </w:rPr>
              <w:fldChar w:fldCharType="separate"/>
            </w:r>
            <w:r w:rsidRPr="00466C3C">
              <w:rPr>
                <w:noProof/>
                <w:webHidden/>
              </w:rPr>
              <w:t>308</w:t>
            </w:r>
            <w:r w:rsidRPr="00466C3C">
              <w:rPr>
                <w:noProof/>
                <w:webHidden/>
              </w:rPr>
              <w:fldChar w:fldCharType="end"/>
            </w:r>
          </w:hyperlink>
        </w:p>
        <w:p w:rsidRPr="00466C3C" w:rsidR="00466C3C" w:rsidRDefault="00466C3C" w14:paraId="5962B417" w14:textId="5A8AB5E5">
          <w:pPr>
            <w:pStyle w:val="TDC2"/>
            <w:tabs>
              <w:tab w:val="left" w:pos="1200"/>
              <w:tab w:val="right" w:leader="dot" w:pos="8828"/>
            </w:tabs>
            <w:rPr>
              <w:rFonts w:cstheme="minorBidi"/>
              <w:noProof/>
              <w:kern w:val="2"/>
              <w:sz w:val="24"/>
              <w:szCs w:val="24"/>
              <w14:ligatures w14:val="standardContextual"/>
            </w:rPr>
          </w:pPr>
          <w:hyperlink w:history="1" w:anchor="_Toc233996777">
            <w:r w:rsidRPr="00466C3C">
              <w:rPr>
                <w:rStyle w:val="Hipervnculo"/>
                <w:rFonts w:ascii="Verdana" w:hAnsi="Verdana"/>
                <w:noProof/>
              </w:rPr>
              <w:t>15.3.</w:t>
            </w:r>
            <w:r w:rsidRPr="00466C3C">
              <w:rPr>
                <w:rFonts w:cstheme="minorBidi"/>
                <w:noProof/>
                <w:kern w:val="2"/>
                <w:sz w:val="24"/>
                <w:szCs w:val="24"/>
                <w14:ligatures w14:val="standardContextual"/>
              </w:rPr>
              <w:tab/>
            </w:r>
            <w:r w:rsidRPr="00466C3C">
              <w:rPr>
                <w:rStyle w:val="Hipervnculo"/>
                <w:rFonts w:ascii="Verdana" w:hAnsi="Verdana"/>
                <w:noProof/>
              </w:rPr>
              <w:t>Lecciones aprendidas:  que se podrían tener en cuenta en la próxima gestión que redunden en el bienestar de la ciudadanía.</w:t>
            </w:r>
            <w:r w:rsidRPr="00466C3C">
              <w:rPr>
                <w:noProof/>
                <w:webHidden/>
              </w:rPr>
              <w:tab/>
            </w:r>
            <w:r w:rsidRPr="00466C3C">
              <w:rPr>
                <w:noProof/>
                <w:webHidden/>
              </w:rPr>
              <w:fldChar w:fldCharType="begin"/>
            </w:r>
            <w:r w:rsidRPr="00466C3C">
              <w:rPr>
                <w:noProof/>
                <w:webHidden/>
              </w:rPr>
              <w:instrText xml:space="preserve"> PAGEREF _Toc233996777 \h </w:instrText>
            </w:r>
            <w:r w:rsidRPr="00466C3C">
              <w:rPr>
                <w:noProof/>
                <w:webHidden/>
              </w:rPr>
            </w:r>
            <w:r w:rsidRPr="00466C3C">
              <w:rPr>
                <w:noProof/>
                <w:webHidden/>
              </w:rPr>
              <w:fldChar w:fldCharType="separate"/>
            </w:r>
            <w:r w:rsidRPr="00466C3C">
              <w:rPr>
                <w:noProof/>
                <w:webHidden/>
              </w:rPr>
              <w:t>310</w:t>
            </w:r>
            <w:r w:rsidRPr="00466C3C">
              <w:rPr>
                <w:noProof/>
                <w:webHidden/>
              </w:rPr>
              <w:fldChar w:fldCharType="end"/>
            </w:r>
          </w:hyperlink>
        </w:p>
        <w:p w:rsidRPr="00466C3C" w:rsidR="00466C3C" w:rsidRDefault="00466C3C" w14:paraId="3AA3B404" w14:textId="05AB7A1E">
          <w:pPr>
            <w:pStyle w:val="TDC1"/>
            <w:tabs>
              <w:tab w:val="left" w:pos="720"/>
              <w:tab w:val="right" w:leader="dot" w:pos="8828"/>
            </w:tabs>
            <w:rPr>
              <w:rFonts w:cstheme="minorBidi"/>
              <w:noProof/>
              <w:kern w:val="2"/>
              <w:sz w:val="24"/>
              <w:szCs w:val="24"/>
              <w14:ligatures w14:val="standardContextual"/>
            </w:rPr>
          </w:pPr>
          <w:hyperlink w:history="1" w:anchor="_Toc233996778">
            <w:r w:rsidRPr="00466C3C">
              <w:rPr>
                <w:rStyle w:val="Hipervnculo"/>
                <w:rFonts w:ascii="Verdana" w:hAnsi="Verdana"/>
                <w:noProof/>
              </w:rPr>
              <w:t>16.</w:t>
            </w:r>
            <w:r w:rsidRPr="00466C3C">
              <w:rPr>
                <w:rFonts w:cstheme="minorBidi"/>
                <w:noProof/>
                <w:kern w:val="2"/>
                <w:sz w:val="24"/>
                <w:szCs w:val="24"/>
                <w14:ligatures w14:val="standardContextual"/>
              </w:rPr>
              <w:tab/>
            </w:r>
            <w:r w:rsidRPr="00466C3C">
              <w:rPr>
                <w:rStyle w:val="Hipervnculo"/>
                <w:rFonts w:ascii="Verdana" w:hAnsi="Verdana"/>
                <w:noProof/>
              </w:rPr>
              <w:t>Cierre</w:t>
            </w:r>
            <w:r w:rsidRPr="00466C3C">
              <w:rPr>
                <w:noProof/>
                <w:webHidden/>
              </w:rPr>
              <w:tab/>
            </w:r>
            <w:r w:rsidRPr="00466C3C">
              <w:rPr>
                <w:noProof/>
                <w:webHidden/>
              </w:rPr>
              <w:fldChar w:fldCharType="begin"/>
            </w:r>
            <w:r w:rsidRPr="00466C3C">
              <w:rPr>
                <w:noProof/>
                <w:webHidden/>
              </w:rPr>
              <w:instrText xml:space="preserve"> PAGEREF _Toc233996778 \h </w:instrText>
            </w:r>
            <w:r w:rsidRPr="00466C3C">
              <w:rPr>
                <w:noProof/>
                <w:webHidden/>
              </w:rPr>
            </w:r>
            <w:r w:rsidRPr="00466C3C">
              <w:rPr>
                <w:noProof/>
                <w:webHidden/>
              </w:rPr>
              <w:fldChar w:fldCharType="separate"/>
            </w:r>
            <w:r w:rsidRPr="00466C3C">
              <w:rPr>
                <w:noProof/>
                <w:webHidden/>
              </w:rPr>
              <w:t>310</w:t>
            </w:r>
            <w:r w:rsidRPr="00466C3C">
              <w:rPr>
                <w:noProof/>
                <w:webHidden/>
              </w:rPr>
              <w:fldChar w:fldCharType="end"/>
            </w:r>
          </w:hyperlink>
        </w:p>
        <w:p w:rsidRPr="00466C3C" w:rsidR="00466C3C" w:rsidRDefault="00466C3C" w14:paraId="353DD93E" w14:textId="0E47C1E6">
          <w:pPr>
            <w:pStyle w:val="TDC2"/>
            <w:tabs>
              <w:tab w:val="left" w:pos="1200"/>
              <w:tab w:val="right" w:leader="dot" w:pos="8828"/>
            </w:tabs>
            <w:rPr>
              <w:rFonts w:cstheme="minorBidi"/>
              <w:noProof/>
              <w:kern w:val="2"/>
              <w:sz w:val="24"/>
              <w:szCs w:val="24"/>
              <w14:ligatures w14:val="standardContextual"/>
            </w:rPr>
          </w:pPr>
          <w:hyperlink w:history="1" w:anchor="_Toc233996779">
            <w:r w:rsidRPr="00466C3C">
              <w:rPr>
                <w:rStyle w:val="Hipervnculo"/>
                <w:rFonts w:ascii="Verdana" w:hAnsi="Verdana"/>
                <w:noProof/>
              </w:rPr>
              <w:t>16.1.</w:t>
            </w:r>
            <w:r w:rsidRPr="00466C3C">
              <w:rPr>
                <w:rFonts w:cstheme="minorBidi"/>
                <w:noProof/>
                <w:kern w:val="2"/>
                <w:sz w:val="24"/>
                <w:szCs w:val="24"/>
                <w14:ligatures w14:val="standardContextual"/>
              </w:rPr>
              <w:tab/>
            </w:r>
            <w:r w:rsidRPr="00466C3C">
              <w:rPr>
                <w:rStyle w:val="Hipervnculo"/>
                <w:rFonts w:ascii="Verdana" w:hAnsi="Verdana"/>
                <w:noProof/>
              </w:rPr>
              <w:t>Canales y medios de contacto - Telefónico, presencial, agendamiento web, Correo Electrónico</w:t>
            </w:r>
            <w:r w:rsidRPr="00466C3C">
              <w:rPr>
                <w:noProof/>
                <w:webHidden/>
              </w:rPr>
              <w:tab/>
            </w:r>
            <w:r w:rsidRPr="00466C3C">
              <w:rPr>
                <w:noProof/>
                <w:webHidden/>
              </w:rPr>
              <w:fldChar w:fldCharType="begin"/>
            </w:r>
            <w:r w:rsidRPr="00466C3C">
              <w:rPr>
                <w:noProof/>
                <w:webHidden/>
              </w:rPr>
              <w:instrText xml:space="preserve"> PAGEREF _Toc233996779 \h </w:instrText>
            </w:r>
            <w:r w:rsidRPr="00466C3C">
              <w:rPr>
                <w:noProof/>
                <w:webHidden/>
              </w:rPr>
            </w:r>
            <w:r w:rsidRPr="00466C3C">
              <w:rPr>
                <w:noProof/>
                <w:webHidden/>
              </w:rPr>
              <w:fldChar w:fldCharType="separate"/>
            </w:r>
            <w:r w:rsidRPr="00466C3C">
              <w:rPr>
                <w:noProof/>
                <w:webHidden/>
              </w:rPr>
              <w:t>316</w:t>
            </w:r>
            <w:r w:rsidRPr="00466C3C">
              <w:rPr>
                <w:noProof/>
                <w:webHidden/>
              </w:rPr>
              <w:fldChar w:fldCharType="end"/>
            </w:r>
          </w:hyperlink>
        </w:p>
        <w:p w:rsidRPr="00466C3C" w:rsidR="00675CD4" w:rsidRDefault="00675CD4" w14:paraId="394C09BE" w14:textId="20C3E68F">
          <w:pPr>
            <w:rPr>
              <w:rFonts w:ascii="Verdana" w:hAnsi="Verdana"/>
              <w:sz w:val="24"/>
              <w:szCs w:val="24"/>
            </w:rPr>
          </w:pPr>
          <w:r w:rsidRPr="00466C3C">
            <w:rPr>
              <w:rFonts w:ascii="Verdana" w:hAnsi="Verdana"/>
              <w:sz w:val="24"/>
              <w:szCs w:val="24"/>
              <w:lang w:val="es-ES"/>
            </w:rPr>
            <w:fldChar w:fldCharType="end"/>
          </w:r>
        </w:p>
      </w:sdtContent>
      <w:sdtEndPr>
        <w:rPr>
          <w:rFonts w:ascii="Verdana" w:hAnsi="Verdana" w:eastAsia="游ゴシック" w:cs="Arial" w:eastAsiaTheme="minorEastAsia" w:cstheme="minorBidi"/>
          <w:color w:val="auto"/>
          <w:sz w:val="24"/>
          <w:szCs w:val="24"/>
          <w:lang w:val="es-ES" w:eastAsia="en-US"/>
        </w:rPr>
      </w:sdtEndPr>
    </w:sdt>
    <w:p w:rsidRPr="00F87AFB" w:rsidR="00B643BF" w:rsidP="00BE4B37" w:rsidRDefault="00B643BF" w14:paraId="351E89DA" w14:textId="77777777">
      <w:pPr>
        <w:spacing w:line="360" w:lineRule="auto"/>
        <w:rPr>
          <w:rFonts w:ascii="Verdana" w:hAnsi="Verdana"/>
          <w:sz w:val="24"/>
          <w:szCs w:val="24"/>
        </w:rPr>
      </w:pPr>
    </w:p>
    <w:p w:rsidR="00BE4B37" w:rsidP="00BE4B37" w:rsidRDefault="00BE4B37" w14:paraId="6F9B4323" w14:textId="77777777">
      <w:pPr>
        <w:spacing w:line="360" w:lineRule="auto"/>
        <w:rPr>
          <w:rFonts w:ascii="Verdana" w:hAnsi="Verdana"/>
          <w:sz w:val="24"/>
          <w:szCs w:val="24"/>
        </w:rPr>
      </w:pPr>
    </w:p>
    <w:p w:rsidR="00675CD4" w:rsidP="00BE4B37" w:rsidRDefault="00675CD4" w14:paraId="326B98D7" w14:textId="77777777">
      <w:pPr>
        <w:spacing w:line="360" w:lineRule="auto"/>
        <w:rPr>
          <w:rFonts w:ascii="Verdana" w:hAnsi="Verdana"/>
          <w:sz w:val="24"/>
          <w:szCs w:val="24"/>
        </w:rPr>
      </w:pPr>
    </w:p>
    <w:p w:rsidR="002905E0" w:rsidP="00BE4B37" w:rsidRDefault="002905E0" w14:paraId="65C1D09B" w14:textId="77777777">
      <w:pPr>
        <w:spacing w:line="360" w:lineRule="auto"/>
        <w:rPr>
          <w:rFonts w:ascii="Verdana" w:hAnsi="Verdana"/>
          <w:sz w:val="24"/>
          <w:szCs w:val="24"/>
        </w:rPr>
      </w:pPr>
    </w:p>
    <w:p w:rsidR="00770ECF" w:rsidP="00BE4B37" w:rsidRDefault="00770ECF" w14:paraId="61E39D52" w14:textId="77777777">
      <w:pPr>
        <w:spacing w:line="360" w:lineRule="auto"/>
        <w:rPr>
          <w:rFonts w:ascii="Verdana" w:hAnsi="Verdana"/>
          <w:sz w:val="24"/>
          <w:szCs w:val="24"/>
        </w:rPr>
      </w:pPr>
    </w:p>
    <w:p w:rsidR="00770ECF" w:rsidP="00BE4B37" w:rsidRDefault="00770ECF" w14:paraId="3A961173" w14:textId="77777777">
      <w:pPr>
        <w:spacing w:line="360" w:lineRule="auto"/>
        <w:rPr>
          <w:rFonts w:ascii="Verdana" w:hAnsi="Verdana"/>
          <w:sz w:val="24"/>
          <w:szCs w:val="24"/>
        </w:rPr>
      </w:pPr>
    </w:p>
    <w:p w:rsidR="00770ECF" w:rsidP="00BE4B37" w:rsidRDefault="00770ECF" w14:paraId="665F6FC2" w14:textId="77777777">
      <w:pPr>
        <w:spacing w:line="360" w:lineRule="auto"/>
        <w:rPr>
          <w:rFonts w:ascii="Verdana" w:hAnsi="Verdana"/>
          <w:sz w:val="24"/>
          <w:szCs w:val="24"/>
        </w:rPr>
      </w:pPr>
    </w:p>
    <w:p w:rsidR="00770ECF" w:rsidP="00BE4B37" w:rsidRDefault="00770ECF" w14:paraId="5AB28749" w14:textId="77777777">
      <w:pPr>
        <w:spacing w:line="360" w:lineRule="auto"/>
        <w:rPr>
          <w:rFonts w:ascii="Verdana" w:hAnsi="Verdana"/>
          <w:sz w:val="24"/>
          <w:szCs w:val="24"/>
        </w:rPr>
      </w:pPr>
    </w:p>
    <w:p w:rsidR="00770ECF" w:rsidP="00BE4B37" w:rsidRDefault="00770ECF" w14:paraId="37B47A8B" w14:textId="77777777">
      <w:pPr>
        <w:spacing w:line="360" w:lineRule="auto"/>
        <w:rPr>
          <w:rFonts w:ascii="Verdana" w:hAnsi="Verdana"/>
          <w:sz w:val="24"/>
          <w:szCs w:val="24"/>
        </w:rPr>
      </w:pPr>
    </w:p>
    <w:p w:rsidR="00770ECF" w:rsidP="00BE4B37" w:rsidRDefault="00770ECF" w14:paraId="753508D4" w14:textId="77777777">
      <w:pPr>
        <w:spacing w:line="360" w:lineRule="auto"/>
        <w:rPr>
          <w:rFonts w:ascii="Verdana" w:hAnsi="Verdana"/>
          <w:sz w:val="24"/>
          <w:szCs w:val="24"/>
        </w:rPr>
      </w:pPr>
    </w:p>
    <w:p w:rsidR="00770ECF" w:rsidP="00BE4B37" w:rsidRDefault="00770ECF" w14:paraId="42702E21" w14:textId="77777777">
      <w:pPr>
        <w:spacing w:line="360" w:lineRule="auto"/>
        <w:rPr>
          <w:rFonts w:ascii="Verdana" w:hAnsi="Verdana"/>
          <w:sz w:val="24"/>
          <w:szCs w:val="24"/>
        </w:rPr>
      </w:pPr>
    </w:p>
    <w:p w:rsidR="2BF9500C" w:rsidP="0FF05B1B" w:rsidRDefault="2BF9500C" w14:paraId="034AD8CB" w14:textId="70469307">
      <w:pPr>
        <w:spacing w:line="360" w:lineRule="auto"/>
        <w:jc w:val="center"/>
      </w:pPr>
      <w:r w:rsidRPr="0FF05B1B">
        <w:rPr>
          <w:rFonts w:ascii="Verdana" w:hAnsi="Verdana"/>
          <w:b/>
          <w:bCs/>
          <w:sz w:val="24"/>
          <w:szCs w:val="24"/>
        </w:rPr>
        <w:t>Lista de Tablas</w:t>
      </w:r>
    </w:p>
    <w:p w:rsidRPr="00722AB0" w:rsidR="00D94015" w:rsidP="00D94015" w:rsidRDefault="00D94015" w14:paraId="4C1FE60B" w14:textId="77777777">
      <w:pPr>
        <w:spacing w:after="0" w:line="360" w:lineRule="auto"/>
        <w:jc w:val="both"/>
        <w:rPr>
          <w:rFonts w:ascii="Verdana" w:hAnsi="Verdana"/>
          <w:sz w:val="24"/>
          <w:szCs w:val="24"/>
        </w:rPr>
      </w:pPr>
      <w:r w:rsidRPr="00722AB0">
        <w:rPr>
          <w:rFonts w:ascii="Verdana" w:hAnsi="Verdana"/>
          <w:sz w:val="24"/>
          <w:szCs w:val="24"/>
        </w:rPr>
        <w:t>Tabla No. 1. Avances Comunidades Energéticas PES 2024-2026 </w:t>
      </w:r>
    </w:p>
    <w:p w:rsidRPr="00722AB0" w:rsidR="00D94015" w:rsidP="00D94015" w:rsidRDefault="00D94015" w14:paraId="7EC912B4" w14:textId="77777777">
      <w:pPr>
        <w:spacing w:after="0" w:line="360" w:lineRule="auto"/>
        <w:jc w:val="both"/>
        <w:rPr>
          <w:rFonts w:ascii="Verdana" w:hAnsi="Verdana"/>
          <w:sz w:val="24"/>
          <w:szCs w:val="24"/>
        </w:rPr>
      </w:pPr>
      <w:r w:rsidRPr="00722AB0">
        <w:rPr>
          <w:rFonts w:ascii="Verdana" w:hAnsi="Verdana"/>
          <w:sz w:val="24"/>
          <w:szCs w:val="24"/>
        </w:rPr>
        <w:t>Tabla No.2. Avances FNCER PES 2024-2026 </w:t>
      </w:r>
    </w:p>
    <w:p w:rsidRPr="00722AB0" w:rsidR="00D94015" w:rsidP="00D94015" w:rsidRDefault="00D94015" w14:paraId="02DF7403" w14:textId="77777777">
      <w:pPr>
        <w:spacing w:after="0" w:line="360" w:lineRule="auto"/>
        <w:jc w:val="both"/>
        <w:rPr>
          <w:rFonts w:ascii="Verdana" w:hAnsi="Verdana"/>
          <w:sz w:val="24"/>
          <w:szCs w:val="24"/>
        </w:rPr>
      </w:pPr>
      <w:r w:rsidRPr="00722AB0">
        <w:rPr>
          <w:rFonts w:ascii="Verdana" w:hAnsi="Verdana"/>
          <w:sz w:val="24"/>
          <w:szCs w:val="24"/>
        </w:rPr>
        <w:t>Tabla No. 3. Avances Costos de la energía PES 2024-2026 </w:t>
      </w:r>
    </w:p>
    <w:p w:rsidRPr="00722AB0" w:rsidR="00D94015" w:rsidP="00D94015" w:rsidRDefault="00D94015" w14:paraId="51724ADD" w14:textId="77777777">
      <w:pPr>
        <w:spacing w:after="0" w:line="360" w:lineRule="auto"/>
        <w:jc w:val="both"/>
        <w:rPr>
          <w:rFonts w:ascii="Verdana" w:hAnsi="Verdana"/>
          <w:sz w:val="24"/>
          <w:szCs w:val="24"/>
        </w:rPr>
      </w:pPr>
      <w:r w:rsidRPr="00722AB0">
        <w:rPr>
          <w:rFonts w:ascii="Verdana" w:hAnsi="Verdana"/>
          <w:sz w:val="24"/>
          <w:szCs w:val="24"/>
        </w:rPr>
        <w:t>Tabla No. 4. Avances Plantas PES 2024-2026 </w:t>
      </w:r>
    </w:p>
    <w:p w:rsidRPr="00722AB0" w:rsidR="00D94015" w:rsidP="00D94015" w:rsidRDefault="00D94015" w14:paraId="28AEEDD6" w14:textId="77777777">
      <w:pPr>
        <w:spacing w:after="0" w:line="360" w:lineRule="auto"/>
        <w:jc w:val="both"/>
        <w:rPr>
          <w:rFonts w:ascii="Verdana" w:hAnsi="Verdana"/>
          <w:sz w:val="24"/>
          <w:szCs w:val="24"/>
        </w:rPr>
      </w:pPr>
      <w:r w:rsidRPr="00722AB0">
        <w:rPr>
          <w:rFonts w:ascii="Verdana" w:hAnsi="Verdana"/>
          <w:sz w:val="24"/>
          <w:szCs w:val="24"/>
        </w:rPr>
        <w:t>Tabla No. 5. Avances Electromovilidad PES 2024-2026 </w:t>
      </w:r>
    </w:p>
    <w:p w:rsidRPr="00722AB0" w:rsidR="00D94015" w:rsidP="00D94015" w:rsidRDefault="00D94015" w14:paraId="59E6E449" w14:textId="77777777">
      <w:pPr>
        <w:spacing w:after="0" w:line="360" w:lineRule="auto"/>
        <w:jc w:val="both"/>
        <w:rPr>
          <w:rFonts w:ascii="Verdana" w:hAnsi="Verdana"/>
          <w:sz w:val="24"/>
          <w:szCs w:val="24"/>
        </w:rPr>
      </w:pPr>
      <w:r w:rsidRPr="00722AB0">
        <w:rPr>
          <w:rFonts w:ascii="Verdana" w:hAnsi="Verdana"/>
          <w:sz w:val="24"/>
          <w:szCs w:val="24"/>
        </w:rPr>
        <w:t>Tabla No. 6. Nuevo marco regulatorio PES 2024-2026 </w:t>
      </w:r>
    </w:p>
    <w:p w:rsidRPr="00722AB0" w:rsidR="00D94015" w:rsidP="00D94015" w:rsidRDefault="00D94015" w14:paraId="09D0B18B" w14:textId="77777777">
      <w:pPr>
        <w:spacing w:after="0" w:line="360" w:lineRule="auto"/>
        <w:jc w:val="both"/>
        <w:rPr>
          <w:rFonts w:ascii="Verdana" w:hAnsi="Verdana"/>
          <w:sz w:val="24"/>
          <w:szCs w:val="24"/>
        </w:rPr>
      </w:pPr>
      <w:r w:rsidRPr="00722AB0">
        <w:rPr>
          <w:rFonts w:ascii="Verdana" w:hAnsi="Verdana"/>
          <w:sz w:val="24"/>
          <w:szCs w:val="24"/>
        </w:rPr>
        <w:t>Tabla No. 7. Empresa pública sector minero – PES 2024-2026 </w:t>
      </w:r>
    </w:p>
    <w:p w:rsidRPr="00722AB0" w:rsidR="00D94015" w:rsidP="00D94015" w:rsidRDefault="00D94015" w14:paraId="2637DFFD" w14:textId="77777777">
      <w:pPr>
        <w:spacing w:after="0" w:line="360" w:lineRule="auto"/>
        <w:jc w:val="both"/>
        <w:rPr>
          <w:rFonts w:ascii="Verdana" w:hAnsi="Verdana"/>
          <w:sz w:val="24"/>
          <w:szCs w:val="24"/>
        </w:rPr>
      </w:pPr>
      <w:r w:rsidRPr="00722AB0">
        <w:rPr>
          <w:rFonts w:ascii="Verdana" w:hAnsi="Verdana"/>
          <w:sz w:val="24"/>
          <w:szCs w:val="24"/>
        </w:rPr>
        <w:t>Tabla No. 8. PNGC PES 2024-2026 </w:t>
      </w:r>
    </w:p>
    <w:p w:rsidRPr="00722AB0" w:rsidR="00D94015" w:rsidP="00D94015" w:rsidRDefault="00D94015" w14:paraId="4898B31E" w14:textId="77777777">
      <w:pPr>
        <w:spacing w:after="0" w:line="360" w:lineRule="auto"/>
        <w:jc w:val="both"/>
        <w:rPr>
          <w:rFonts w:ascii="Verdana" w:hAnsi="Verdana"/>
          <w:sz w:val="24"/>
          <w:szCs w:val="24"/>
        </w:rPr>
      </w:pPr>
      <w:r w:rsidRPr="00722AB0">
        <w:rPr>
          <w:rFonts w:ascii="Verdana" w:hAnsi="Verdana"/>
          <w:sz w:val="24"/>
          <w:szCs w:val="24"/>
        </w:rPr>
        <w:t>Tabla No. 9. Distritos Mineros PES 2024-2026 </w:t>
      </w:r>
    </w:p>
    <w:p w:rsidRPr="00722AB0" w:rsidR="00D94015" w:rsidP="00D94015" w:rsidRDefault="00D94015" w14:paraId="251C674F" w14:textId="77777777">
      <w:pPr>
        <w:spacing w:after="0" w:line="360" w:lineRule="auto"/>
        <w:jc w:val="both"/>
        <w:rPr>
          <w:rFonts w:ascii="Verdana" w:hAnsi="Verdana"/>
          <w:sz w:val="24"/>
          <w:szCs w:val="24"/>
        </w:rPr>
      </w:pPr>
      <w:r w:rsidRPr="00722AB0">
        <w:rPr>
          <w:rFonts w:ascii="Verdana" w:hAnsi="Verdana"/>
          <w:sz w:val="24"/>
          <w:szCs w:val="24"/>
        </w:rPr>
        <w:t>Tabla No. 10. Corredor de Vida del Cesar – PES 2024-2026 </w:t>
      </w:r>
    </w:p>
    <w:p w:rsidRPr="00722AB0" w:rsidR="00D94015" w:rsidP="00D94015" w:rsidRDefault="00D94015" w14:paraId="4DB3FA45" w14:textId="77777777">
      <w:pPr>
        <w:spacing w:after="0" w:line="360" w:lineRule="auto"/>
        <w:jc w:val="both"/>
        <w:rPr>
          <w:rFonts w:ascii="Verdana" w:hAnsi="Verdana"/>
          <w:sz w:val="24"/>
          <w:szCs w:val="24"/>
        </w:rPr>
      </w:pPr>
      <w:r w:rsidRPr="00722AB0">
        <w:rPr>
          <w:rFonts w:ascii="Verdana" w:hAnsi="Verdana"/>
          <w:sz w:val="24"/>
          <w:szCs w:val="24"/>
        </w:rPr>
        <w:t>Tabla No. 11. Minerales Estratégicos – PES 2024-2026 </w:t>
      </w:r>
    </w:p>
    <w:p w:rsidRPr="00722AB0" w:rsidR="00D94015" w:rsidP="00D94015" w:rsidRDefault="00D94015" w14:paraId="0C95083B" w14:textId="77777777">
      <w:pPr>
        <w:spacing w:after="0" w:line="360" w:lineRule="auto"/>
        <w:jc w:val="both"/>
        <w:rPr>
          <w:rFonts w:ascii="Verdana" w:hAnsi="Verdana"/>
          <w:sz w:val="24"/>
          <w:szCs w:val="24"/>
        </w:rPr>
      </w:pPr>
      <w:r w:rsidRPr="00722AB0">
        <w:rPr>
          <w:rFonts w:ascii="Verdana" w:hAnsi="Verdana"/>
          <w:sz w:val="24"/>
          <w:szCs w:val="24"/>
        </w:rPr>
        <w:t>Tabla No. 12. Reservas hidrocarburos – PES 2024-2026 </w:t>
      </w:r>
    </w:p>
    <w:p w:rsidRPr="00722AB0" w:rsidR="00D94015" w:rsidP="00D94015" w:rsidRDefault="00D94015" w14:paraId="4C6966C5" w14:textId="77777777">
      <w:pPr>
        <w:spacing w:after="0" w:line="360" w:lineRule="auto"/>
        <w:jc w:val="both"/>
        <w:rPr>
          <w:rFonts w:ascii="Verdana" w:hAnsi="Verdana"/>
          <w:sz w:val="24"/>
          <w:szCs w:val="24"/>
        </w:rPr>
      </w:pPr>
      <w:r w:rsidRPr="00722AB0">
        <w:rPr>
          <w:rFonts w:ascii="Verdana" w:hAnsi="Verdana"/>
          <w:sz w:val="24"/>
          <w:szCs w:val="24"/>
        </w:rPr>
        <w:t>Tabla No. 13. Hidrógeno PES 2024-2026 </w:t>
      </w:r>
    </w:p>
    <w:p w:rsidRPr="00722AB0" w:rsidR="00D94015" w:rsidP="00D94015" w:rsidRDefault="00D94015" w14:paraId="02987B45" w14:textId="77777777">
      <w:pPr>
        <w:spacing w:after="0" w:line="360" w:lineRule="auto"/>
        <w:jc w:val="both"/>
        <w:rPr>
          <w:rFonts w:ascii="Verdana" w:hAnsi="Verdana"/>
          <w:sz w:val="24"/>
          <w:szCs w:val="24"/>
        </w:rPr>
      </w:pPr>
      <w:r w:rsidRPr="00722AB0">
        <w:rPr>
          <w:rFonts w:ascii="Verdana" w:hAnsi="Verdana"/>
          <w:sz w:val="24"/>
          <w:szCs w:val="24"/>
        </w:rPr>
        <w:t>Tabla No. 14. Geotermia PES 2024-2026 </w:t>
      </w:r>
    </w:p>
    <w:p w:rsidRPr="00722AB0" w:rsidR="00D94015" w:rsidP="00D94015" w:rsidRDefault="00D94015" w14:paraId="2EBDC887" w14:textId="77777777">
      <w:pPr>
        <w:spacing w:after="0" w:line="360" w:lineRule="auto"/>
        <w:jc w:val="both"/>
        <w:rPr>
          <w:rFonts w:ascii="Verdana" w:hAnsi="Verdana"/>
          <w:sz w:val="24"/>
          <w:szCs w:val="24"/>
        </w:rPr>
      </w:pPr>
      <w:r w:rsidRPr="00722AB0">
        <w:rPr>
          <w:rFonts w:ascii="Verdana" w:hAnsi="Verdana"/>
          <w:sz w:val="24"/>
          <w:szCs w:val="24"/>
        </w:rPr>
        <w:t>Tabla No. 15. Eólica Offshore PES 2024-2026 </w:t>
      </w:r>
    </w:p>
    <w:p w:rsidRPr="00722AB0" w:rsidR="00D94015" w:rsidP="00D94015" w:rsidRDefault="00D94015" w14:paraId="41C2C14E" w14:textId="77777777">
      <w:pPr>
        <w:spacing w:after="0" w:line="360" w:lineRule="auto"/>
        <w:jc w:val="both"/>
        <w:rPr>
          <w:rFonts w:ascii="Verdana" w:hAnsi="Verdana"/>
          <w:sz w:val="24"/>
          <w:szCs w:val="24"/>
        </w:rPr>
      </w:pPr>
      <w:r w:rsidRPr="00722AB0">
        <w:rPr>
          <w:rFonts w:ascii="Verdana" w:hAnsi="Verdana"/>
          <w:sz w:val="24"/>
          <w:szCs w:val="24"/>
        </w:rPr>
        <w:t>Tabla No. 16. Indicadores PEI 2024-2026 </w:t>
      </w:r>
    </w:p>
    <w:p w:rsidRPr="00722AB0" w:rsidR="00D94015" w:rsidP="00D94015" w:rsidRDefault="00D94015" w14:paraId="677EAB25" w14:textId="77777777">
      <w:pPr>
        <w:spacing w:after="0" w:line="360" w:lineRule="auto"/>
        <w:jc w:val="both"/>
        <w:rPr>
          <w:rFonts w:ascii="Verdana" w:hAnsi="Verdana"/>
          <w:sz w:val="24"/>
          <w:szCs w:val="24"/>
        </w:rPr>
      </w:pPr>
      <w:r w:rsidRPr="00722AB0">
        <w:rPr>
          <w:rFonts w:ascii="Verdana" w:hAnsi="Verdana"/>
          <w:sz w:val="24"/>
          <w:szCs w:val="24"/>
        </w:rPr>
        <w:t>Tabla No. 17. Avances metas PND 2022-2026 </w:t>
      </w:r>
    </w:p>
    <w:p w:rsidRPr="00722AB0" w:rsidR="00D94015" w:rsidP="00D94015" w:rsidRDefault="00D94015" w14:paraId="0178942B" w14:textId="77777777">
      <w:pPr>
        <w:spacing w:after="0" w:line="360" w:lineRule="auto"/>
        <w:jc w:val="both"/>
        <w:rPr>
          <w:rFonts w:ascii="Verdana" w:hAnsi="Verdana"/>
          <w:sz w:val="24"/>
          <w:szCs w:val="24"/>
        </w:rPr>
      </w:pPr>
      <w:r w:rsidRPr="00722AB0">
        <w:rPr>
          <w:rFonts w:ascii="Verdana" w:hAnsi="Verdana"/>
          <w:sz w:val="24"/>
          <w:szCs w:val="24"/>
        </w:rPr>
        <w:t>Tabla No. 18 Evolución normativa de la Planta de Personal </w:t>
      </w:r>
    </w:p>
    <w:p w:rsidRPr="00722AB0" w:rsidR="00D94015" w:rsidP="00D94015" w:rsidRDefault="00D94015" w14:paraId="09D8F46A" w14:textId="77777777">
      <w:pPr>
        <w:spacing w:after="0" w:line="360" w:lineRule="auto"/>
        <w:jc w:val="both"/>
        <w:rPr>
          <w:rFonts w:ascii="Verdana" w:hAnsi="Verdana"/>
          <w:sz w:val="24"/>
          <w:szCs w:val="24"/>
        </w:rPr>
      </w:pPr>
      <w:r w:rsidRPr="00722AB0">
        <w:rPr>
          <w:rFonts w:ascii="Verdana" w:hAnsi="Verdana"/>
          <w:sz w:val="24"/>
          <w:szCs w:val="24"/>
        </w:rPr>
        <w:t>Tabla No.19. Planta total Ministerio de Minas y Energía </w:t>
      </w:r>
    </w:p>
    <w:p w:rsidRPr="00722AB0" w:rsidR="00D94015" w:rsidP="00D94015" w:rsidRDefault="00D94015" w14:paraId="6325423A" w14:textId="77777777">
      <w:pPr>
        <w:spacing w:after="0" w:line="360" w:lineRule="auto"/>
        <w:jc w:val="both"/>
        <w:rPr>
          <w:rFonts w:ascii="Verdana" w:hAnsi="Verdana"/>
          <w:sz w:val="24"/>
          <w:szCs w:val="24"/>
        </w:rPr>
      </w:pPr>
      <w:r w:rsidRPr="00722AB0">
        <w:rPr>
          <w:rFonts w:ascii="Verdana" w:hAnsi="Verdana"/>
          <w:sz w:val="24"/>
          <w:szCs w:val="24"/>
        </w:rPr>
        <w:t>Tabla No. 20. Cultura y Bienestar Organizacional </w:t>
      </w:r>
    </w:p>
    <w:p w:rsidRPr="00722AB0" w:rsidR="00D94015" w:rsidP="00D94015" w:rsidRDefault="00D94015" w14:paraId="276A877F" w14:textId="77777777">
      <w:pPr>
        <w:spacing w:after="0" w:line="360" w:lineRule="auto"/>
        <w:jc w:val="both"/>
        <w:rPr>
          <w:rFonts w:ascii="Verdana" w:hAnsi="Verdana"/>
          <w:sz w:val="24"/>
          <w:szCs w:val="24"/>
        </w:rPr>
      </w:pPr>
      <w:r w:rsidRPr="00722AB0">
        <w:rPr>
          <w:rFonts w:ascii="Verdana" w:hAnsi="Verdana"/>
          <w:sz w:val="24"/>
          <w:szCs w:val="24"/>
        </w:rPr>
        <w:t>Tabla No. 21. Fortalecimiento del teletrabajo </w:t>
      </w:r>
    </w:p>
    <w:p w:rsidRPr="00722AB0" w:rsidR="00D94015" w:rsidP="00D94015" w:rsidRDefault="00D94015" w14:paraId="3CDCDBD1" w14:textId="77777777">
      <w:pPr>
        <w:spacing w:after="0" w:line="360" w:lineRule="auto"/>
        <w:jc w:val="both"/>
        <w:rPr>
          <w:rFonts w:ascii="Verdana" w:hAnsi="Verdana"/>
          <w:sz w:val="24"/>
          <w:szCs w:val="24"/>
        </w:rPr>
      </w:pPr>
      <w:r w:rsidRPr="00722AB0">
        <w:rPr>
          <w:rFonts w:ascii="Verdana" w:hAnsi="Verdana"/>
          <w:sz w:val="24"/>
          <w:szCs w:val="24"/>
        </w:rPr>
        <w:t>Tabla No. 22. Resumen Plan de Trabajo – SG-SST </w:t>
      </w:r>
    </w:p>
    <w:p w:rsidRPr="00722AB0" w:rsidR="00D94015" w:rsidP="00D94015" w:rsidRDefault="00D94015" w14:paraId="7FE9C21B" w14:textId="77777777">
      <w:pPr>
        <w:spacing w:after="0" w:line="360" w:lineRule="auto"/>
        <w:jc w:val="both"/>
        <w:rPr>
          <w:rFonts w:ascii="Verdana" w:hAnsi="Verdana"/>
          <w:sz w:val="24"/>
          <w:szCs w:val="24"/>
        </w:rPr>
      </w:pPr>
      <w:r w:rsidRPr="00722AB0">
        <w:rPr>
          <w:rFonts w:ascii="Verdana" w:hAnsi="Verdana"/>
          <w:sz w:val="24"/>
          <w:szCs w:val="24"/>
        </w:rPr>
        <w:t>Tabla No. 23: Resumen actividades SG-SST </w:t>
      </w:r>
    </w:p>
    <w:p w:rsidRPr="00722AB0" w:rsidR="00D94015" w:rsidP="00D94015" w:rsidRDefault="00D94015" w14:paraId="45C87633" w14:textId="77777777">
      <w:pPr>
        <w:spacing w:after="0" w:line="360" w:lineRule="auto"/>
        <w:jc w:val="both"/>
        <w:rPr>
          <w:rFonts w:ascii="Verdana" w:hAnsi="Verdana"/>
          <w:sz w:val="24"/>
          <w:szCs w:val="24"/>
        </w:rPr>
      </w:pPr>
      <w:r w:rsidRPr="00722AB0">
        <w:rPr>
          <w:rFonts w:ascii="Verdana" w:hAnsi="Verdana"/>
          <w:sz w:val="24"/>
          <w:szCs w:val="24"/>
        </w:rPr>
        <w:t>Tabla No. 24. Estadísticas SG-SST </w:t>
      </w:r>
    </w:p>
    <w:p w:rsidRPr="00722AB0" w:rsidR="00D94015" w:rsidP="00D94015" w:rsidRDefault="00D94015" w14:paraId="366B6E0D" w14:textId="77777777">
      <w:pPr>
        <w:spacing w:after="0" w:line="360" w:lineRule="auto"/>
        <w:jc w:val="both"/>
        <w:rPr>
          <w:rFonts w:ascii="Verdana" w:hAnsi="Verdana"/>
          <w:sz w:val="24"/>
          <w:szCs w:val="24"/>
        </w:rPr>
      </w:pPr>
      <w:r w:rsidRPr="00722AB0">
        <w:rPr>
          <w:rFonts w:ascii="Verdana" w:hAnsi="Verdana"/>
          <w:sz w:val="24"/>
          <w:szCs w:val="24"/>
        </w:rPr>
        <w:t>Tabla no. 25. Lista Brigadistas 2026 </w:t>
      </w:r>
    </w:p>
    <w:p w:rsidRPr="00722AB0" w:rsidR="00D94015" w:rsidP="00D94015" w:rsidRDefault="00D94015" w14:paraId="5269B54C" w14:textId="77777777">
      <w:pPr>
        <w:spacing w:after="0" w:line="360" w:lineRule="auto"/>
        <w:jc w:val="both"/>
        <w:rPr>
          <w:rFonts w:ascii="Verdana" w:hAnsi="Verdana"/>
          <w:sz w:val="24"/>
          <w:szCs w:val="24"/>
        </w:rPr>
      </w:pPr>
      <w:r w:rsidRPr="00722AB0">
        <w:rPr>
          <w:rFonts w:ascii="Verdana" w:hAnsi="Verdana"/>
          <w:sz w:val="24"/>
          <w:szCs w:val="24"/>
        </w:rPr>
        <w:t>Tabla No. 26. Resumen acciones en materia de (PESV) </w:t>
      </w:r>
    </w:p>
    <w:p w:rsidRPr="00722AB0" w:rsidR="00D94015" w:rsidP="00D94015" w:rsidRDefault="00D94015" w14:paraId="3C5D16E0" w14:textId="77777777">
      <w:pPr>
        <w:spacing w:after="0" w:line="360" w:lineRule="auto"/>
        <w:jc w:val="both"/>
        <w:rPr>
          <w:rFonts w:ascii="Verdana" w:hAnsi="Verdana"/>
          <w:sz w:val="24"/>
          <w:szCs w:val="24"/>
        </w:rPr>
      </w:pPr>
      <w:r w:rsidRPr="00722AB0">
        <w:rPr>
          <w:rFonts w:ascii="Verdana" w:hAnsi="Verdana"/>
          <w:sz w:val="24"/>
          <w:szCs w:val="24"/>
        </w:rPr>
        <w:t>Tabla No. 27. Principales acciones en materia de trabajo decente y libertad sindical </w:t>
      </w:r>
    </w:p>
    <w:p w:rsidRPr="00722AB0" w:rsidR="00D94015" w:rsidP="00D94015" w:rsidRDefault="00D94015" w14:paraId="5A43694A" w14:textId="77777777">
      <w:pPr>
        <w:spacing w:after="0" w:line="360" w:lineRule="auto"/>
        <w:jc w:val="both"/>
        <w:rPr>
          <w:rFonts w:ascii="Verdana" w:hAnsi="Verdana"/>
          <w:sz w:val="24"/>
          <w:szCs w:val="24"/>
        </w:rPr>
      </w:pPr>
      <w:r w:rsidRPr="00722AB0">
        <w:rPr>
          <w:rFonts w:ascii="Verdana" w:hAnsi="Verdana"/>
          <w:sz w:val="24"/>
          <w:szCs w:val="24"/>
        </w:rPr>
        <w:t>Tabla No. 28. Presupuesto Asignado Vigencia 2022 </w:t>
      </w:r>
    </w:p>
    <w:p w:rsidRPr="00722AB0" w:rsidR="00D94015" w:rsidP="00D94015" w:rsidRDefault="00D94015" w14:paraId="672B1485" w14:textId="77777777">
      <w:pPr>
        <w:spacing w:after="0" w:line="360" w:lineRule="auto"/>
        <w:jc w:val="both"/>
        <w:rPr>
          <w:rFonts w:ascii="Verdana" w:hAnsi="Verdana"/>
          <w:sz w:val="24"/>
          <w:szCs w:val="24"/>
        </w:rPr>
      </w:pPr>
      <w:r w:rsidRPr="00722AB0">
        <w:rPr>
          <w:rFonts w:ascii="Verdana" w:hAnsi="Verdana"/>
          <w:sz w:val="24"/>
          <w:szCs w:val="24"/>
        </w:rPr>
        <w:t>Tabla No. 29. Presupuesto Asignado Vigencia 2023 </w:t>
      </w:r>
    </w:p>
    <w:p w:rsidRPr="00722AB0" w:rsidR="00D94015" w:rsidP="00D94015" w:rsidRDefault="00D94015" w14:paraId="7ABF2DF2" w14:textId="77777777">
      <w:pPr>
        <w:spacing w:after="0" w:line="360" w:lineRule="auto"/>
        <w:jc w:val="both"/>
        <w:rPr>
          <w:rFonts w:ascii="Verdana" w:hAnsi="Verdana"/>
          <w:sz w:val="24"/>
          <w:szCs w:val="24"/>
        </w:rPr>
      </w:pPr>
      <w:r w:rsidRPr="00722AB0">
        <w:rPr>
          <w:rFonts w:ascii="Verdana" w:hAnsi="Verdana"/>
          <w:sz w:val="24"/>
          <w:szCs w:val="24"/>
        </w:rPr>
        <w:t>Tabla No. 30. Presupuesto Asignado Vigencia 2024 </w:t>
      </w:r>
    </w:p>
    <w:p w:rsidRPr="00722AB0" w:rsidR="00D94015" w:rsidP="00D94015" w:rsidRDefault="00D94015" w14:paraId="135291E1" w14:textId="77777777">
      <w:pPr>
        <w:spacing w:after="0" w:line="360" w:lineRule="auto"/>
        <w:jc w:val="both"/>
        <w:rPr>
          <w:rFonts w:ascii="Verdana" w:hAnsi="Verdana"/>
          <w:sz w:val="24"/>
          <w:szCs w:val="24"/>
        </w:rPr>
      </w:pPr>
      <w:r w:rsidRPr="00722AB0">
        <w:rPr>
          <w:rFonts w:ascii="Verdana" w:hAnsi="Verdana"/>
          <w:sz w:val="24"/>
          <w:szCs w:val="24"/>
        </w:rPr>
        <w:t>Tabla No. 31. Presupuesto Asignado Vigencia 2025 </w:t>
      </w:r>
    </w:p>
    <w:p w:rsidRPr="00722AB0" w:rsidR="00D94015" w:rsidP="00D94015" w:rsidRDefault="00D94015" w14:paraId="61B32D0B" w14:textId="77777777">
      <w:pPr>
        <w:spacing w:after="0" w:line="360" w:lineRule="auto"/>
        <w:jc w:val="both"/>
        <w:rPr>
          <w:rFonts w:ascii="Verdana" w:hAnsi="Verdana"/>
          <w:i/>
          <w:iCs/>
          <w:sz w:val="24"/>
          <w:szCs w:val="24"/>
        </w:rPr>
      </w:pPr>
      <w:r w:rsidRPr="00722AB0">
        <w:rPr>
          <w:rFonts w:ascii="Verdana" w:hAnsi="Verdana"/>
          <w:sz w:val="24"/>
          <w:szCs w:val="24"/>
        </w:rPr>
        <w:t> Tabla No. 32. Presupuesto Asignado Vigencia 2026</w:t>
      </w:r>
      <w:r w:rsidRPr="00722AB0">
        <w:rPr>
          <w:rFonts w:ascii="Verdana" w:hAnsi="Verdana"/>
          <w:i/>
          <w:iCs/>
          <w:sz w:val="24"/>
          <w:szCs w:val="24"/>
        </w:rPr>
        <w:t> </w:t>
      </w:r>
    </w:p>
    <w:p w:rsidRPr="00722AB0" w:rsidR="00D94015" w:rsidP="00D94015" w:rsidRDefault="00D94015" w14:paraId="31D3E3B3" w14:textId="77777777">
      <w:pPr>
        <w:spacing w:after="0" w:line="360" w:lineRule="auto"/>
        <w:jc w:val="both"/>
        <w:rPr>
          <w:rFonts w:ascii="Verdana" w:hAnsi="Verdana"/>
          <w:sz w:val="24"/>
          <w:szCs w:val="24"/>
        </w:rPr>
      </w:pPr>
      <w:r w:rsidRPr="00722AB0">
        <w:rPr>
          <w:rFonts w:ascii="Verdana" w:hAnsi="Verdana"/>
          <w:sz w:val="24"/>
          <w:szCs w:val="24"/>
        </w:rPr>
        <w:t>Tabla No. 33. Distribución de recursos sector 2022 por programa </w:t>
      </w:r>
    </w:p>
    <w:p w:rsidRPr="00722AB0" w:rsidR="00D94015" w:rsidP="00D94015" w:rsidRDefault="00D94015" w14:paraId="28D328AA" w14:textId="77777777">
      <w:pPr>
        <w:spacing w:after="0" w:line="360" w:lineRule="auto"/>
        <w:jc w:val="both"/>
        <w:rPr>
          <w:rFonts w:ascii="Verdana" w:hAnsi="Verdana"/>
          <w:sz w:val="24"/>
          <w:szCs w:val="24"/>
        </w:rPr>
      </w:pPr>
      <w:r w:rsidRPr="00722AB0">
        <w:rPr>
          <w:rFonts w:ascii="Verdana" w:hAnsi="Verdana"/>
          <w:sz w:val="24"/>
          <w:szCs w:val="24"/>
        </w:rPr>
        <w:t>Tabla No. 34. Distribución de la Apropiación del Presupuesto General de la Nación 2022 para el Sector Minero Energético </w:t>
      </w:r>
    </w:p>
    <w:p w:rsidRPr="00722AB0" w:rsidR="00D94015" w:rsidP="00D94015" w:rsidRDefault="00D94015" w14:paraId="47CBC50B" w14:textId="77777777">
      <w:pPr>
        <w:spacing w:after="0" w:line="360" w:lineRule="auto"/>
        <w:jc w:val="both"/>
        <w:rPr>
          <w:rFonts w:ascii="Verdana" w:hAnsi="Verdana"/>
          <w:sz w:val="24"/>
          <w:szCs w:val="24"/>
        </w:rPr>
      </w:pPr>
      <w:r w:rsidRPr="00722AB0">
        <w:rPr>
          <w:rFonts w:ascii="Verdana" w:hAnsi="Verdana"/>
          <w:sz w:val="24"/>
          <w:szCs w:val="24"/>
        </w:rPr>
        <w:t>Tabla No. 35. Distribución de recursos sector 2023 por programa </w:t>
      </w:r>
    </w:p>
    <w:p w:rsidRPr="00722AB0" w:rsidR="00D94015" w:rsidP="00D94015" w:rsidRDefault="00D94015" w14:paraId="6F53152E" w14:textId="77777777">
      <w:pPr>
        <w:spacing w:after="0" w:line="360" w:lineRule="auto"/>
        <w:jc w:val="both"/>
        <w:rPr>
          <w:rFonts w:ascii="Verdana" w:hAnsi="Verdana"/>
          <w:sz w:val="24"/>
          <w:szCs w:val="24"/>
        </w:rPr>
      </w:pPr>
      <w:r w:rsidRPr="00722AB0">
        <w:rPr>
          <w:rFonts w:ascii="Verdana" w:hAnsi="Verdana"/>
          <w:sz w:val="24"/>
          <w:szCs w:val="24"/>
        </w:rPr>
        <w:t>Tabla No. 36. Distribución de la Apropiación del Presupuesto General de la Nación 2023 para el Sector Minero Energético. </w:t>
      </w:r>
    </w:p>
    <w:p w:rsidRPr="00722AB0" w:rsidR="00D94015" w:rsidP="00D94015" w:rsidRDefault="00D94015" w14:paraId="61606BE9" w14:textId="77777777">
      <w:pPr>
        <w:spacing w:after="0" w:line="360" w:lineRule="auto"/>
        <w:jc w:val="both"/>
        <w:rPr>
          <w:rFonts w:ascii="Verdana" w:hAnsi="Verdana"/>
          <w:sz w:val="24"/>
          <w:szCs w:val="24"/>
        </w:rPr>
      </w:pPr>
      <w:r w:rsidRPr="00722AB0">
        <w:rPr>
          <w:rFonts w:ascii="Verdana" w:hAnsi="Verdana"/>
          <w:sz w:val="24"/>
          <w:szCs w:val="24"/>
        </w:rPr>
        <w:t>Tabla No. 37. Distribución de recursos sector 2024 por programa </w:t>
      </w:r>
    </w:p>
    <w:p w:rsidRPr="00722AB0" w:rsidR="00D94015" w:rsidP="00D94015" w:rsidRDefault="00D94015" w14:paraId="4B18C08E" w14:textId="77777777">
      <w:pPr>
        <w:spacing w:after="0" w:line="360" w:lineRule="auto"/>
        <w:jc w:val="both"/>
        <w:rPr>
          <w:rFonts w:ascii="Verdana" w:hAnsi="Verdana"/>
          <w:sz w:val="24"/>
          <w:szCs w:val="24"/>
        </w:rPr>
      </w:pPr>
      <w:r w:rsidRPr="00722AB0">
        <w:rPr>
          <w:rFonts w:ascii="Verdana" w:hAnsi="Verdana"/>
          <w:sz w:val="24"/>
          <w:szCs w:val="24"/>
        </w:rPr>
        <w:t>Tabla No. 38. Distribución de la Apropiación del Presupuesto General de la Nación 2024 para el Sector Minero Energético. </w:t>
      </w:r>
    </w:p>
    <w:p w:rsidRPr="00722AB0" w:rsidR="00D94015" w:rsidP="00D94015" w:rsidRDefault="00D94015" w14:paraId="0F9FEB8B" w14:textId="77777777">
      <w:pPr>
        <w:spacing w:after="0" w:line="360" w:lineRule="auto"/>
        <w:jc w:val="both"/>
        <w:rPr>
          <w:rFonts w:ascii="Verdana" w:hAnsi="Verdana"/>
          <w:sz w:val="24"/>
          <w:szCs w:val="24"/>
        </w:rPr>
      </w:pPr>
      <w:r w:rsidRPr="00722AB0">
        <w:rPr>
          <w:rFonts w:ascii="Verdana" w:hAnsi="Verdana"/>
          <w:sz w:val="24"/>
          <w:szCs w:val="24"/>
        </w:rPr>
        <w:t>Tabla No. 39. Distribución de recursos sector 2025 por programa </w:t>
      </w:r>
    </w:p>
    <w:p w:rsidRPr="00722AB0" w:rsidR="00D94015" w:rsidP="00D94015" w:rsidRDefault="00D94015" w14:paraId="051BF2D0" w14:textId="77777777">
      <w:pPr>
        <w:spacing w:after="0" w:line="360" w:lineRule="auto"/>
        <w:jc w:val="both"/>
        <w:rPr>
          <w:rFonts w:ascii="Verdana" w:hAnsi="Verdana"/>
          <w:sz w:val="24"/>
          <w:szCs w:val="24"/>
        </w:rPr>
      </w:pPr>
      <w:r w:rsidRPr="00722AB0">
        <w:rPr>
          <w:rFonts w:ascii="Verdana" w:hAnsi="Verdana"/>
          <w:sz w:val="24"/>
          <w:szCs w:val="24"/>
        </w:rPr>
        <w:t>Tabla No. 40. Distribución de la Apropiación del Presupuesto General de la Nación 2025 para el Sector Minero Energético. </w:t>
      </w:r>
    </w:p>
    <w:p w:rsidRPr="00722AB0" w:rsidR="00D94015" w:rsidP="00D94015" w:rsidRDefault="00D94015" w14:paraId="1C3EDBB3" w14:textId="77777777">
      <w:pPr>
        <w:spacing w:after="0" w:line="360" w:lineRule="auto"/>
        <w:jc w:val="both"/>
        <w:rPr>
          <w:rFonts w:ascii="Verdana" w:hAnsi="Verdana"/>
          <w:sz w:val="24"/>
          <w:szCs w:val="24"/>
        </w:rPr>
      </w:pPr>
      <w:r w:rsidRPr="00722AB0">
        <w:rPr>
          <w:rFonts w:ascii="Verdana" w:hAnsi="Verdana"/>
          <w:sz w:val="24"/>
          <w:szCs w:val="24"/>
        </w:rPr>
        <w:t>Tabla No. 41. Distribución de recursos sector 2026 por programa </w:t>
      </w:r>
    </w:p>
    <w:p w:rsidRPr="00722AB0" w:rsidR="00D94015" w:rsidP="00D94015" w:rsidRDefault="00D94015" w14:paraId="327F161B" w14:textId="77777777">
      <w:pPr>
        <w:spacing w:after="0" w:line="360" w:lineRule="auto"/>
        <w:jc w:val="both"/>
        <w:rPr>
          <w:rFonts w:ascii="Verdana" w:hAnsi="Verdana"/>
          <w:sz w:val="24"/>
          <w:szCs w:val="24"/>
        </w:rPr>
      </w:pPr>
      <w:r w:rsidRPr="00722AB0">
        <w:rPr>
          <w:rFonts w:ascii="Verdana" w:hAnsi="Verdana"/>
          <w:sz w:val="24"/>
          <w:szCs w:val="24"/>
        </w:rPr>
        <w:t>Tabla No. 42. Distribución de la Apropiación del Presupuesto General de la Nación 2026 para el Sector Minero Energético. </w:t>
      </w:r>
    </w:p>
    <w:p w:rsidRPr="00722AB0" w:rsidR="00D94015" w:rsidP="00D94015" w:rsidRDefault="00D94015" w14:paraId="507FC680" w14:textId="77777777">
      <w:pPr>
        <w:spacing w:after="0" w:line="360" w:lineRule="auto"/>
        <w:jc w:val="both"/>
        <w:rPr>
          <w:rFonts w:ascii="Verdana" w:hAnsi="Verdana"/>
          <w:sz w:val="24"/>
          <w:szCs w:val="24"/>
        </w:rPr>
      </w:pPr>
      <w:r w:rsidRPr="00722AB0">
        <w:rPr>
          <w:rFonts w:ascii="Verdana" w:hAnsi="Verdana"/>
          <w:sz w:val="24"/>
          <w:szCs w:val="24"/>
        </w:rPr>
        <w:t>Tabla No. 43. Ejecución Presupuestal del Sector Minero Energético con corte a 31 de diciembre de 2022 </w:t>
      </w:r>
    </w:p>
    <w:p w:rsidRPr="00722AB0" w:rsidR="00D94015" w:rsidP="00D94015" w:rsidRDefault="00D94015" w14:paraId="50EEFB49" w14:textId="77777777">
      <w:pPr>
        <w:spacing w:after="0" w:line="360" w:lineRule="auto"/>
        <w:jc w:val="both"/>
        <w:rPr>
          <w:rFonts w:ascii="Verdana" w:hAnsi="Verdana"/>
          <w:sz w:val="24"/>
          <w:szCs w:val="24"/>
        </w:rPr>
      </w:pPr>
      <w:r w:rsidRPr="00722AB0">
        <w:rPr>
          <w:rFonts w:ascii="Verdana" w:hAnsi="Verdana"/>
          <w:sz w:val="24"/>
          <w:szCs w:val="24"/>
        </w:rPr>
        <w:t>Tabla No. 44. Ejecución Presupuestal del Sector Minero Energético con corte a 31 de diciembre de 2023 </w:t>
      </w:r>
    </w:p>
    <w:p w:rsidRPr="00722AB0" w:rsidR="00D94015" w:rsidP="00D94015" w:rsidRDefault="00D94015" w14:paraId="7B2AF0BD" w14:textId="77777777">
      <w:pPr>
        <w:spacing w:after="0" w:line="360" w:lineRule="auto"/>
        <w:jc w:val="both"/>
        <w:rPr>
          <w:rFonts w:ascii="Verdana" w:hAnsi="Verdana"/>
          <w:sz w:val="24"/>
          <w:szCs w:val="24"/>
        </w:rPr>
      </w:pPr>
      <w:r w:rsidRPr="00722AB0">
        <w:rPr>
          <w:rFonts w:ascii="Verdana" w:hAnsi="Verdana"/>
          <w:sz w:val="24"/>
          <w:szCs w:val="24"/>
        </w:rPr>
        <w:t>Tabla No. 45. Ejecución Presupuestal del Sector Minero Energético con corte a 31 de diciembre de 2024 </w:t>
      </w:r>
    </w:p>
    <w:p w:rsidRPr="00722AB0" w:rsidR="00D94015" w:rsidP="00D94015" w:rsidRDefault="00D94015" w14:paraId="39627EF8" w14:textId="77777777">
      <w:pPr>
        <w:spacing w:after="0" w:line="360" w:lineRule="auto"/>
        <w:jc w:val="both"/>
        <w:rPr>
          <w:rFonts w:ascii="Verdana" w:hAnsi="Verdana"/>
          <w:sz w:val="24"/>
          <w:szCs w:val="24"/>
        </w:rPr>
      </w:pPr>
      <w:r w:rsidRPr="00722AB0">
        <w:rPr>
          <w:rFonts w:ascii="Verdana" w:hAnsi="Verdana"/>
          <w:sz w:val="24"/>
          <w:szCs w:val="24"/>
        </w:rPr>
        <w:t>Tabla No. 46. Ejecución Presupuestal del Sector Minero Energético con corte a 31 de diciembre de 2025 </w:t>
      </w:r>
    </w:p>
    <w:p w:rsidRPr="00722AB0" w:rsidR="00D94015" w:rsidP="00D94015" w:rsidRDefault="00D94015" w14:paraId="12ADB0C3" w14:textId="77777777">
      <w:pPr>
        <w:spacing w:after="0" w:line="360" w:lineRule="auto"/>
        <w:jc w:val="both"/>
        <w:rPr>
          <w:rFonts w:ascii="Verdana" w:hAnsi="Verdana"/>
          <w:sz w:val="24"/>
          <w:szCs w:val="24"/>
        </w:rPr>
      </w:pPr>
      <w:r w:rsidRPr="00722AB0">
        <w:rPr>
          <w:rFonts w:ascii="Verdana" w:hAnsi="Verdana"/>
          <w:sz w:val="24"/>
          <w:szCs w:val="24"/>
        </w:rPr>
        <w:t>Tabla No. 47.Ejecución Presupuestal del Sector Minero Energético con corte a 30 de abril de 2026 </w:t>
      </w:r>
    </w:p>
    <w:p w:rsidRPr="00722AB0" w:rsidR="00D94015" w:rsidP="00D94015" w:rsidRDefault="00D94015" w14:paraId="2C62D2F3" w14:textId="77777777">
      <w:pPr>
        <w:spacing w:after="0" w:line="360" w:lineRule="auto"/>
        <w:jc w:val="both"/>
        <w:rPr>
          <w:rFonts w:ascii="Verdana" w:hAnsi="Verdana"/>
          <w:sz w:val="24"/>
          <w:szCs w:val="24"/>
        </w:rPr>
      </w:pPr>
      <w:r w:rsidRPr="00722AB0">
        <w:rPr>
          <w:rFonts w:ascii="Verdana" w:hAnsi="Verdana"/>
          <w:sz w:val="24"/>
          <w:szCs w:val="24"/>
        </w:rPr>
        <w:t>Tabla No. 48. Ejecución vigencia 2022 Subsidios y Fondos </w:t>
      </w:r>
    </w:p>
    <w:p w:rsidRPr="00722AB0" w:rsidR="00D94015" w:rsidP="00D94015" w:rsidRDefault="00D94015" w14:paraId="66439143" w14:textId="77777777">
      <w:pPr>
        <w:spacing w:after="0" w:line="360" w:lineRule="auto"/>
        <w:jc w:val="both"/>
        <w:rPr>
          <w:rFonts w:ascii="Verdana" w:hAnsi="Verdana"/>
          <w:sz w:val="24"/>
          <w:szCs w:val="24"/>
        </w:rPr>
      </w:pPr>
      <w:r w:rsidRPr="00722AB0">
        <w:rPr>
          <w:rFonts w:ascii="Verdana" w:hAnsi="Verdana"/>
          <w:sz w:val="24"/>
          <w:szCs w:val="24"/>
        </w:rPr>
        <w:t>Tabla No. 49. Ejecución vigencia 2023 Subsidios y Fondos </w:t>
      </w:r>
    </w:p>
    <w:p w:rsidRPr="00722AB0" w:rsidR="00D94015" w:rsidP="00D94015" w:rsidRDefault="00D94015" w14:paraId="4928A123" w14:textId="77777777">
      <w:pPr>
        <w:spacing w:after="0" w:line="360" w:lineRule="auto"/>
        <w:jc w:val="both"/>
        <w:rPr>
          <w:rFonts w:ascii="Verdana" w:hAnsi="Verdana"/>
          <w:sz w:val="24"/>
          <w:szCs w:val="24"/>
        </w:rPr>
      </w:pPr>
      <w:r w:rsidRPr="00722AB0">
        <w:rPr>
          <w:rFonts w:ascii="Verdana" w:hAnsi="Verdana"/>
          <w:sz w:val="24"/>
          <w:szCs w:val="24"/>
        </w:rPr>
        <w:t>Tabla No. 50. Ejecución vigencia 2024 Subsidios y Fondos </w:t>
      </w:r>
    </w:p>
    <w:p w:rsidRPr="00722AB0" w:rsidR="00D94015" w:rsidP="00D94015" w:rsidRDefault="00D94015" w14:paraId="36BAA7D6" w14:textId="77777777">
      <w:pPr>
        <w:spacing w:after="0" w:line="360" w:lineRule="auto"/>
        <w:jc w:val="both"/>
        <w:rPr>
          <w:rFonts w:ascii="Verdana" w:hAnsi="Verdana"/>
          <w:sz w:val="24"/>
          <w:szCs w:val="24"/>
        </w:rPr>
      </w:pPr>
      <w:r w:rsidRPr="00722AB0">
        <w:rPr>
          <w:rFonts w:ascii="Verdana" w:hAnsi="Verdana"/>
          <w:sz w:val="24"/>
          <w:szCs w:val="24"/>
        </w:rPr>
        <w:t>Tabla No. 51. Ejecución vigencia 2025 Subsidios y Fondos </w:t>
      </w:r>
    </w:p>
    <w:p w:rsidRPr="00722AB0" w:rsidR="00D94015" w:rsidP="00D94015" w:rsidRDefault="00D94015" w14:paraId="31C59AB4" w14:textId="77777777">
      <w:pPr>
        <w:spacing w:after="0" w:line="360" w:lineRule="auto"/>
        <w:jc w:val="both"/>
        <w:rPr>
          <w:rFonts w:ascii="Verdana" w:hAnsi="Verdana"/>
          <w:sz w:val="24"/>
          <w:szCs w:val="24"/>
        </w:rPr>
      </w:pPr>
      <w:r w:rsidRPr="00722AB0">
        <w:rPr>
          <w:rFonts w:ascii="Verdana" w:hAnsi="Verdana"/>
          <w:sz w:val="24"/>
          <w:szCs w:val="24"/>
        </w:rPr>
        <w:t>Tabla No. 52. Ejecución vigencia 2026 Subsidios y Fondos - 30 abril </w:t>
      </w:r>
    </w:p>
    <w:p w:rsidRPr="00722AB0" w:rsidR="00D94015" w:rsidP="00D94015" w:rsidRDefault="00D94015" w14:paraId="04CCBCB1" w14:textId="77777777">
      <w:pPr>
        <w:spacing w:after="0" w:line="360" w:lineRule="auto"/>
        <w:jc w:val="both"/>
        <w:rPr>
          <w:rFonts w:ascii="Verdana" w:hAnsi="Verdana"/>
          <w:sz w:val="24"/>
          <w:szCs w:val="24"/>
        </w:rPr>
      </w:pPr>
      <w:r w:rsidRPr="00722AB0">
        <w:rPr>
          <w:rFonts w:ascii="Verdana" w:hAnsi="Verdana"/>
          <w:sz w:val="24"/>
          <w:szCs w:val="24"/>
        </w:rPr>
        <w:t>Tabla No. 53. Resumen General por Vigencia </w:t>
      </w:r>
    </w:p>
    <w:p w:rsidRPr="00722AB0" w:rsidR="00D94015" w:rsidP="00D94015" w:rsidRDefault="00D94015" w14:paraId="3D6F88D9" w14:textId="77777777">
      <w:pPr>
        <w:spacing w:after="0" w:line="360" w:lineRule="auto"/>
        <w:jc w:val="both"/>
        <w:rPr>
          <w:rFonts w:ascii="Verdana" w:hAnsi="Verdana"/>
          <w:sz w:val="24"/>
          <w:szCs w:val="24"/>
        </w:rPr>
      </w:pPr>
      <w:r w:rsidRPr="00722AB0">
        <w:rPr>
          <w:rFonts w:ascii="Verdana" w:hAnsi="Verdana"/>
          <w:sz w:val="24"/>
          <w:szCs w:val="24"/>
        </w:rPr>
        <w:t>Tabla No. 54.  Vigencia Ago-Dic 2022 </w:t>
      </w:r>
    </w:p>
    <w:p w:rsidRPr="00722AB0" w:rsidR="00D94015" w:rsidP="00D94015" w:rsidRDefault="00D94015" w14:paraId="7AE1CFA9" w14:textId="77777777">
      <w:pPr>
        <w:spacing w:after="0" w:line="360" w:lineRule="auto"/>
        <w:jc w:val="both"/>
        <w:rPr>
          <w:rFonts w:ascii="Verdana" w:hAnsi="Verdana"/>
          <w:sz w:val="24"/>
          <w:szCs w:val="24"/>
        </w:rPr>
      </w:pPr>
      <w:r w:rsidRPr="00722AB0">
        <w:rPr>
          <w:rFonts w:ascii="Verdana" w:hAnsi="Verdana"/>
          <w:sz w:val="24"/>
          <w:szCs w:val="24"/>
        </w:rPr>
        <w:t>Tabla No. 55. Vigencia 2023 </w:t>
      </w:r>
    </w:p>
    <w:p w:rsidRPr="00722AB0" w:rsidR="00D94015" w:rsidP="00D94015" w:rsidRDefault="00D94015" w14:paraId="43E876A3" w14:textId="77777777">
      <w:pPr>
        <w:spacing w:after="0" w:line="360" w:lineRule="auto"/>
        <w:jc w:val="both"/>
        <w:rPr>
          <w:rFonts w:ascii="Verdana" w:hAnsi="Verdana"/>
          <w:sz w:val="24"/>
          <w:szCs w:val="24"/>
        </w:rPr>
      </w:pPr>
      <w:r w:rsidRPr="00722AB0">
        <w:rPr>
          <w:rFonts w:ascii="Verdana" w:hAnsi="Verdana"/>
          <w:sz w:val="24"/>
          <w:szCs w:val="24"/>
        </w:rPr>
        <w:t>Tabla No. 56. Vigencia 2024 </w:t>
      </w:r>
    </w:p>
    <w:p w:rsidRPr="00722AB0" w:rsidR="00D94015" w:rsidP="00D94015" w:rsidRDefault="00D94015" w14:paraId="481C28F3" w14:textId="77777777">
      <w:pPr>
        <w:spacing w:after="0" w:line="360" w:lineRule="auto"/>
        <w:jc w:val="both"/>
        <w:rPr>
          <w:rFonts w:ascii="Verdana" w:hAnsi="Verdana"/>
          <w:sz w:val="24"/>
          <w:szCs w:val="24"/>
        </w:rPr>
      </w:pPr>
      <w:r w:rsidRPr="00722AB0">
        <w:rPr>
          <w:rFonts w:ascii="Verdana" w:hAnsi="Verdana"/>
          <w:sz w:val="24"/>
          <w:szCs w:val="24"/>
        </w:rPr>
        <w:t>Tabla No. 57. Vigencia 2025 </w:t>
      </w:r>
    </w:p>
    <w:p w:rsidRPr="00722AB0" w:rsidR="00D94015" w:rsidP="00D94015" w:rsidRDefault="00D94015" w14:paraId="7B5BD508" w14:textId="77777777">
      <w:pPr>
        <w:spacing w:after="0" w:line="360" w:lineRule="auto"/>
        <w:jc w:val="both"/>
        <w:rPr>
          <w:rFonts w:ascii="Verdana" w:hAnsi="Verdana"/>
          <w:sz w:val="24"/>
          <w:szCs w:val="24"/>
        </w:rPr>
      </w:pPr>
      <w:r w:rsidRPr="00722AB0">
        <w:rPr>
          <w:rFonts w:ascii="Verdana" w:hAnsi="Verdana"/>
          <w:sz w:val="24"/>
          <w:szCs w:val="24"/>
        </w:rPr>
        <w:t>Tabla No. 58. Ene-Mar 2026 </w:t>
      </w:r>
    </w:p>
    <w:p w:rsidRPr="00722AB0" w:rsidR="00D94015" w:rsidP="00D94015" w:rsidRDefault="00D94015" w14:paraId="0D087D2F" w14:textId="77777777">
      <w:pPr>
        <w:spacing w:after="0" w:line="360" w:lineRule="auto"/>
        <w:jc w:val="both"/>
        <w:rPr>
          <w:rFonts w:ascii="Verdana" w:hAnsi="Verdana"/>
          <w:sz w:val="24"/>
          <w:szCs w:val="24"/>
        </w:rPr>
      </w:pPr>
      <w:r w:rsidRPr="00722AB0">
        <w:rPr>
          <w:rFonts w:ascii="Verdana" w:hAnsi="Verdana"/>
          <w:sz w:val="24"/>
          <w:szCs w:val="24"/>
        </w:rPr>
        <w:t>Tabla No. 59. Rango de edad predominante por año </w:t>
      </w:r>
    </w:p>
    <w:p w:rsidRPr="00722AB0" w:rsidR="00D94015" w:rsidP="00D94015" w:rsidRDefault="00D94015" w14:paraId="19B72F7F" w14:textId="77777777">
      <w:pPr>
        <w:spacing w:after="0" w:line="360" w:lineRule="auto"/>
        <w:jc w:val="both"/>
        <w:rPr>
          <w:rFonts w:ascii="Verdana" w:hAnsi="Verdana"/>
          <w:sz w:val="24"/>
          <w:szCs w:val="24"/>
        </w:rPr>
      </w:pPr>
      <w:r w:rsidRPr="00722AB0">
        <w:rPr>
          <w:rFonts w:ascii="Verdana" w:hAnsi="Verdana"/>
          <w:sz w:val="24"/>
          <w:szCs w:val="24"/>
        </w:rPr>
        <w:t>Tabla No. 60. Plan de Desarrollo - Estrategia de Relacionamiento Territorial (ERT) </w:t>
      </w:r>
    </w:p>
    <w:p w:rsidRPr="00722AB0" w:rsidR="00D94015" w:rsidP="00D94015" w:rsidRDefault="00D94015" w14:paraId="23A5D030" w14:textId="77777777">
      <w:pPr>
        <w:spacing w:after="0" w:line="360" w:lineRule="auto"/>
        <w:jc w:val="both"/>
        <w:rPr>
          <w:rFonts w:ascii="Verdana" w:hAnsi="Verdana"/>
          <w:sz w:val="24"/>
          <w:szCs w:val="24"/>
        </w:rPr>
      </w:pPr>
      <w:r w:rsidRPr="00722AB0">
        <w:rPr>
          <w:rFonts w:ascii="Verdana" w:hAnsi="Verdana"/>
          <w:sz w:val="24"/>
          <w:szCs w:val="24"/>
        </w:rPr>
        <w:t>Tabla No. 61. Resumen de Espacios Gestionados 2022-2026 </w:t>
      </w:r>
    </w:p>
    <w:p w:rsidRPr="00722AB0" w:rsidR="00D94015" w:rsidP="00D94015" w:rsidRDefault="00D94015" w14:paraId="2B308BFE" w14:textId="77777777">
      <w:pPr>
        <w:spacing w:after="0" w:line="360" w:lineRule="auto"/>
        <w:jc w:val="both"/>
        <w:rPr>
          <w:rFonts w:ascii="Verdana" w:hAnsi="Verdana"/>
          <w:sz w:val="24"/>
          <w:szCs w:val="24"/>
        </w:rPr>
      </w:pPr>
      <w:r w:rsidRPr="00722AB0">
        <w:rPr>
          <w:rFonts w:ascii="Verdana" w:hAnsi="Verdana"/>
          <w:sz w:val="24"/>
          <w:szCs w:val="24"/>
        </w:rPr>
        <w:t>Tabla No. 62 . Conflictos Atendidos en Energía </w:t>
      </w:r>
    </w:p>
    <w:p w:rsidRPr="00722AB0" w:rsidR="00D94015" w:rsidP="00D94015" w:rsidRDefault="00D94015" w14:paraId="00775EDA" w14:textId="77777777">
      <w:pPr>
        <w:spacing w:after="0" w:line="360" w:lineRule="auto"/>
        <w:jc w:val="both"/>
        <w:rPr>
          <w:rFonts w:ascii="Verdana" w:hAnsi="Verdana"/>
          <w:sz w:val="24"/>
          <w:szCs w:val="24"/>
        </w:rPr>
      </w:pPr>
      <w:r w:rsidRPr="00722AB0">
        <w:rPr>
          <w:rFonts w:ascii="Verdana" w:hAnsi="Verdana"/>
          <w:sz w:val="24"/>
          <w:szCs w:val="24"/>
        </w:rPr>
        <w:t> Tabla No. 63. Procesos de Diálogo en el Sector Energía. </w:t>
      </w:r>
    </w:p>
    <w:p w:rsidRPr="00722AB0" w:rsidR="00D94015" w:rsidP="00D94015" w:rsidRDefault="00D94015" w14:paraId="7E7E80EC" w14:textId="77777777">
      <w:pPr>
        <w:spacing w:after="0" w:line="360" w:lineRule="auto"/>
        <w:jc w:val="both"/>
        <w:rPr>
          <w:rFonts w:ascii="Verdana" w:hAnsi="Verdana"/>
          <w:sz w:val="24"/>
          <w:szCs w:val="24"/>
        </w:rPr>
      </w:pPr>
      <w:r w:rsidRPr="00722AB0">
        <w:rPr>
          <w:rFonts w:ascii="Verdana" w:hAnsi="Verdana"/>
          <w:sz w:val="24"/>
          <w:szCs w:val="24"/>
        </w:rPr>
        <w:t>Tabla No. 64. Conflictos Atendidos en Minería. </w:t>
      </w:r>
    </w:p>
    <w:p w:rsidRPr="00722AB0" w:rsidR="00D94015" w:rsidP="00D94015" w:rsidRDefault="00D94015" w14:paraId="5624D29F" w14:textId="77777777">
      <w:pPr>
        <w:spacing w:after="0" w:line="360" w:lineRule="auto"/>
        <w:jc w:val="both"/>
        <w:rPr>
          <w:rFonts w:ascii="Verdana" w:hAnsi="Verdana"/>
          <w:sz w:val="24"/>
          <w:szCs w:val="24"/>
        </w:rPr>
      </w:pPr>
      <w:r w:rsidRPr="00722AB0">
        <w:rPr>
          <w:rFonts w:ascii="Verdana" w:hAnsi="Verdana"/>
          <w:sz w:val="24"/>
          <w:szCs w:val="24"/>
        </w:rPr>
        <w:t>Tabla No. 65. Procesos de Diálogo en el Sector Minería</w:t>
      </w:r>
    </w:p>
    <w:p w:rsidRPr="00722AB0" w:rsidR="00D94015" w:rsidP="00D94015" w:rsidRDefault="00D94015" w14:paraId="5DB110ED" w14:textId="77777777">
      <w:pPr>
        <w:spacing w:after="0" w:line="360" w:lineRule="auto"/>
        <w:jc w:val="both"/>
        <w:rPr>
          <w:rFonts w:ascii="Verdana" w:hAnsi="Verdana"/>
          <w:sz w:val="24"/>
          <w:szCs w:val="24"/>
        </w:rPr>
      </w:pPr>
      <w:r w:rsidRPr="00722AB0">
        <w:rPr>
          <w:rFonts w:ascii="Verdana" w:hAnsi="Verdana"/>
          <w:sz w:val="24"/>
          <w:szCs w:val="24"/>
        </w:rPr>
        <w:t>Tabla No. 66 . Conflictos Atendidos en el sector de Hidrocarburos.</w:t>
      </w:r>
    </w:p>
    <w:p w:rsidRPr="00722AB0" w:rsidR="00D94015" w:rsidP="00D94015" w:rsidRDefault="00D94015" w14:paraId="6CE334E7" w14:textId="77777777">
      <w:pPr>
        <w:spacing w:after="0" w:line="360" w:lineRule="auto"/>
        <w:jc w:val="both"/>
        <w:rPr>
          <w:rFonts w:ascii="Verdana" w:hAnsi="Verdana"/>
          <w:sz w:val="24"/>
          <w:szCs w:val="24"/>
        </w:rPr>
      </w:pPr>
      <w:r w:rsidRPr="00722AB0">
        <w:rPr>
          <w:rFonts w:ascii="Verdana" w:hAnsi="Verdana"/>
          <w:sz w:val="24"/>
          <w:szCs w:val="24"/>
        </w:rPr>
        <w:t>Tabla No. 67. Consolidado de Espacios por Subsectores. </w:t>
      </w:r>
    </w:p>
    <w:p w:rsidRPr="00722AB0" w:rsidR="00D94015" w:rsidP="00D94015" w:rsidRDefault="00D94015" w14:paraId="637175D5" w14:textId="77777777">
      <w:pPr>
        <w:spacing w:after="0" w:line="360" w:lineRule="auto"/>
        <w:jc w:val="both"/>
        <w:rPr>
          <w:rFonts w:ascii="Verdana" w:hAnsi="Verdana"/>
          <w:sz w:val="24"/>
          <w:szCs w:val="24"/>
        </w:rPr>
      </w:pPr>
      <w:r w:rsidRPr="00722AB0">
        <w:rPr>
          <w:rFonts w:ascii="Verdana" w:hAnsi="Verdana"/>
          <w:sz w:val="24"/>
          <w:szCs w:val="24"/>
        </w:rPr>
        <w:t>Tabla No. 68. Gestiones en Cambio Climático</w:t>
      </w:r>
    </w:p>
    <w:p w:rsidRPr="00722AB0" w:rsidR="00D94015" w:rsidP="00D94015" w:rsidRDefault="00D94015" w14:paraId="12C24639" w14:textId="77777777">
      <w:pPr>
        <w:spacing w:after="0" w:line="360" w:lineRule="auto"/>
        <w:jc w:val="both"/>
        <w:rPr>
          <w:rFonts w:ascii="Verdana" w:hAnsi="Verdana"/>
          <w:sz w:val="24"/>
          <w:szCs w:val="24"/>
        </w:rPr>
      </w:pPr>
      <w:r w:rsidRPr="00722AB0">
        <w:rPr>
          <w:rFonts w:ascii="Verdana" w:hAnsi="Verdana"/>
          <w:sz w:val="24"/>
          <w:szCs w:val="24"/>
        </w:rPr>
        <w:t>Tabla No. 69. Gestiones en Gobernanza Ambiental </w:t>
      </w:r>
    </w:p>
    <w:p w:rsidRPr="00722AB0" w:rsidR="00D94015" w:rsidP="00D94015" w:rsidRDefault="00D94015" w14:paraId="420CA404" w14:textId="77777777">
      <w:pPr>
        <w:spacing w:after="0" w:line="360" w:lineRule="auto"/>
        <w:jc w:val="both"/>
        <w:rPr>
          <w:rFonts w:ascii="Verdana" w:hAnsi="Verdana"/>
          <w:sz w:val="24"/>
          <w:szCs w:val="24"/>
        </w:rPr>
      </w:pPr>
      <w:r w:rsidRPr="00722AB0">
        <w:rPr>
          <w:rFonts w:ascii="Verdana" w:hAnsi="Verdana"/>
          <w:sz w:val="24"/>
          <w:szCs w:val="24"/>
        </w:rPr>
        <w:t>Tabla No. 70. Gestión de Riesgos </w:t>
      </w:r>
    </w:p>
    <w:p w:rsidRPr="00722AB0" w:rsidR="00D94015" w:rsidP="00D94015" w:rsidRDefault="00D94015" w14:paraId="79FD06D7" w14:textId="77777777">
      <w:pPr>
        <w:spacing w:after="0" w:line="360" w:lineRule="auto"/>
        <w:jc w:val="both"/>
        <w:rPr>
          <w:rFonts w:ascii="Verdana" w:hAnsi="Verdana"/>
          <w:sz w:val="24"/>
          <w:szCs w:val="24"/>
        </w:rPr>
      </w:pPr>
      <w:r w:rsidRPr="00722AB0">
        <w:rPr>
          <w:rFonts w:ascii="Verdana" w:hAnsi="Verdana"/>
          <w:sz w:val="24"/>
          <w:szCs w:val="24"/>
        </w:rPr>
        <w:t>Tabla No. 71. Cuadro resumen proyectos e iniciativas de cooperación </w:t>
      </w:r>
    </w:p>
    <w:p w:rsidRPr="00722AB0" w:rsidR="00D94015" w:rsidP="00D94015" w:rsidRDefault="00D94015" w14:paraId="7AFC5AB1" w14:textId="77777777">
      <w:pPr>
        <w:spacing w:after="0" w:line="360" w:lineRule="auto"/>
        <w:jc w:val="both"/>
        <w:rPr>
          <w:rFonts w:ascii="Verdana" w:hAnsi="Verdana"/>
          <w:sz w:val="24"/>
          <w:szCs w:val="24"/>
        </w:rPr>
      </w:pPr>
      <w:r w:rsidRPr="00722AB0">
        <w:rPr>
          <w:rFonts w:ascii="Verdana" w:hAnsi="Verdana"/>
          <w:sz w:val="24"/>
          <w:szCs w:val="24"/>
        </w:rPr>
        <w:t>Tabla 72. Evolución Institucional de los Ejes de la Política Gesco + I </w:t>
      </w:r>
    </w:p>
    <w:p w:rsidRPr="00722AB0" w:rsidR="00D94015" w:rsidP="00D94015" w:rsidRDefault="00D94015" w14:paraId="3E302A6B" w14:textId="77777777">
      <w:pPr>
        <w:spacing w:after="0" w:line="360" w:lineRule="auto"/>
        <w:jc w:val="both"/>
        <w:rPr>
          <w:rFonts w:ascii="Verdana" w:hAnsi="Verdana"/>
          <w:b/>
          <w:bCs/>
          <w:sz w:val="24"/>
          <w:szCs w:val="24"/>
        </w:rPr>
      </w:pPr>
      <w:r w:rsidRPr="00722AB0">
        <w:rPr>
          <w:rFonts w:ascii="Verdana" w:hAnsi="Verdana"/>
          <w:sz w:val="24"/>
          <w:szCs w:val="24"/>
        </w:rPr>
        <w:t>Tabla No.73. Implementación del Sistema de Gestión Ambiental</w:t>
      </w:r>
    </w:p>
    <w:p w:rsidRPr="00722AB0" w:rsidR="00D94015" w:rsidP="00D94015" w:rsidRDefault="00D94015" w14:paraId="74F44395" w14:textId="77777777">
      <w:pPr>
        <w:spacing w:after="0" w:line="360" w:lineRule="auto"/>
        <w:jc w:val="both"/>
        <w:rPr>
          <w:rFonts w:ascii="Verdana" w:hAnsi="Verdana"/>
          <w:b/>
          <w:bCs/>
          <w:sz w:val="24"/>
          <w:szCs w:val="24"/>
        </w:rPr>
      </w:pPr>
      <w:r w:rsidRPr="00722AB0">
        <w:rPr>
          <w:rFonts w:ascii="Verdana" w:hAnsi="Verdana"/>
          <w:sz w:val="24"/>
          <w:szCs w:val="24"/>
        </w:rPr>
        <w:t>Tabla No. 74. Ahorros económicos empleo del sistema solar fotovoltaico</w:t>
      </w:r>
    </w:p>
    <w:p w:rsidRPr="00722AB0" w:rsidR="00D94015" w:rsidP="00D94015" w:rsidRDefault="00D94015" w14:paraId="59D1A1E4" w14:textId="77777777">
      <w:pPr>
        <w:spacing w:after="0" w:line="360" w:lineRule="auto"/>
        <w:jc w:val="both"/>
        <w:rPr>
          <w:rFonts w:ascii="Verdana" w:hAnsi="Verdana"/>
          <w:sz w:val="24"/>
          <w:szCs w:val="24"/>
        </w:rPr>
      </w:pPr>
      <w:r w:rsidRPr="00722AB0">
        <w:rPr>
          <w:rFonts w:ascii="Verdana" w:hAnsi="Verdana"/>
          <w:sz w:val="24"/>
          <w:szCs w:val="24"/>
        </w:rPr>
        <w:t>Tabla No. 75. Ahorros económicos empleo del sistema solar fotovoltaico</w:t>
      </w:r>
    </w:p>
    <w:p w:rsidRPr="00722AB0" w:rsidR="00D94015" w:rsidP="00D94015" w:rsidRDefault="00D94015" w14:paraId="5A3C7DEB" w14:textId="77777777">
      <w:pPr>
        <w:spacing w:after="0" w:line="360" w:lineRule="auto"/>
        <w:jc w:val="both"/>
        <w:rPr>
          <w:rFonts w:ascii="Verdana" w:hAnsi="Verdana"/>
          <w:sz w:val="24"/>
          <w:szCs w:val="24"/>
        </w:rPr>
      </w:pPr>
      <w:r w:rsidRPr="00722AB0">
        <w:rPr>
          <w:rFonts w:ascii="Verdana" w:hAnsi="Verdana"/>
          <w:sz w:val="24"/>
          <w:szCs w:val="24"/>
        </w:rPr>
        <w:t>Tabla No. 76. Logros Estratégicos del Cuatrienio   </w:t>
      </w:r>
    </w:p>
    <w:p w:rsidRPr="00722AB0" w:rsidR="00D94015" w:rsidP="00D94015" w:rsidRDefault="00D94015" w14:paraId="5DB79542" w14:textId="77777777">
      <w:pPr>
        <w:spacing w:after="0" w:line="360" w:lineRule="auto"/>
        <w:jc w:val="both"/>
        <w:rPr>
          <w:rFonts w:ascii="Verdana" w:hAnsi="Verdana"/>
          <w:sz w:val="24"/>
          <w:szCs w:val="24"/>
        </w:rPr>
      </w:pPr>
      <w:r w:rsidRPr="00722AB0">
        <w:rPr>
          <w:rFonts w:ascii="Verdana" w:hAnsi="Verdana"/>
          <w:sz w:val="24"/>
          <w:szCs w:val="24"/>
        </w:rPr>
        <w:t>Tabla No. 77. Evolución de indicadores externos </w:t>
      </w:r>
    </w:p>
    <w:p w:rsidRPr="00722AB0" w:rsidR="00D94015" w:rsidP="00D94015" w:rsidRDefault="00D94015" w14:paraId="66E5EC9A" w14:textId="77777777">
      <w:pPr>
        <w:spacing w:after="0" w:line="360" w:lineRule="auto"/>
        <w:jc w:val="both"/>
        <w:rPr>
          <w:rFonts w:ascii="Verdana" w:hAnsi="Verdana"/>
          <w:sz w:val="24"/>
          <w:szCs w:val="24"/>
        </w:rPr>
      </w:pPr>
      <w:r w:rsidRPr="00722AB0">
        <w:rPr>
          <w:rFonts w:ascii="Verdana" w:hAnsi="Verdana"/>
          <w:sz w:val="24"/>
          <w:szCs w:val="24"/>
        </w:rPr>
        <w:t>Tabla No. 78. Evolución de indicadores internos</w:t>
      </w:r>
    </w:p>
    <w:p w:rsidRPr="00722AB0" w:rsidR="00D94015" w:rsidP="00D94015" w:rsidRDefault="00D94015" w14:paraId="1DB2B1CE" w14:textId="77777777">
      <w:pPr>
        <w:spacing w:after="0" w:line="360" w:lineRule="auto"/>
        <w:jc w:val="both"/>
        <w:rPr>
          <w:rFonts w:ascii="Verdana" w:hAnsi="Verdana"/>
          <w:sz w:val="24"/>
          <w:szCs w:val="24"/>
        </w:rPr>
      </w:pPr>
      <w:r w:rsidRPr="00722AB0">
        <w:rPr>
          <w:rFonts w:ascii="Verdana" w:hAnsi="Verdana"/>
          <w:sz w:val="24"/>
          <w:szCs w:val="24"/>
        </w:rPr>
        <w:t>Tabla No. 79. Auditorias 2022-2026 </w:t>
      </w:r>
    </w:p>
    <w:p w:rsidR="00D94015" w:rsidP="00D94015" w:rsidRDefault="00D94015" w14:paraId="6B5BE7DA" w14:textId="77777777">
      <w:pPr>
        <w:spacing w:after="0" w:line="360" w:lineRule="auto"/>
        <w:jc w:val="both"/>
        <w:rPr>
          <w:rFonts w:ascii="Verdana" w:hAnsi="Verdana"/>
          <w:sz w:val="24"/>
          <w:szCs w:val="24"/>
        </w:rPr>
      </w:pPr>
      <w:r w:rsidRPr="00722AB0">
        <w:rPr>
          <w:rFonts w:ascii="Verdana" w:hAnsi="Verdana"/>
          <w:sz w:val="24"/>
          <w:szCs w:val="24"/>
        </w:rPr>
        <w:t>Tabla No. 80. Estado Plan de Mejora suscrito con la CGR </w:t>
      </w:r>
    </w:p>
    <w:p w:rsidRPr="00722AB0" w:rsidR="00B22CBB" w:rsidP="00B22CBB" w:rsidRDefault="00B22CBB" w14:paraId="36D422B7" w14:textId="1FB1A5CE">
      <w:pPr>
        <w:spacing w:after="0" w:line="360" w:lineRule="auto"/>
        <w:jc w:val="both"/>
        <w:rPr>
          <w:rFonts w:ascii="Verdana" w:hAnsi="Verdana"/>
          <w:sz w:val="24"/>
          <w:szCs w:val="24"/>
        </w:rPr>
      </w:pPr>
      <w:r w:rsidRPr="00B22CBB">
        <w:rPr>
          <w:rFonts w:ascii="Verdana" w:hAnsi="Verdana"/>
          <w:sz w:val="24"/>
          <w:szCs w:val="24"/>
        </w:rPr>
        <w:t>Tabla No. 81. Comparativo de la gestión en el cuatrienio  </w:t>
      </w:r>
    </w:p>
    <w:p w:rsidR="00D94015" w:rsidP="00D94015" w:rsidRDefault="00D94015" w14:paraId="1F133A87" w14:textId="77777777">
      <w:pPr>
        <w:spacing w:after="0" w:line="360" w:lineRule="auto"/>
        <w:jc w:val="both"/>
        <w:rPr>
          <w:rFonts w:ascii="Verdana" w:hAnsi="Verdana"/>
          <w:sz w:val="24"/>
          <w:szCs w:val="24"/>
        </w:rPr>
      </w:pPr>
    </w:p>
    <w:p w:rsidR="00D94015" w:rsidP="00D94015" w:rsidRDefault="00D94015" w14:paraId="38303629" w14:textId="77777777">
      <w:pPr>
        <w:spacing w:after="0" w:line="360" w:lineRule="auto"/>
        <w:jc w:val="both"/>
        <w:rPr>
          <w:rFonts w:ascii="Verdana" w:hAnsi="Verdana"/>
          <w:sz w:val="24"/>
          <w:szCs w:val="24"/>
        </w:rPr>
      </w:pPr>
    </w:p>
    <w:p w:rsidR="00D94015" w:rsidP="00D94015" w:rsidRDefault="00D94015" w14:paraId="4178F59C" w14:textId="77777777">
      <w:pPr>
        <w:spacing w:after="0" w:line="360" w:lineRule="auto"/>
        <w:jc w:val="both"/>
        <w:rPr>
          <w:rFonts w:ascii="Verdana" w:hAnsi="Verdana"/>
          <w:sz w:val="24"/>
          <w:szCs w:val="24"/>
        </w:rPr>
      </w:pPr>
    </w:p>
    <w:p w:rsidR="00D94015" w:rsidP="00D94015" w:rsidRDefault="00D94015" w14:paraId="55C4F906" w14:textId="77777777">
      <w:pPr>
        <w:spacing w:after="0" w:line="360" w:lineRule="auto"/>
        <w:jc w:val="both"/>
        <w:rPr>
          <w:rFonts w:ascii="Verdana" w:hAnsi="Verdana"/>
          <w:sz w:val="24"/>
          <w:szCs w:val="24"/>
        </w:rPr>
      </w:pPr>
    </w:p>
    <w:p w:rsidR="00D94015" w:rsidP="00D94015" w:rsidRDefault="00D94015" w14:paraId="036D997A" w14:textId="77777777">
      <w:pPr>
        <w:spacing w:after="0" w:line="360" w:lineRule="auto"/>
        <w:jc w:val="both"/>
        <w:rPr>
          <w:rFonts w:ascii="Verdana" w:hAnsi="Verdana"/>
          <w:sz w:val="24"/>
          <w:szCs w:val="24"/>
        </w:rPr>
      </w:pPr>
    </w:p>
    <w:p w:rsidR="00D94015" w:rsidP="00D94015" w:rsidRDefault="00D94015" w14:paraId="4F7A4D3F" w14:textId="77777777">
      <w:pPr>
        <w:spacing w:after="0" w:line="360" w:lineRule="auto"/>
        <w:jc w:val="both"/>
        <w:rPr>
          <w:rFonts w:ascii="Verdana" w:hAnsi="Verdana"/>
          <w:sz w:val="24"/>
          <w:szCs w:val="24"/>
        </w:rPr>
      </w:pPr>
    </w:p>
    <w:p w:rsidR="00D94015" w:rsidP="00D94015" w:rsidRDefault="00D94015" w14:paraId="64CE2758" w14:textId="77777777">
      <w:pPr>
        <w:spacing w:after="0" w:line="360" w:lineRule="auto"/>
        <w:jc w:val="both"/>
        <w:rPr>
          <w:rFonts w:ascii="Verdana" w:hAnsi="Verdana"/>
          <w:sz w:val="24"/>
          <w:szCs w:val="24"/>
        </w:rPr>
      </w:pPr>
    </w:p>
    <w:p w:rsidR="00D94015" w:rsidP="00D94015" w:rsidRDefault="00D94015" w14:paraId="4608938E" w14:textId="77777777">
      <w:pPr>
        <w:spacing w:after="0" w:line="360" w:lineRule="auto"/>
        <w:jc w:val="both"/>
        <w:rPr>
          <w:rFonts w:ascii="Verdana" w:hAnsi="Verdana"/>
          <w:sz w:val="24"/>
          <w:szCs w:val="24"/>
        </w:rPr>
      </w:pPr>
    </w:p>
    <w:p w:rsidR="00D94015" w:rsidP="00D94015" w:rsidRDefault="00D94015" w14:paraId="0794394A" w14:textId="77777777">
      <w:pPr>
        <w:spacing w:after="0" w:line="360" w:lineRule="auto"/>
        <w:jc w:val="both"/>
        <w:rPr>
          <w:rFonts w:ascii="Verdana" w:hAnsi="Verdana"/>
          <w:sz w:val="24"/>
          <w:szCs w:val="24"/>
        </w:rPr>
      </w:pPr>
    </w:p>
    <w:p w:rsidR="00D94015" w:rsidP="00D94015" w:rsidRDefault="00D94015" w14:paraId="619E5033" w14:textId="77777777">
      <w:pPr>
        <w:spacing w:after="0" w:line="360" w:lineRule="auto"/>
        <w:jc w:val="both"/>
        <w:rPr>
          <w:rFonts w:ascii="Verdana" w:hAnsi="Verdana"/>
          <w:sz w:val="24"/>
          <w:szCs w:val="24"/>
        </w:rPr>
      </w:pPr>
    </w:p>
    <w:p w:rsidR="00D94015" w:rsidP="00D94015" w:rsidRDefault="00D94015" w14:paraId="32C5BC03" w14:textId="77777777">
      <w:pPr>
        <w:spacing w:after="0" w:line="360" w:lineRule="auto"/>
        <w:jc w:val="both"/>
        <w:rPr>
          <w:rFonts w:ascii="Verdana" w:hAnsi="Verdana"/>
          <w:sz w:val="24"/>
          <w:szCs w:val="24"/>
        </w:rPr>
      </w:pPr>
    </w:p>
    <w:p w:rsidR="00D94015" w:rsidP="00D94015" w:rsidRDefault="00D94015" w14:paraId="0262D647" w14:textId="77777777">
      <w:pPr>
        <w:spacing w:after="0" w:line="360" w:lineRule="auto"/>
        <w:jc w:val="both"/>
        <w:rPr>
          <w:rFonts w:ascii="Verdana" w:hAnsi="Verdana"/>
          <w:sz w:val="24"/>
          <w:szCs w:val="24"/>
        </w:rPr>
      </w:pPr>
    </w:p>
    <w:p w:rsidR="00D94015" w:rsidP="00D94015" w:rsidRDefault="00D94015" w14:paraId="6D1372B8" w14:textId="77777777">
      <w:pPr>
        <w:spacing w:after="0" w:line="360" w:lineRule="auto"/>
        <w:jc w:val="both"/>
        <w:rPr>
          <w:rFonts w:ascii="Verdana" w:hAnsi="Verdana"/>
          <w:sz w:val="24"/>
          <w:szCs w:val="24"/>
        </w:rPr>
      </w:pPr>
    </w:p>
    <w:p w:rsidR="00D94015" w:rsidP="00D94015" w:rsidRDefault="00D94015" w14:paraId="08FBCA7E" w14:textId="77777777">
      <w:pPr>
        <w:spacing w:after="0" w:line="360" w:lineRule="auto"/>
        <w:jc w:val="both"/>
        <w:rPr>
          <w:rFonts w:ascii="Verdana" w:hAnsi="Verdana"/>
          <w:sz w:val="24"/>
          <w:szCs w:val="24"/>
        </w:rPr>
      </w:pPr>
    </w:p>
    <w:p w:rsidR="00D94015" w:rsidP="00D94015" w:rsidRDefault="00D94015" w14:paraId="4BA6D943" w14:textId="77777777">
      <w:pPr>
        <w:spacing w:after="0" w:line="360" w:lineRule="auto"/>
        <w:jc w:val="both"/>
        <w:rPr>
          <w:rFonts w:ascii="Verdana" w:hAnsi="Verdana"/>
          <w:sz w:val="24"/>
          <w:szCs w:val="24"/>
        </w:rPr>
      </w:pPr>
    </w:p>
    <w:p w:rsidR="00D94015" w:rsidP="00D94015" w:rsidRDefault="00D94015" w14:paraId="51CB5E65" w14:textId="77777777">
      <w:pPr>
        <w:spacing w:after="0" w:line="360" w:lineRule="auto"/>
        <w:jc w:val="both"/>
        <w:rPr>
          <w:rFonts w:ascii="Verdana" w:hAnsi="Verdana"/>
          <w:sz w:val="24"/>
          <w:szCs w:val="24"/>
        </w:rPr>
      </w:pPr>
    </w:p>
    <w:p w:rsidR="00D94015" w:rsidP="00D94015" w:rsidRDefault="00D94015" w14:paraId="1981BBB2" w14:textId="77777777">
      <w:pPr>
        <w:spacing w:after="0" w:line="360" w:lineRule="auto"/>
        <w:jc w:val="both"/>
        <w:rPr>
          <w:rFonts w:ascii="Verdana" w:hAnsi="Verdana"/>
          <w:sz w:val="24"/>
          <w:szCs w:val="24"/>
        </w:rPr>
      </w:pPr>
    </w:p>
    <w:p w:rsidR="00D94015" w:rsidP="00D94015" w:rsidRDefault="00D94015" w14:paraId="2445D859" w14:textId="77777777">
      <w:pPr>
        <w:spacing w:after="0" w:line="360" w:lineRule="auto"/>
        <w:jc w:val="both"/>
        <w:rPr>
          <w:rFonts w:ascii="Verdana" w:hAnsi="Verdana"/>
          <w:sz w:val="24"/>
          <w:szCs w:val="24"/>
        </w:rPr>
      </w:pPr>
    </w:p>
    <w:p w:rsidR="00D94015" w:rsidP="00D94015" w:rsidRDefault="00D94015" w14:paraId="08B240EC" w14:textId="77777777">
      <w:pPr>
        <w:spacing w:after="0" w:line="360" w:lineRule="auto"/>
        <w:jc w:val="both"/>
        <w:rPr>
          <w:rFonts w:ascii="Verdana" w:hAnsi="Verdana"/>
          <w:sz w:val="24"/>
          <w:szCs w:val="24"/>
        </w:rPr>
      </w:pPr>
    </w:p>
    <w:p w:rsidR="00D94015" w:rsidP="00D94015" w:rsidRDefault="00D94015" w14:paraId="4956EC88" w14:textId="77777777">
      <w:pPr>
        <w:spacing w:after="0" w:line="360" w:lineRule="auto"/>
        <w:jc w:val="both"/>
        <w:rPr>
          <w:rFonts w:ascii="Verdana" w:hAnsi="Verdana"/>
          <w:sz w:val="24"/>
          <w:szCs w:val="24"/>
        </w:rPr>
      </w:pPr>
    </w:p>
    <w:p w:rsidR="00D94015" w:rsidP="00D94015" w:rsidRDefault="00D94015" w14:paraId="3D121EC8" w14:textId="77777777">
      <w:pPr>
        <w:spacing w:after="0" w:line="360" w:lineRule="auto"/>
        <w:jc w:val="both"/>
        <w:rPr>
          <w:rFonts w:ascii="Verdana" w:hAnsi="Verdana"/>
          <w:sz w:val="24"/>
          <w:szCs w:val="24"/>
        </w:rPr>
      </w:pPr>
    </w:p>
    <w:p w:rsidR="00F87AFB" w:rsidP="00D94015" w:rsidRDefault="00F87AFB" w14:paraId="46AA9E92" w14:textId="77777777">
      <w:pPr>
        <w:spacing w:after="0" w:line="360" w:lineRule="auto"/>
        <w:jc w:val="both"/>
        <w:rPr>
          <w:rFonts w:ascii="Verdana" w:hAnsi="Verdana"/>
          <w:sz w:val="24"/>
          <w:szCs w:val="24"/>
        </w:rPr>
      </w:pPr>
    </w:p>
    <w:p w:rsidR="00F87AFB" w:rsidP="00D94015" w:rsidRDefault="00F87AFB" w14:paraId="71A29951" w14:textId="77777777">
      <w:pPr>
        <w:spacing w:after="0" w:line="360" w:lineRule="auto"/>
        <w:jc w:val="both"/>
        <w:rPr>
          <w:rFonts w:ascii="Verdana" w:hAnsi="Verdana"/>
          <w:sz w:val="24"/>
          <w:szCs w:val="24"/>
        </w:rPr>
      </w:pPr>
    </w:p>
    <w:p w:rsidR="00D94015" w:rsidP="00D94015" w:rsidRDefault="00D94015" w14:paraId="06E6D818" w14:textId="77777777">
      <w:pPr>
        <w:spacing w:after="0" w:line="360" w:lineRule="auto"/>
        <w:jc w:val="both"/>
        <w:rPr>
          <w:rFonts w:ascii="Verdana" w:hAnsi="Verdana"/>
          <w:sz w:val="24"/>
          <w:szCs w:val="24"/>
        </w:rPr>
      </w:pPr>
    </w:p>
    <w:p w:rsidR="00D94015" w:rsidP="00D94015" w:rsidRDefault="00D94015" w14:paraId="5AC911CD" w14:textId="77777777">
      <w:pPr>
        <w:spacing w:after="0" w:line="360" w:lineRule="auto"/>
        <w:jc w:val="both"/>
        <w:rPr>
          <w:rFonts w:ascii="Verdana" w:hAnsi="Verdana"/>
          <w:sz w:val="24"/>
          <w:szCs w:val="24"/>
        </w:rPr>
      </w:pPr>
    </w:p>
    <w:p w:rsidR="00D94015" w:rsidP="00D94015" w:rsidRDefault="00D94015" w14:paraId="0505BDAC" w14:textId="77777777">
      <w:pPr>
        <w:spacing w:line="360" w:lineRule="auto"/>
        <w:jc w:val="center"/>
      </w:pPr>
      <w:r w:rsidRPr="0FF05B1B">
        <w:rPr>
          <w:rFonts w:ascii="Verdana" w:hAnsi="Verdana"/>
          <w:b/>
          <w:bCs/>
          <w:sz w:val="24"/>
          <w:szCs w:val="24"/>
        </w:rPr>
        <w:t>Lista de Figuras</w:t>
      </w:r>
    </w:p>
    <w:p w:rsidR="00D94015" w:rsidP="00D94015" w:rsidRDefault="00D94015" w14:paraId="5D684AAD" w14:textId="77777777">
      <w:pPr>
        <w:spacing w:after="0" w:line="360" w:lineRule="auto"/>
        <w:jc w:val="both"/>
        <w:rPr>
          <w:rFonts w:ascii="Verdana" w:hAnsi="Verdana"/>
          <w:sz w:val="24"/>
          <w:szCs w:val="24"/>
        </w:rPr>
      </w:pPr>
    </w:p>
    <w:p w:rsidRPr="00722AB0" w:rsidR="00D94015" w:rsidP="00D94015" w:rsidRDefault="00D94015" w14:paraId="3FDA82FE" w14:textId="6EBCD5F0">
      <w:pPr>
        <w:spacing w:after="0" w:line="360" w:lineRule="auto"/>
        <w:jc w:val="both"/>
        <w:rPr>
          <w:rFonts w:ascii="Verdana" w:hAnsi="Verdana"/>
          <w:sz w:val="24"/>
          <w:szCs w:val="24"/>
        </w:rPr>
      </w:pPr>
      <w:r w:rsidRPr="00722AB0">
        <w:rPr>
          <w:rFonts w:ascii="Verdana" w:hAnsi="Verdana"/>
          <w:sz w:val="24"/>
          <w:szCs w:val="24"/>
        </w:rPr>
        <w:t>Imagen No. 1. Pivotes del sector </w:t>
      </w:r>
    </w:p>
    <w:p w:rsidRPr="00722AB0" w:rsidR="00D94015" w:rsidP="00D94015" w:rsidRDefault="00D94015" w14:paraId="3CE01A39" w14:textId="77777777">
      <w:pPr>
        <w:spacing w:after="0" w:line="360" w:lineRule="auto"/>
        <w:jc w:val="both"/>
        <w:rPr>
          <w:rFonts w:ascii="Verdana" w:hAnsi="Verdana"/>
          <w:sz w:val="24"/>
          <w:szCs w:val="24"/>
        </w:rPr>
      </w:pPr>
      <w:r w:rsidRPr="00722AB0">
        <w:rPr>
          <w:rFonts w:ascii="Verdana" w:hAnsi="Verdana"/>
          <w:sz w:val="24"/>
          <w:szCs w:val="24"/>
        </w:rPr>
        <w:t>Imagen No. 2. Ejecución del plan de acción institucional por vigencia </w:t>
      </w:r>
    </w:p>
    <w:p w:rsidRPr="00722AB0" w:rsidR="00D94015" w:rsidP="00D94015" w:rsidRDefault="00D94015" w14:paraId="7C5ACF46" w14:textId="77777777">
      <w:pPr>
        <w:spacing w:after="0" w:line="360" w:lineRule="auto"/>
        <w:jc w:val="both"/>
        <w:rPr>
          <w:rFonts w:ascii="Verdana" w:hAnsi="Verdana"/>
          <w:sz w:val="24"/>
          <w:szCs w:val="24"/>
        </w:rPr>
      </w:pPr>
      <w:r w:rsidRPr="00722AB0">
        <w:rPr>
          <w:rFonts w:ascii="Verdana" w:hAnsi="Verdana"/>
          <w:sz w:val="24"/>
          <w:szCs w:val="24"/>
        </w:rPr>
        <w:t>Imagen No. 3. Avance del plan de acción institucional primer trimestre del 2026 </w:t>
      </w:r>
    </w:p>
    <w:p w:rsidRPr="00722AB0" w:rsidR="00D94015" w:rsidP="00D94015" w:rsidRDefault="00D94015" w14:paraId="0F523D7B" w14:textId="77777777">
      <w:pPr>
        <w:spacing w:after="0" w:line="360" w:lineRule="auto"/>
        <w:jc w:val="both"/>
        <w:rPr>
          <w:rFonts w:ascii="Verdana" w:hAnsi="Verdana"/>
          <w:sz w:val="24"/>
          <w:szCs w:val="24"/>
        </w:rPr>
      </w:pPr>
      <w:r w:rsidRPr="00722AB0">
        <w:rPr>
          <w:rFonts w:ascii="Verdana" w:hAnsi="Verdana"/>
          <w:sz w:val="24"/>
          <w:szCs w:val="24"/>
        </w:rPr>
        <w:t>Imagen No. 4. Acuerdos sindicales suscritos </w:t>
      </w:r>
    </w:p>
    <w:p w:rsidRPr="00722AB0" w:rsidR="00D94015" w:rsidP="00D94015" w:rsidRDefault="00D94015" w14:paraId="610D4889" w14:textId="77777777">
      <w:pPr>
        <w:spacing w:after="0" w:line="360" w:lineRule="auto"/>
        <w:jc w:val="both"/>
        <w:rPr>
          <w:rFonts w:ascii="Verdana" w:hAnsi="Verdana"/>
          <w:sz w:val="24"/>
          <w:szCs w:val="24"/>
        </w:rPr>
      </w:pPr>
      <w:r w:rsidRPr="00722AB0">
        <w:rPr>
          <w:rFonts w:ascii="Verdana" w:hAnsi="Verdana"/>
          <w:sz w:val="24"/>
          <w:szCs w:val="24"/>
        </w:rPr>
        <w:t>Imagen No. 5. Número de registros de caracterización 2023-2025</w:t>
      </w:r>
    </w:p>
    <w:p w:rsidRPr="00722AB0" w:rsidR="00D94015" w:rsidP="00D94015" w:rsidRDefault="00D94015" w14:paraId="55A49A17" w14:textId="77777777">
      <w:pPr>
        <w:spacing w:after="0" w:line="360" w:lineRule="auto"/>
        <w:jc w:val="both"/>
        <w:rPr>
          <w:rFonts w:ascii="Verdana" w:hAnsi="Verdana"/>
          <w:sz w:val="24"/>
          <w:szCs w:val="24"/>
        </w:rPr>
      </w:pPr>
      <w:r w:rsidRPr="00722AB0">
        <w:rPr>
          <w:rFonts w:ascii="Verdana" w:hAnsi="Verdana"/>
          <w:sz w:val="24"/>
          <w:szCs w:val="24"/>
        </w:rPr>
        <w:t>Imagen No. 6. Tipo de persona</w:t>
      </w:r>
    </w:p>
    <w:p w:rsidRPr="00722AB0" w:rsidR="00D94015" w:rsidP="00D94015" w:rsidRDefault="00D94015" w14:paraId="26B85AE5" w14:textId="77777777">
      <w:pPr>
        <w:spacing w:after="0" w:line="360" w:lineRule="auto"/>
        <w:jc w:val="both"/>
        <w:rPr>
          <w:rFonts w:ascii="Verdana" w:hAnsi="Verdana"/>
          <w:sz w:val="24"/>
          <w:szCs w:val="24"/>
        </w:rPr>
      </w:pPr>
      <w:r w:rsidRPr="00722AB0">
        <w:rPr>
          <w:rFonts w:ascii="Verdana" w:hAnsi="Verdana"/>
          <w:sz w:val="24"/>
          <w:szCs w:val="24"/>
        </w:rPr>
        <w:t>Imagen No. 7. Departamento de Residencia</w:t>
      </w:r>
    </w:p>
    <w:p w:rsidRPr="00722AB0" w:rsidR="00D94015" w:rsidP="00D94015" w:rsidRDefault="00D94015" w14:paraId="0983C44F" w14:textId="77777777">
      <w:pPr>
        <w:spacing w:after="0" w:line="360" w:lineRule="auto"/>
        <w:jc w:val="both"/>
        <w:rPr>
          <w:rFonts w:ascii="Verdana" w:hAnsi="Verdana"/>
          <w:sz w:val="24"/>
          <w:szCs w:val="24"/>
        </w:rPr>
      </w:pPr>
      <w:r w:rsidRPr="00722AB0">
        <w:rPr>
          <w:rFonts w:ascii="Verdana" w:hAnsi="Verdana"/>
          <w:sz w:val="24"/>
          <w:szCs w:val="24"/>
        </w:rPr>
        <w:t>Imagen No. 8. Evolución de la Participación por Género</w:t>
      </w:r>
    </w:p>
    <w:p w:rsidRPr="00722AB0" w:rsidR="00D94015" w:rsidP="00D94015" w:rsidRDefault="00D94015" w14:paraId="1F0EB842" w14:textId="77777777">
      <w:pPr>
        <w:spacing w:after="0" w:line="360" w:lineRule="auto"/>
        <w:jc w:val="both"/>
        <w:rPr>
          <w:rFonts w:ascii="Verdana" w:hAnsi="Verdana"/>
          <w:i/>
          <w:iCs/>
          <w:sz w:val="24"/>
          <w:szCs w:val="24"/>
        </w:rPr>
      </w:pPr>
      <w:r w:rsidRPr="00722AB0">
        <w:rPr>
          <w:rFonts w:ascii="Verdana" w:hAnsi="Verdana"/>
          <w:sz w:val="24"/>
          <w:szCs w:val="24"/>
        </w:rPr>
        <w:t>Imagen No. 9. Resultados Nivel de satisfacción (%) 2023-2025</w:t>
      </w:r>
      <w:r w:rsidRPr="00722AB0">
        <w:rPr>
          <w:rFonts w:ascii="Verdana" w:hAnsi="Verdana"/>
          <w:i/>
          <w:iCs/>
          <w:sz w:val="24"/>
          <w:szCs w:val="24"/>
        </w:rPr>
        <w:t> </w:t>
      </w:r>
    </w:p>
    <w:p w:rsidRPr="00722AB0" w:rsidR="00D94015" w:rsidP="00D94015" w:rsidRDefault="00D94015" w14:paraId="12BF803D" w14:textId="77777777">
      <w:pPr>
        <w:spacing w:after="0" w:line="360" w:lineRule="auto"/>
        <w:jc w:val="both"/>
        <w:rPr>
          <w:rFonts w:ascii="Verdana" w:hAnsi="Verdana"/>
          <w:sz w:val="24"/>
          <w:szCs w:val="24"/>
        </w:rPr>
      </w:pPr>
      <w:r w:rsidRPr="00722AB0">
        <w:rPr>
          <w:rFonts w:ascii="Verdana" w:hAnsi="Verdana"/>
          <w:sz w:val="24"/>
          <w:szCs w:val="24"/>
        </w:rPr>
        <w:t>Imagen No. 10. Participación del MME en la Reunión Ministerial de la IEA 2026</w:t>
      </w:r>
    </w:p>
    <w:p w:rsidRPr="00722AB0" w:rsidR="00D94015" w:rsidP="00D94015" w:rsidRDefault="00D94015" w14:paraId="57A769D8" w14:textId="77777777">
      <w:pPr>
        <w:spacing w:after="0" w:line="360" w:lineRule="auto"/>
        <w:jc w:val="both"/>
        <w:rPr>
          <w:rFonts w:ascii="Verdana" w:hAnsi="Verdana"/>
          <w:sz w:val="24"/>
          <w:szCs w:val="24"/>
        </w:rPr>
      </w:pPr>
      <w:r w:rsidRPr="00722AB0">
        <w:rPr>
          <w:rFonts w:ascii="Verdana" w:hAnsi="Verdana"/>
          <w:sz w:val="24"/>
          <w:szCs w:val="24"/>
        </w:rPr>
        <w:t>Imagen No. 11. VII Reunión Ministerial de la Energía en el marco de la CELAC </w:t>
      </w:r>
    </w:p>
    <w:p w:rsidRPr="00722AB0" w:rsidR="00D94015" w:rsidP="00D94015" w:rsidRDefault="00D94015" w14:paraId="4C945A76" w14:textId="77777777">
      <w:pPr>
        <w:spacing w:after="0" w:line="360" w:lineRule="auto"/>
        <w:jc w:val="both"/>
        <w:rPr>
          <w:rFonts w:ascii="Verdana" w:hAnsi="Verdana"/>
          <w:sz w:val="24"/>
          <w:szCs w:val="24"/>
        </w:rPr>
      </w:pPr>
      <w:r w:rsidRPr="00722AB0">
        <w:rPr>
          <w:rFonts w:ascii="Verdana" w:hAnsi="Verdana"/>
          <w:sz w:val="24"/>
          <w:szCs w:val="24"/>
        </w:rPr>
        <w:t>Imagen No. 12. Comunidades prácticas</w:t>
      </w:r>
    </w:p>
    <w:p w:rsidRPr="00722AB0" w:rsidR="00D94015" w:rsidP="00D94015" w:rsidRDefault="00D94015" w14:paraId="725F3648" w14:textId="77777777">
      <w:pPr>
        <w:spacing w:after="0" w:line="360" w:lineRule="auto"/>
        <w:jc w:val="both"/>
        <w:rPr>
          <w:rFonts w:ascii="Verdana" w:hAnsi="Verdana"/>
          <w:sz w:val="24"/>
          <w:szCs w:val="24"/>
        </w:rPr>
      </w:pPr>
      <w:r w:rsidRPr="00722AB0">
        <w:rPr>
          <w:rFonts w:ascii="Verdana" w:hAnsi="Verdana"/>
          <w:sz w:val="24"/>
          <w:szCs w:val="24"/>
        </w:rPr>
        <w:t>Imagen No. 13. Formalización Innovación institucional</w:t>
      </w:r>
    </w:p>
    <w:p w:rsidRPr="00722AB0" w:rsidR="00D94015" w:rsidP="00D94015" w:rsidRDefault="00D94015" w14:paraId="49B26B0E" w14:textId="77777777">
      <w:pPr>
        <w:spacing w:after="0" w:line="360" w:lineRule="auto"/>
        <w:jc w:val="both"/>
        <w:rPr>
          <w:rFonts w:ascii="Verdana" w:hAnsi="Verdana"/>
          <w:sz w:val="24"/>
          <w:szCs w:val="24"/>
        </w:rPr>
      </w:pPr>
      <w:r w:rsidRPr="00722AB0">
        <w:rPr>
          <w:rFonts w:ascii="Verdana" w:hAnsi="Verdana"/>
          <w:sz w:val="24"/>
          <w:szCs w:val="24"/>
        </w:rPr>
        <w:t xml:space="preserve">Imagen No. 14. Encuentros colaborativos </w:t>
      </w:r>
    </w:p>
    <w:p w:rsidRPr="00722AB0" w:rsidR="00D94015" w:rsidP="00D94015" w:rsidRDefault="00D94015" w14:paraId="5CC1DE83" w14:textId="77777777">
      <w:pPr>
        <w:spacing w:after="0" w:line="360" w:lineRule="auto"/>
        <w:jc w:val="both"/>
        <w:rPr>
          <w:rFonts w:ascii="Verdana" w:hAnsi="Verdana"/>
          <w:sz w:val="24"/>
          <w:szCs w:val="24"/>
        </w:rPr>
      </w:pPr>
      <w:r w:rsidRPr="00722AB0">
        <w:rPr>
          <w:rFonts w:ascii="Verdana" w:hAnsi="Verdana"/>
          <w:sz w:val="24"/>
          <w:szCs w:val="24"/>
        </w:rPr>
        <w:t>Imagen No. 15. La mina de conocimiento</w:t>
      </w:r>
    </w:p>
    <w:p w:rsidRPr="00722AB0" w:rsidR="00D94015" w:rsidP="00D94015" w:rsidRDefault="00D94015" w14:paraId="14822D0C" w14:textId="77777777">
      <w:pPr>
        <w:spacing w:after="0" w:line="360" w:lineRule="auto"/>
        <w:jc w:val="both"/>
        <w:rPr>
          <w:rFonts w:ascii="Verdana" w:hAnsi="Verdana"/>
          <w:sz w:val="24"/>
          <w:szCs w:val="24"/>
        </w:rPr>
      </w:pPr>
      <w:r w:rsidRPr="00722AB0">
        <w:rPr>
          <w:rFonts w:ascii="Verdana" w:hAnsi="Verdana"/>
          <w:sz w:val="24"/>
          <w:szCs w:val="24"/>
        </w:rPr>
        <w:t>Imagen No. 16. Repositorio digital</w:t>
      </w:r>
    </w:p>
    <w:p w:rsidRPr="00722AB0" w:rsidR="00D94015" w:rsidP="00D94015" w:rsidRDefault="00D94015" w14:paraId="6106D696" w14:textId="77777777">
      <w:pPr>
        <w:spacing w:after="0" w:line="360" w:lineRule="auto"/>
        <w:jc w:val="both"/>
        <w:rPr>
          <w:rFonts w:ascii="Verdana" w:hAnsi="Verdana"/>
          <w:sz w:val="24"/>
          <w:szCs w:val="24"/>
        </w:rPr>
      </w:pPr>
      <w:r w:rsidRPr="00722AB0">
        <w:rPr>
          <w:rFonts w:ascii="Verdana" w:hAnsi="Verdana"/>
          <w:sz w:val="24"/>
          <w:szCs w:val="24"/>
        </w:rPr>
        <w:t>Imagen No. 17.  Plataforma virtual de autoaprendizaje Moodle</w:t>
      </w:r>
    </w:p>
    <w:p w:rsidRPr="00722AB0" w:rsidR="00D94015" w:rsidP="00D94015" w:rsidRDefault="00D94015" w14:paraId="5E631F4B" w14:textId="77777777">
      <w:pPr>
        <w:spacing w:after="0" w:line="360" w:lineRule="auto"/>
        <w:jc w:val="both"/>
        <w:rPr>
          <w:rFonts w:ascii="Verdana" w:hAnsi="Verdana"/>
          <w:sz w:val="24"/>
          <w:szCs w:val="24"/>
        </w:rPr>
      </w:pPr>
      <w:r w:rsidRPr="00722AB0">
        <w:rPr>
          <w:rFonts w:ascii="Verdana" w:hAnsi="Verdana"/>
          <w:sz w:val="24"/>
          <w:szCs w:val="24"/>
        </w:rPr>
        <w:t xml:space="preserve">Imagen No. 18. Caja de herramientas </w:t>
      </w:r>
    </w:p>
    <w:p w:rsidRPr="00722AB0" w:rsidR="00D94015" w:rsidP="00D94015" w:rsidRDefault="00D94015" w14:paraId="1BB4622E" w14:textId="77777777">
      <w:pPr>
        <w:spacing w:after="0" w:line="360" w:lineRule="auto"/>
        <w:jc w:val="both"/>
        <w:rPr>
          <w:rFonts w:ascii="Verdana" w:hAnsi="Verdana"/>
          <w:sz w:val="24"/>
          <w:szCs w:val="24"/>
        </w:rPr>
      </w:pPr>
      <w:r w:rsidRPr="00722AB0">
        <w:rPr>
          <w:rFonts w:ascii="Verdana" w:hAnsi="Verdana"/>
          <w:sz w:val="24"/>
          <w:szCs w:val="24"/>
        </w:rPr>
        <w:t>Imagen No. 19. Intranet</w:t>
      </w:r>
    </w:p>
    <w:p w:rsidRPr="00722AB0" w:rsidR="00D94015" w:rsidP="00D94015" w:rsidRDefault="00D94015" w14:paraId="722741B2" w14:textId="77777777">
      <w:pPr>
        <w:spacing w:after="0" w:line="360" w:lineRule="auto"/>
        <w:jc w:val="both"/>
        <w:rPr>
          <w:rFonts w:ascii="Verdana" w:hAnsi="Verdana"/>
          <w:sz w:val="24"/>
          <w:szCs w:val="24"/>
        </w:rPr>
      </w:pPr>
      <w:r w:rsidRPr="00722AB0">
        <w:rPr>
          <w:rFonts w:ascii="Verdana" w:hAnsi="Verdana"/>
          <w:sz w:val="24"/>
          <w:szCs w:val="24"/>
        </w:rPr>
        <w:t>Imagen No. 20. Primera versión del Manual de Gestión del Conocimiento y la Innovación</w:t>
      </w:r>
    </w:p>
    <w:p w:rsidRPr="00722AB0" w:rsidR="00D94015" w:rsidP="00D94015" w:rsidRDefault="00D94015" w14:paraId="67103256" w14:textId="77777777">
      <w:pPr>
        <w:spacing w:after="0" w:line="360" w:lineRule="auto"/>
        <w:jc w:val="both"/>
        <w:rPr>
          <w:rFonts w:ascii="Verdana" w:hAnsi="Verdana"/>
          <w:sz w:val="24"/>
          <w:szCs w:val="24"/>
        </w:rPr>
      </w:pPr>
      <w:r w:rsidRPr="00722AB0">
        <w:rPr>
          <w:rFonts w:ascii="Verdana" w:hAnsi="Verdana"/>
          <w:sz w:val="24"/>
          <w:szCs w:val="24"/>
        </w:rPr>
        <w:t>Imagen No. 21. Caja de Herramientas, sección de Gestión del Conocimiento e Innovación</w:t>
      </w:r>
    </w:p>
    <w:p w:rsidRPr="00722AB0" w:rsidR="00D94015" w:rsidP="00D94015" w:rsidRDefault="00D94015" w14:paraId="73680400" w14:textId="34146069">
      <w:pPr>
        <w:spacing w:after="0" w:line="360" w:lineRule="auto"/>
        <w:jc w:val="both"/>
        <w:rPr>
          <w:rFonts w:ascii="Verdana" w:hAnsi="Verdana"/>
          <w:sz w:val="24"/>
          <w:szCs w:val="24"/>
        </w:rPr>
      </w:pPr>
      <w:r w:rsidRPr="30CF4445" w:rsidR="24F3BE7C">
        <w:rPr>
          <w:rFonts w:ascii="Verdana" w:hAnsi="Verdana"/>
          <w:sz w:val="24"/>
          <w:szCs w:val="24"/>
        </w:rPr>
        <w:t xml:space="preserve">Imagen No. 22. </w:t>
      </w:r>
      <w:r w:rsidRPr="30CF4445" w:rsidR="6772E41B">
        <w:rPr>
          <w:rFonts w:ascii="Verdana" w:hAnsi="Verdana"/>
          <w:sz w:val="24"/>
          <w:szCs w:val="24"/>
        </w:rPr>
        <w:t>M</w:t>
      </w:r>
      <w:r w:rsidRPr="30CF4445" w:rsidR="24F3BE7C">
        <w:rPr>
          <w:rFonts w:ascii="Verdana" w:hAnsi="Verdana"/>
          <w:sz w:val="24"/>
          <w:szCs w:val="24"/>
        </w:rPr>
        <w:t>etodologías de ideación, experimentación y construcción colectiva</w:t>
      </w:r>
    </w:p>
    <w:p w:rsidRPr="00722AB0" w:rsidR="00D94015" w:rsidP="00D94015" w:rsidRDefault="00D94015" w14:paraId="786E7061" w14:textId="77777777">
      <w:pPr>
        <w:spacing w:after="0" w:line="360" w:lineRule="auto"/>
        <w:jc w:val="both"/>
        <w:rPr>
          <w:rFonts w:ascii="Verdana" w:hAnsi="Verdana"/>
          <w:sz w:val="24"/>
          <w:szCs w:val="24"/>
        </w:rPr>
      </w:pPr>
      <w:r w:rsidRPr="00722AB0">
        <w:rPr>
          <w:rFonts w:ascii="Verdana" w:hAnsi="Verdana"/>
          <w:sz w:val="24"/>
          <w:szCs w:val="24"/>
        </w:rPr>
        <w:t>Imagen No. 23. IluMinna</w:t>
      </w:r>
    </w:p>
    <w:p w:rsidRPr="00722AB0" w:rsidR="00D94015" w:rsidP="00D94015" w:rsidRDefault="00D94015" w14:paraId="3FDA2729" w14:textId="3D83E63D">
      <w:pPr>
        <w:spacing w:after="0" w:line="360" w:lineRule="auto"/>
        <w:jc w:val="both"/>
        <w:rPr>
          <w:rFonts w:ascii="Verdana" w:hAnsi="Verdana"/>
          <w:sz w:val="24"/>
          <w:szCs w:val="24"/>
        </w:rPr>
      </w:pPr>
      <w:r w:rsidRPr="30CF4445" w:rsidR="24F3BE7C">
        <w:rPr>
          <w:rFonts w:ascii="Verdana" w:hAnsi="Verdana"/>
          <w:sz w:val="24"/>
          <w:szCs w:val="24"/>
        </w:rPr>
        <w:t>Imagen No. 24. C</w:t>
      </w:r>
      <w:r w:rsidRPr="30CF4445" w:rsidR="5376FBC5">
        <w:rPr>
          <w:rFonts w:ascii="Verdana" w:hAnsi="Verdana"/>
          <w:sz w:val="24"/>
          <w:szCs w:val="24"/>
        </w:rPr>
        <w:t>á</w:t>
      </w:r>
      <w:r w:rsidRPr="30CF4445" w:rsidR="24F3BE7C">
        <w:rPr>
          <w:rFonts w:ascii="Verdana" w:hAnsi="Verdana"/>
          <w:sz w:val="24"/>
          <w:szCs w:val="24"/>
        </w:rPr>
        <w:t>psulas de Innovación</w:t>
      </w:r>
    </w:p>
    <w:p w:rsidRPr="00722AB0" w:rsidR="00D94015" w:rsidP="00D94015" w:rsidRDefault="00D94015" w14:paraId="2F1D155B" w14:textId="77777777">
      <w:pPr>
        <w:spacing w:after="0" w:line="360" w:lineRule="auto"/>
        <w:jc w:val="both"/>
        <w:rPr>
          <w:rFonts w:ascii="Verdana" w:hAnsi="Verdana"/>
          <w:sz w:val="24"/>
          <w:szCs w:val="24"/>
        </w:rPr>
      </w:pPr>
      <w:r w:rsidRPr="00722AB0">
        <w:rPr>
          <w:rFonts w:ascii="Verdana" w:hAnsi="Verdana"/>
          <w:sz w:val="24"/>
          <w:szCs w:val="24"/>
        </w:rPr>
        <w:t>Imagen No. 25. Pausas Creativas</w:t>
      </w:r>
    </w:p>
    <w:p w:rsidRPr="00722AB0" w:rsidR="00D94015" w:rsidP="00D94015" w:rsidRDefault="00D94015" w14:paraId="6ACD4E6E" w14:textId="77777777">
      <w:pPr>
        <w:spacing w:after="0" w:line="360" w:lineRule="auto"/>
        <w:jc w:val="both"/>
        <w:rPr>
          <w:rFonts w:ascii="Verdana" w:hAnsi="Verdana"/>
          <w:sz w:val="24"/>
          <w:szCs w:val="24"/>
        </w:rPr>
      </w:pPr>
      <w:r w:rsidRPr="00722AB0">
        <w:rPr>
          <w:rFonts w:ascii="Verdana" w:hAnsi="Verdana"/>
          <w:sz w:val="24"/>
          <w:szCs w:val="24"/>
        </w:rPr>
        <w:t>Gráfico No. 1. Cumplimiento cuatrienio 2022 -2025 </w:t>
      </w:r>
    </w:p>
    <w:p w:rsidRPr="00722AB0" w:rsidR="00D94015" w:rsidP="00D94015" w:rsidRDefault="00D94015" w14:paraId="6146B4A4" w14:textId="77777777">
      <w:pPr>
        <w:spacing w:after="0" w:line="360" w:lineRule="auto"/>
        <w:jc w:val="both"/>
        <w:rPr>
          <w:rFonts w:ascii="Verdana" w:hAnsi="Verdana"/>
          <w:sz w:val="24"/>
          <w:szCs w:val="24"/>
        </w:rPr>
      </w:pPr>
      <w:r w:rsidRPr="00722AB0">
        <w:rPr>
          <w:rFonts w:ascii="Verdana" w:hAnsi="Verdana"/>
          <w:sz w:val="24"/>
          <w:szCs w:val="24"/>
        </w:rPr>
        <w:t>Gráfico No. 2. Número de Contratos por Vigencia</w:t>
      </w:r>
    </w:p>
    <w:p w:rsidRPr="00722AB0" w:rsidR="00D94015" w:rsidP="00D94015" w:rsidRDefault="00D94015" w14:paraId="708CD9F5" w14:textId="77777777">
      <w:pPr>
        <w:spacing w:after="0" w:line="360" w:lineRule="auto"/>
        <w:jc w:val="both"/>
        <w:rPr>
          <w:rFonts w:ascii="Verdana" w:hAnsi="Verdana"/>
          <w:sz w:val="24"/>
          <w:szCs w:val="24"/>
        </w:rPr>
      </w:pPr>
      <w:r w:rsidRPr="00722AB0">
        <w:rPr>
          <w:rFonts w:ascii="Verdana" w:hAnsi="Verdana"/>
          <w:sz w:val="24"/>
          <w:szCs w:val="24"/>
        </w:rPr>
        <w:t>Gráfico No. 3. Asignación de líderes MIPG por política </w:t>
      </w:r>
    </w:p>
    <w:p w:rsidRPr="00722AB0" w:rsidR="00D94015" w:rsidP="00D94015" w:rsidRDefault="00D94015" w14:paraId="669278CC" w14:textId="77777777">
      <w:pPr>
        <w:spacing w:after="0" w:line="360" w:lineRule="auto"/>
        <w:jc w:val="both"/>
        <w:rPr>
          <w:rFonts w:ascii="Verdana" w:hAnsi="Verdana"/>
          <w:sz w:val="24"/>
          <w:szCs w:val="24"/>
        </w:rPr>
      </w:pPr>
      <w:r w:rsidRPr="00722AB0">
        <w:rPr>
          <w:rFonts w:ascii="Verdana" w:hAnsi="Verdana"/>
          <w:sz w:val="24"/>
          <w:szCs w:val="24"/>
        </w:rPr>
        <w:t>Gráfica No. 4. Índice de Desempeño Institucional 2022 – 2024 </w:t>
      </w:r>
    </w:p>
    <w:p w:rsidRPr="00722AB0" w:rsidR="00D94015" w:rsidP="00D94015" w:rsidRDefault="00D94015" w14:paraId="1C31206C" w14:textId="77777777">
      <w:pPr>
        <w:spacing w:after="0" w:line="360" w:lineRule="auto"/>
        <w:jc w:val="both"/>
        <w:rPr>
          <w:rFonts w:ascii="Verdana" w:hAnsi="Verdana"/>
          <w:sz w:val="24"/>
          <w:szCs w:val="24"/>
          <w:lang w:val="es-ES"/>
        </w:rPr>
      </w:pPr>
      <w:r w:rsidRPr="00722AB0">
        <w:rPr>
          <w:rFonts w:ascii="Verdana" w:hAnsi="Verdana"/>
          <w:sz w:val="24"/>
          <w:szCs w:val="24"/>
        </w:rPr>
        <w:t>Gráfico No. 5. Propuesta de Mapa de Procesos</w:t>
      </w:r>
      <w:r w:rsidRPr="00722AB0">
        <w:rPr>
          <w:rFonts w:ascii="Verdana" w:hAnsi="Verdana"/>
          <w:sz w:val="24"/>
          <w:szCs w:val="24"/>
          <w:lang w:val="es-ES"/>
        </w:rPr>
        <w:t> </w:t>
      </w:r>
    </w:p>
    <w:p w:rsidRPr="00722AB0" w:rsidR="00D94015" w:rsidP="00D94015" w:rsidRDefault="00D94015" w14:paraId="23B5A1CF" w14:textId="77777777">
      <w:pPr>
        <w:spacing w:after="0" w:line="360" w:lineRule="auto"/>
        <w:jc w:val="both"/>
        <w:rPr>
          <w:rFonts w:ascii="Verdana" w:hAnsi="Verdana"/>
          <w:b/>
          <w:bCs/>
          <w:sz w:val="24"/>
          <w:szCs w:val="24"/>
        </w:rPr>
      </w:pPr>
      <w:r w:rsidRPr="00722AB0">
        <w:rPr>
          <w:rFonts w:ascii="Verdana" w:hAnsi="Verdana"/>
          <w:sz w:val="24"/>
          <w:szCs w:val="24"/>
        </w:rPr>
        <w:t>Gráfico No. 6. Aspectos ambientales</w:t>
      </w:r>
      <w:r w:rsidRPr="00722AB0">
        <w:rPr>
          <w:rFonts w:ascii="Verdana" w:hAnsi="Verdana"/>
          <w:b/>
          <w:bCs/>
          <w:sz w:val="24"/>
          <w:szCs w:val="24"/>
        </w:rPr>
        <w:t> </w:t>
      </w:r>
    </w:p>
    <w:p w:rsidRPr="00722AB0" w:rsidR="00D94015" w:rsidP="00D94015" w:rsidRDefault="00D94015" w14:paraId="0A0D3C1F" w14:textId="77777777">
      <w:pPr>
        <w:spacing w:after="0" w:line="360" w:lineRule="auto"/>
        <w:jc w:val="both"/>
        <w:rPr>
          <w:rFonts w:ascii="Verdana" w:hAnsi="Verdana"/>
          <w:sz w:val="24"/>
          <w:szCs w:val="24"/>
        </w:rPr>
      </w:pPr>
      <w:r w:rsidRPr="00722AB0">
        <w:rPr>
          <w:rFonts w:ascii="Verdana" w:hAnsi="Verdana"/>
          <w:sz w:val="24"/>
          <w:szCs w:val="24"/>
        </w:rPr>
        <w:t>Gráfico No. 7. Programas Ambientales</w:t>
      </w:r>
    </w:p>
    <w:p w:rsidRPr="00722AB0" w:rsidR="00D94015" w:rsidP="00D94015" w:rsidRDefault="00D94015" w14:paraId="38C83466" w14:textId="77777777">
      <w:pPr>
        <w:spacing w:after="0" w:line="360" w:lineRule="auto"/>
        <w:jc w:val="both"/>
        <w:rPr>
          <w:rFonts w:ascii="Verdana" w:hAnsi="Verdana"/>
          <w:b/>
          <w:bCs/>
          <w:sz w:val="24"/>
          <w:szCs w:val="24"/>
        </w:rPr>
      </w:pPr>
      <w:r w:rsidRPr="00722AB0">
        <w:rPr>
          <w:rFonts w:ascii="Verdana" w:hAnsi="Verdana"/>
          <w:sz w:val="24"/>
          <w:szCs w:val="24"/>
        </w:rPr>
        <w:t>Gráfico No. 8. Balance cumplimiento requisitos legales ambientales y otros aplicables</w:t>
      </w:r>
    </w:p>
    <w:p w:rsidRPr="00722AB0" w:rsidR="00D94015" w:rsidP="00D94015" w:rsidRDefault="00D94015" w14:paraId="738EFD4D" w14:textId="77777777">
      <w:pPr>
        <w:spacing w:after="0" w:line="360" w:lineRule="auto"/>
        <w:jc w:val="both"/>
        <w:rPr>
          <w:rFonts w:ascii="Verdana" w:hAnsi="Verdana"/>
          <w:sz w:val="24"/>
          <w:szCs w:val="24"/>
        </w:rPr>
      </w:pPr>
      <w:r w:rsidRPr="00722AB0">
        <w:rPr>
          <w:rFonts w:ascii="Verdana" w:hAnsi="Verdana"/>
          <w:sz w:val="24"/>
          <w:szCs w:val="24"/>
        </w:rPr>
        <w:t>Gráfico No. 9. Nivel de reconocimiento PREAD 2023-2025</w:t>
      </w:r>
    </w:p>
    <w:p w:rsidRPr="00722AB0" w:rsidR="00D94015" w:rsidP="00D94015" w:rsidRDefault="00D94015" w14:paraId="4F98616B" w14:textId="77777777">
      <w:pPr>
        <w:spacing w:after="0" w:line="360" w:lineRule="auto"/>
        <w:jc w:val="both"/>
        <w:rPr>
          <w:rFonts w:ascii="Verdana" w:hAnsi="Verdana"/>
          <w:b/>
          <w:bCs/>
          <w:sz w:val="24"/>
          <w:szCs w:val="24"/>
        </w:rPr>
      </w:pPr>
      <w:r w:rsidRPr="00722AB0">
        <w:rPr>
          <w:rFonts w:ascii="Verdana" w:hAnsi="Verdana"/>
          <w:sz w:val="24"/>
          <w:szCs w:val="24"/>
        </w:rPr>
        <w:t>Gráfico No. 10. Comportamiento del consumo de energía 2022-2026.</w:t>
      </w:r>
    </w:p>
    <w:p w:rsidRPr="00722AB0" w:rsidR="00D94015" w:rsidP="00D94015" w:rsidRDefault="00D94015" w14:paraId="23DE15D2" w14:textId="77777777">
      <w:pPr>
        <w:spacing w:after="0" w:line="360" w:lineRule="auto"/>
        <w:jc w:val="both"/>
        <w:rPr>
          <w:rFonts w:ascii="Verdana" w:hAnsi="Verdana"/>
          <w:sz w:val="24"/>
          <w:szCs w:val="24"/>
        </w:rPr>
      </w:pPr>
      <w:r w:rsidRPr="00722AB0">
        <w:rPr>
          <w:rFonts w:ascii="Verdana" w:hAnsi="Verdana"/>
          <w:sz w:val="24"/>
          <w:szCs w:val="24"/>
        </w:rPr>
        <w:t>Gráfico No. 11. Comportamiento del consumo de agua 2023-2026</w:t>
      </w:r>
    </w:p>
    <w:p w:rsidRPr="00722AB0" w:rsidR="00D94015" w:rsidP="00D94015" w:rsidRDefault="00D94015" w14:paraId="19F7EBDD" w14:textId="77777777">
      <w:pPr>
        <w:spacing w:after="0" w:line="360" w:lineRule="auto"/>
        <w:jc w:val="both"/>
        <w:rPr>
          <w:rFonts w:ascii="Verdana" w:hAnsi="Verdana"/>
          <w:sz w:val="24"/>
          <w:szCs w:val="24"/>
        </w:rPr>
      </w:pPr>
      <w:r w:rsidRPr="00722AB0">
        <w:rPr>
          <w:rFonts w:ascii="Verdana" w:hAnsi="Verdana"/>
          <w:sz w:val="24"/>
          <w:szCs w:val="24"/>
        </w:rPr>
        <w:t>Gráfico No. 12. Cantidades de residuos aprovechables generados 2023- 2025</w:t>
      </w:r>
    </w:p>
    <w:p w:rsidRPr="00722AB0" w:rsidR="00D94015" w:rsidP="00D94015" w:rsidRDefault="00D94015" w14:paraId="57203734" w14:textId="77777777">
      <w:pPr>
        <w:spacing w:after="0" w:line="360" w:lineRule="auto"/>
        <w:jc w:val="both"/>
        <w:rPr>
          <w:rFonts w:ascii="Verdana" w:hAnsi="Verdana"/>
          <w:b/>
          <w:bCs/>
          <w:sz w:val="24"/>
          <w:szCs w:val="24"/>
        </w:rPr>
      </w:pPr>
      <w:r w:rsidRPr="00722AB0">
        <w:rPr>
          <w:rFonts w:ascii="Verdana" w:hAnsi="Verdana"/>
          <w:sz w:val="24"/>
          <w:szCs w:val="24"/>
        </w:rPr>
        <w:t>Gráfico No. 13. Cantidad de resmas consumidas 2024-2025</w:t>
      </w:r>
    </w:p>
    <w:p w:rsidRPr="00722AB0" w:rsidR="00D94015" w:rsidP="00D94015" w:rsidRDefault="00D94015" w14:paraId="09F2AF65" w14:textId="77777777">
      <w:pPr>
        <w:spacing w:after="0" w:line="360" w:lineRule="auto"/>
        <w:jc w:val="both"/>
        <w:rPr>
          <w:rFonts w:ascii="Verdana" w:hAnsi="Verdana"/>
          <w:b/>
          <w:bCs/>
          <w:sz w:val="24"/>
          <w:szCs w:val="24"/>
        </w:rPr>
      </w:pPr>
      <w:r w:rsidRPr="00722AB0">
        <w:rPr>
          <w:rFonts w:ascii="Verdana" w:hAnsi="Verdana"/>
          <w:sz w:val="24"/>
          <w:szCs w:val="24"/>
        </w:rPr>
        <w:t>Gráfico No. 14. Estrategias de Movilidad Sostenible</w:t>
      </w:r>
    </w:p>
    <w:p w:rsidR="00D94015" w:rsidP="00D94015" w:rsidRDefault="00D94015" w14:paraId="3E3F5F94" w14:textId="77777777">
      <w:pPr>
        <w:spacing w:after="0" w:line="360" w:lineRule="auto"/>
        <w:jc w:val="both"/>
        <w:rPr>
          <w:rFonts w:ascii="Verdana" w:hAnsi="Verdana"/>
          <w:sz w:val="24"/>
          <w:szCs w:val="24"/>
        </w:rPr>
      </w:pPr>
      <w:r w:rsidRPr="00722AB0">
        <w:rPr>
          <w:rFonts w:ascii="Verdana" w:hAnsi="Verdana"/>
          <w:sz w:val="24"/>
          <w:szCs w:val="24"/>
        </w:rPr>
        <w:t>Gráfico No. 15. Estrategias de Movilidad Sostenible</w:t>
      </w:r>
    </w:p>
    <w:p w:rsidRPr="00722AB0" w:rsidR="00F87AFB" w:rsidP="00D94015" w:rsidRDefault="00F87AFB" w14:paraId="759A9B39" w14:textId="14725DAB">
      <w:pPr>
        <w:spacing w:after="0" w:line="360" w:lineRule="auto"/>
        <w:jc w:val="both"/>
        <w:rPr>
          <w:rFonts w:ascii="Verdana" w:hAnsi="Verdana"/>
          <w:b w:val="1"/>
          <w:bCs w:val="1"/>
          <w:sz w:val="24"/>
          <w:szCs w:val="24"/>
        </w:rPr>
      </w:pPr>
      <w:r w:rsidRPr="30CF4445" w:rsidR="64B3A999">
        <w:rPr>
          <w:rFonts w:ascii="Verdana" w:hAnsi="Verdana"/>
          <w:sz w:val="24"/>
          <w:szCs w:val="24"/>
        </w:rPr>
        <w:t>Gr</w:t>
      </w:r>
      <w:r w:rsidRPr="30CF4445" w:rsidR="386D7489">
        <w:rPr>
          <w:rFonts w:ascii="Verdana" w:hAnsi="Verdana"/>
          <w:sz w:val="24"/>
          <w:szCs w:val="24"/>
        </w:rPr>
        <w:t>á</w:t>
      </w:r>
      <w:r w:rsidRPr="30CF4445" w:rsidR="64B3A999">
        <w:rPr>
          <w:rFonts w:ascii="Verdana" w:hAnsi="Verdana"/>
          <w:sz w:val="24"/>
          <w:szCs w:val="24"/>
        </w:rPr>
        <w:t>fica No. 16. Tendencia de la actividad procesal OCDI (2022-2026)</w:t>
      </w:r>
      <w:r w:rsidRPr="30CF4445" w:rsidR="64B3A999">
        <w:rPr>
          <w:rFonts w:ascii="Verdana" w:hAnsi="Verdana"/>
          <w:b w:val="1"/>
          <w:bCs w:val="1"/>
          <w:sz w:val="24"/>
          <w:szCs w:val="24"/>
        </w:rPr>
        <w:t> </w:t>
      </w:r>
    </w:p>
    <w:p w:rsidRPr="00722AB0" w:rsidR="00D94015" w:rsidP="00D94015" w:rsidRDefault="00D94015" w14:paraId="204278D9" w14:textId="77777777">
      <w:pPr>
        <w:spacing w:after="0" w:line="360" w:lineRule="auto"/>
        <w:jc w:val="both"/>
        <w:rPr>
          <w:rFonts w:ascii="Verdana" w:hAnsi="Verdana"/>
          <w:b/>
          <w:bCs/>
          <w:sz w:val="24"/>
          <w:szCs w:val="24"/>
        </w:rPr>
      </w:pPr>
    </w:p>
    <w:p w:rsidRPr="00722AB0" w:rsidR="00D94015" w:rsidP="00D94015" w:rsidRDefault="00D94015" w14:paraId="3122ECA2" w14:textId="77777777">
      <w:pPr>
        <w:spacing w:after="0" w:line="360" w:lineRule="auto"/>
        <w:jc w:val="both"/>
        <w:rPr>
          <w:rFonts w:ascii="Verdana" w:hAnsi="Verdana"/>
          <w:b/>
          <w:bCs/>
          <w:sz w:val="24"/>
          <w:szCs w:val="24"/>
        </w:rPr>
      </w:pPr>
    </w:p>
    <w:p w:rsidRPr="00722AB0" w:rsidR="00D94015" w:rsidP="00D94015" w:rsidRDefault="00D94015" w14:paraId="23DCC77D" w14:textId="77777777">
      <w:pPr>
        <w:spacing w:after="0" w:line="360" w:lineRule="auto"/>
        <w:jc w:val="both"/>
        <w:rPr>
          <w:rFonts w:ascii="Verdana" w:hAnsi="Verdana"/>
          <w:sz w:val="24"/>
          <w:szCs w:val="24"/>
          <w:lang w:val="es-ES"/>
        </w:rPr>
      </w:pPr>
    </w:p>
    <w:p w:rsidRPr="00722AB0" w:rsidR="00D94015" w:rsidP="00D94015" w:rsidRDefault="00D94015" w14:paraId="67DDC892" w14:textId="77777777">
      <w:pPr>
        <w:spacing w:after="0" w:line="360" w:lineRule="auto"/>
        <w:jc w:val="both"/>
        <w:rPr>
          <w:rFonts w:ascii="Verdana" w:hAnsi="Verdana"/>
          <w:sz w:val="24"/>
          <w:szCs w:val="24"/>
        </w:rPr>
      </w:pPr>
    </w:p>
    <w:p w:rsidRPr="00C01B6C" w:rsidR="180099B3" w:rsidP="180099B3" w:rsidRDefault="180099B3" w14:paraId="54ECD4D7" w14:textId="77777777">
      <w:pPr>
        <w:spacing w:line="360" w:lineRule="auto"/>
        <w:rPr>
          <w:rFonts w:ascii="Verdana" w:hAnsi="Verdana"/>
          <w:sz w:val="24"/>
          <w:szCs w:val="24"/>
        </w:rPr>
      </w:pPr>
    </w:p>
    <w:p w:rsidR="0FF05B1B" w:rsidP="0FF05B1B" w:rsidRDefault="0FF05B1B" w14:paraId="3CA79075" w14:textId="71D93C43">
      <w:pPr>
        <w:spacing w:line="360" w:lineRule="auto"/>
        <w:rPr>
          <w:rFonts w:ascii="Verdana" w:hAnsi="Verdana"/>
          <w:sz w:val="24"/>
          <w:szCs w:val="24"/>
        </w:rPr>
      </w:pPr>
    </w:p>
    <w:p w:rsidRPr="00C140A0" w:rsidR="00A82055" w:rsidRDefault="00A82055" w14:paraId="04DCC629" w14:textId="77777777">
      <w:pPr>
        <w:pStyle w:val="Prrafodelista"/>
        <w:numPr>
          <w:ilvl w:val="0"/>
          <w:numId w:val="42"/>
        </w:numPr>
        <w:spacing w:after="0" w:line="360" w:lineRule="auto"/>
        <w:outlineLvl w:val="0"/>
        <w:rPr>
          <w:rFonts w:ascii="Verdana" w:hAnsi="Verdana"/>
          <w:b/>
          <w:bCs/>
          <w:sz w:val="24"/>
          <w:szCs w:val="24"/>
        </w:rPr>
      </w:pPr>
      <w:bookmarkStart w:name="_Toc233996717" w:id="0"/>
      <w:r w:rsidRPr="00C140A0">
        <w:rPr>
          <w:rFonts w:ascii="Verdana" w:hAnsi="Verdana"/>
          <w:b/>
          <w:bCs/>
          <w:sz w:val="24"/>
          <w:szCs w:val="24"/>
        </w:rPr>
        <w:t>Introducción</w:t>
      </w:r>
      <w:bookmarkEnd w:id="0"/>
    </w:p>
    <w:p w:rsidR="00C04ED5" w:rsidP="00350C38" w:rsidRDefault="00C04ED5" w14:paraId="24AAB9C9" w14:textId="77777777">
      <w:pPr>
        <w:rPr>
          <w:rFonts w:ascii="Verdana" w:hAnsi="Verdana"/>
          <w:b/>
          <w:bCs/>
          <w:sz w:val="24"/>
          <w:szCs w:val="24"/>
        </w:rPr>
      </w:pPr>
    </w:p>
    <w:p w:rsidRPr="00C64AFF" w:rsidR="00C64AFF" w:rsidP="00D94015" w:rsidRDefault="00C64AFF" w14:paraId="44A611E9" w14:textId="77777777">
      <w:pPr>
        <w:spacing w:after="0" w:line="360" w:lineRule="auto"/>
        <w:jc w:val="both"/>
        <w:rPr>
          <w:rFonts w:ascii="Verdana" w:hAnsi="Verdana"/>
          <w:sz w:val="24"/>
          <w:szCs w:val="24"/>
        </w:rPr>
      </w:pPr>
      <w:r w:rsidRPr="7CAB9697">
        <w:rPr>
          <w:rFonts w:ascii="Verdana" w:hAnsi="Verdana"/>
          <w:sz w:val="24"/>
          <w:szCs w:val="24"/>
        </w:rPr>
        <w:t xml:space="preserve">El presente Informe de Gestión Administrativa del Ministerio de Minas y Energía recoge, de manera organizada, estratégica y documentada, los principales avances, resultados, transformaciones, aprendizajes y retos institucionales correspondientes al período 2022–2026. Su propósito es </w:t>
      </w:r>
      <w:r w:rsidRPr="7CAB9697">
        <w:rPr>
          <w:rFonts w:ascii="Verdana" w:hAnsi="Verdana"/>
          <w:sz w:val="24"/>
          <w:szCs w:val="24"/>
        </w:rPr>
        <w:t>ofrecer una lectura integral de la gestión adelantada por la entidad durante el cuatrienio, a partir de los procesos</w:t>
      </w:r>
      <w:r w:rsidRPr="7CAB9697" w:rsidR="1BEA92CB">
        <w:rPr>
          <w:rFonts w:ascii="Verdana" w:hAnsi="Verdana"/>
          <w:sz w:val="24"/>
          <w:szCs w:val="24"/>
        </w:rPr>
        <w:t xml:space="preserve"> transversales</w:t>
      </w:r>
      <w:r w:rsidRPr="7CAB9697" w:rsidR="2359B151">
        <w:rPr>
          <w:rFonts w:ascii="Verdana" w:hAnsi="Verdana"/>
          <w:sz w:val="24"/>
          <w:szCs w:val="24"/>
        </w:rPr>
        <w:t xml:space="preserve"> y del ciclo de la gestión,</w:t>
      </w:r>
      <w:r w:rsidRPr="7CAB9697" w:rsidR="1BEA92CB">
        <w:rPr>
          <w:rFonts w:ascii="Verdana" w:hAnsi="Verdana"/>
          <w:sz w:val="24"/>
          <w:szCs w:val="24"/>
        </w:rPr>
        <w:t xml:space="preserve"> dentro de los que se resaltan los temas</w:t>
      </w:r>
      <w:r w:rsidRPr="7CAB9697" w:rsidR="0B9057D6">
        <w:rPr>
          <w:rFonts w:ascii="Verdana" w:hAnsi="Verdana"/>
          <w:sz w:val="24"/>
          <w:szCs w:val="24"/>
        </w:rPr>
        <w:t xml:space="preserve"> de planificación,</w:t>
      </w:r>
      <w:r w:rsidRPr="7CAB9697" w:rsidR="1BEA92CB">
        <w:rPr>
          <w:rFonts w:ascii="Verdana" w:hAnsi="Verdana"/>
          <w:sz w:val="24"/>
          <w:szCs w:val="24"/>
        </w:rPr>
        <w:t xml:space="preserve"> </w:t>
      </w:r>
      <w:r w:rsidRPr="7CAB9697">
        <w:rPr>
          <w:rFonts w:ascii="Verdana" w:hAnsi="Verdana"/>
          <w:sz w:val="24"/>
          <w:szCs w:val="24"/>
        </w:rPr>
        <w:t xml:space="preserve">financieros, tecnológicos, documentales, ambientales y de relacionamiento con la ciudadanía </w:t>
      </w:r>
      <w:r w:rsidRPr="7CAB9697" w:rsidR="093CE225">
        <w:rPr>
          <w:rFonts w:ascii="Verdana" w:hAnsi="Verdana"/>
          <w:sz w:val="24"/>
          <w:szCs w:val="24"/>
        </w:rPr>
        <w:t xml:space="preserve">entre otros, </w:t>
      </w:r>
      <w:r w:rsidRPr="7CAB9697">
        <w:rPr>
          <w:rFonts w:ascii="Verdana" w:hAnsi="Verdana"/>
          <w:sz w:val="24"/>
          <w:szCs w:val="24"/>
        </w:rPr>
        <w:t>que han contribuido al cumplimiento de los objetivos y al fortalecimiento de la capacidad institucional</w:t>
      </w:r>
      <w:r w:rsidRPr="7CAB9697" w:rsidR="74B19CBD">
        <w:rPr>
          <w:rFonts w:ascii="Verdana" w:hAnsi="Verdana"/>
          <w:sz w:val="24"/>
          <w:szCs w:val="24"/>
        </w:rPr>
        <w:t>.</w:t>
      </w:r>
    </w:p>
    <w:p w:rsidRPr="00C64AFF" w:rsidR="00C64AFF" w:rsidP="00D94015" w:rsidRDefault="00C64AFF" w14:paraId="3209F2D5" w14:textId="77777777">
      <w:pPr>
        <w:spacing w:after="0" w:line="360" w:lineRule="auto"/>
        <w:jc w:val="both"/>
        <w:rPr>
          <w:rFonts w:ascii="Verdana" w:hAnsi="Verdana"/>
          <w:sz w:val="24"/>
          <w:szCs w:val="24"/>
        </w:rPr>
      </w:pPr>
    </w:p>
    <w:p w:rsidRPr="00C64AFF" w:rsidR="00C64AFF" w:rsidP="00D94015" w:rsidRDefault="00C64AFF" w14:paraId="42B5B164" w14:textId="77777777">
      <w:pPr>
        <w:spacing w:after="0" w:line="360" w:lineRule="auto"/>
        <w:jc w:val="both"/>
        <w:rPr>
          <w:rFonts w:ascii="Verdana" w:hAnsi="Verdana"/>
          <w:sz w:val="24"/>
          <w:szCs w:val="24"/>
        </w:rPr>
      </w:pPr>
      <w:r w:rsidRPr="00C64AFF">
        <w:rPr>
          <w:rFonts w:ascii="Verdana" w:hAnsi="Verdana"/>
          <w:sz w:val="24"/>
          <w:szCs w:val="24"/>
        </w:rPr>
        <w:t>Durante este período, la gestión administrativa del Ministerio se desarrolló en un contexto de alta exigencia pública, marcado por la necesidad de avanzar hacia una transición energética justa, fortalecer la planeación sectorial, mejorar la eficiencia en el uso de los recursos públicos, consolidar capacidades internas, robustecer los mecanismos de transparencia y generar condiciones para una gestión más cercana, abierta y orientada al valor público. En este sentido, el informe no se limita a presentar un balance operativo, sino que busca evidenciar cómo las distintas dependencias aportaron a la consolidación de una entidad más articulada, responsable y preparada para responder a los desafíos del sector minero-energético.</w:t>
      </w:r>
    </w:p>
    <w:p w:rsidRPr="00C64AFF" w:rsidR="00C64AFF" w:rsidP="00D94015" w:rsidRDefault="00C64AFF" w14:paraId="4F632544" w14:textId="77777777">
      <w:pPr>
        <w:spacing w:after="0" w:line="360" w:lineRule="auto"/>
        <w:jc w:val="both"/>
        <w:rPr>
          <w:rFonts w:ascii="Verdana" w:hAnsi="Verdana"/>
          <w:sz w:val="24"/>
          <w:szCs w:val="24"/>
        </w:rPr>
      </w:pPr>
    </w:p>
    <w:p w:rsidRPr="00C64AFF" w:rsidR="00C64AFF" w:rsidP="00D94015" w:rsidRDefault="00C64AFF" w14:paraId="299976AC" w14:textId="77777777">
      <w:pPr>
        <w:spacing w:after="0" w:line="360" w:lineRule="auto"/>
        <w:jc w:val="both"/>
        <w:rPr>
          <w:rFonts w:ascii="Verdana" w:hAnsi="Verdana"/>
          <w:sz w:val="24"/>
          <w:szCs w:val="24"/>
        </w:rPr>
      </w:pPr>
      <w:r w:rsidRPr="00C64AFF">
        <w:rPr>
          <w:rFonts w:ascii="Verdana" w:hAnsi="Verdana"/>
          <w:sz w:val="24"/>
          <w:szCs w:val="24"/>
        </w:rPr>
        <w:t>El documento presenta, en primer lugar, el direccionamiento estratégico que orientó la acción institucional durante el cuatrienio, así como su articulación con los instrumentos de planeación</w:t>
      </w:r>
      <w:r w:rsidRPr="07678CB3">
        <w:rPr>
          <w:rFonts w:ascii="Verdana" w:hAnsi="Verdana"/>
          <w:sz w:val="24"/>
          <w:szCs w:val="24"/>
        </w:rPr>
        <w:t>.</w:t>
      </w:r>
      <w:r w:rsidRPr="00C64AFF">
        <w:rPr>
          <w:rFonts w:ascii="Verdana" w:hAnsi="Verdana"/>
          <w:sz w:val="24"/>
          <w:szCs w:val="24"/>
        </w:rPr>
        <w:t xml:space="preserve"> Posteriormente, expone los principales logros alcanzados por el Ministerio, el aporte a las metas del Plan Nacional de Desarrollo 2022–2026, los resultados sectoriales destacados y los hitos de gestión que generaron valor público para la ciudadanía y los grupos de interés.</w:t>
      </w:r>
    </w:p>
    <w:p w:rsidRPr="00C64AFF" w:rsidR="00C64AFF" w:rsidP="00D94015" w:rsidRDefault="00C64AFF" w14:paraId="7F6A7D92" w14:textId="77777777">
      <w:pPr>
        <w:spacing w:after="0" w:line="360" w:lineRule="auto"/>
        <w:jc w:val="both"/>
        <w:rPr>
          <w:rFonts w:ascii="Verdana" w:hAnsi="Verdana"/>
          <w:sz w:val="24"/>
          <w:szCs w:val="24"/>
        </w:rPr>
      </w:pPr>
    </w:p>
    <w:p w:rsidRPr="00C64AFF" w:rsidR="00C64AFF" w:rsidP="00D94015" w:rsidRDefault="00C64AFF" w14:paraId="3360491E" w14:textId="77777777">
      <w:pPr>
        <w:spacing w:after="0" w:line="360" w:lineRule="auto"/>
        <w:jc w:val="both"/>
        <w:rPr>
          <w:rFonts w:ascii="Verdana" w:hAnsi="Verdana"/>
          <w:sz w:val="24"/>
          <w:szCs w:val="24"/>
        </w:rPr>
      </w:pPr>
      <w:r w:rsidRPr="218515B7">
        <w:rPr>
          <w:rFonts w:ascii="Verdana" w:hAnsi="Verdana"/>
          <w:sz w:val="24"/>
          <w:szCs w:val="24"/>
        </w:rPr>
        <w:t xml:space="preserve">Asimismo, el informe aborda la gestión del talento humano, el bienestar organizacional, la integridad, la administración de los recursos públicos, </w:t>
      </w:r>
      <w:r w:rsidRPr="218515B7">
        <w:rPr>
          <w:rFonts w:ascii="Verdana" w:hAnsi="Verdana"/>
          <w:sz w:val="24"/>
          <w:szCs w:val="24"/>
        </w:rPr>
        <w:t>la ejecución presupuestal y contractual, las prácticas de austeridad, la atención y servicio a la ciudadanía, la promoción de derechos humanos, paz y género, así como los avances en tecnologías de la información, gobierno digital, seguridad digital, gestión del conocimiento, innovación, gestión documental, sostenibilidad ambiental institucional, transparencia y ética pública.</w:t>
      </w:r>
    </w:p>
    <w:p w:rsidRPr="00C64AFF" w:rsidR="00C64AFF" w:rsidP="00D94015" w:rsidRDefault="00C64AFF" w14:paraId="0FE1E023" w14:textId="77777777">
      <w:pPr>
        <w:spacing w:after="0" w:line="360" w:lineRule="auto"/>
        <w:jc w:val="both"/>
        <w:rPr>
          <w:rFonts w:ascii="Verdana" w:hAnsi="Verdana"/>
          <w:sz w:val="24"/>
          <w:szCs w:val="24"/>
        </w:rPr>
      </w:pPr>
    </w:p>
    <w:p w:rsidRPr="00C64AFF" w:rsidR="00C64AFF" w:rsidP="00D94015" w:rsidRDefault="00C64AFF" w14:paraId="67606931" w14:textId="77777777">
      <w:pPr>
        <w:spacing w:after="0" w:line="360" w:lineRule="auto"/>
        <w:jc w:val="both"/>
        <w:rPr>
          <w:rFonts w:ascii="Verdana" w:hAnsi="Verdana"/>
          <w:sz w:val="24"/>
          <w:szCs w:val="24"/>
        </w:rPr>
      </w:pPr>
      <w:r w:rsidRPr="00C64AFF">
        <w:rPr>
          <w:rFonts w:ascii="Verdana" w:hAnsi="Verdana"/>
          <w:sz w:val="24"/>
          <w:szCs w:val="24"/>
        </w:rPr>
        <w:t>De igual manera, este balance incorpora los asuntos estratégicos que requieren continuidad, seguimiento o fortalecimiento en la siguiente etapa institucional, incluyendo recomendaciones, lecciones aprendidas y temas prioritarios que pueden orientar la toma de decisiones futuras. Con ello, el Ministerio busca no solo dejar constancia de lo realizado, sino también facilitar la preservación de la memoria institucional, la transferencia ordenada de información y la continuidad de los procesos que resultan esenciales para el funcionamiento del sector.</w:t>
      </w:r>
    </w:p>
    <w:p w:rsidRPr="00C64AFF" w:rsidR="00C64AFF" w:rsidP="00D94015" w:rsidRDefault="00C64AFF" w14:paraId="78B06BC4" w14:textId="77777777">
      <w:pPr>
        <w:spacing w:after="0" w:line="360" w:lineRule="auto"/>
        <w:jc w:val="both"/>
        <w:rPr>
          <w:rFonts w:ascii="Verdana" w:hAnsi="Verdana"/>
          <w:sz w:val="24"/>
          <w:szCs w:val="24"/>
        </w:rPr>
      </w:pPr>
    </w:p>
    <w:p w:rsidRPr="00C64AFF" w:rsidR="00C64AFF" w:rsidP="00D94015" w:rsidRDefault="1E0982CF" w14:paraId="23233EC8" w14:textId="77777777">
      <w:pPr>
        <w:spacing w:after="0" w:line="360" w:lineRule="auto"/>
        <w:jc w:val="both"/>
        <w:rPr>
          <w:rFonts w:ascii="Verdana" w:hAnsi="Verdana"/>
          <w:sz w:val="24"/>
          <w:szCs w:val="24"/>
        </w:rPr>
      </w:pPr>
      <w:r w:rsidRPr="11835F2D">
        <w:rPr>
          <w:rFonts w:ascii="Verdana" w:hAnsi="Verdana"/>
          <w:sz w:val="24"/>
          <w:szCs w:val="24"/>
        </w:rPr>
        <w:t>En consecuencia, este informe constituye una herramienta de rendición de cuentas</w:t>
      </w:r>
      <w:r w:rsidRPr="59541C5F" w:rsidR="197A8B87">
        <w:rPr>
          <w:rFonts w:ascii="Verdana" w:hAnsi="Verdana"/>
          <w:sz w:val="24"/>
          <w:szCs w:val="24"/>
        </w:rPr>
        <w:t xml:space="preserve"> </w:t>
      </w:r>
      <w:r w:rsidRPr="1C9F6F05" w:rsidR="197A8B87">
        <w:rPr>
          <w:rFonts w:ascii="Verdana" w:hAnsi="Verdana"/>
          <w:sz w:val="24"/>
          <w:szCs w:val="24"/>
        </w:rPr>
        <w:t>y</w:t>
      </w:r>
      <w:r w:rsidRPr="11835F2D">
        <w:rPr>
          <w:rFonts w:ascii="Verdana" w:hAnsi="Verdana"/>
          <w:sz w:val="24"/>
          <w:szCs w:val="24"/>
        </w:rPr>
        <w:t xml:space="preserve"> gestión del </w:t>
      </w:r>
      <w:r w:rsidRPr="0AD9DEC4">
        <w:rPr>
          <w:rFonts w:ascii="Verdana" w:hAnsi="Verdana"/>
          <w:sz w:val="24"/>
          <w:szCs w:val="24"/>
        </w:rPr>
        <w:t>conocimiento.</w:t>
      </w:r>
      <w:r w:rsidRPr="11835F2D">
        <w:rPr>
          <w:rFonts w:ascii="Verdana" w:hAnsi="Verdana"/>
          <w:sz w:val="24"/>
          <w:szCs w:val="24"/>
        </w:rPr>
        <w:t xml:space="preserve"> Su valor radica en consolidar una mirada completa sobre lo avanzado, reconocer los esfuerzos de los equipos que hicieron posible la gestión del cuatrienio y dejar identificados los desafíos que deberán ser abordados para seguir fortaleciendo un Ministerio capaz de liderar, coordinar y acompañar las transformaciones que demanda el país en materia minero-energética.</w:t>
      </w:r>
    </w:p>
    <w:p w:rsidRPr="00C140A0" w:rsidR="00A82055" w:rsidRDefault="00A82055" w14:paraId="308B65FC" w14:textId="77777777">
      <w:pPr>
        <w:pStyle w:val="Prrafodelista"/>
        <w:numPr>
          <w:ilvl w:val="0"/>
          <w:numId w:val="42"/>
        </w:numPr>
        <w:spacing w:after="0" w:line="360" w:lineRule="auto"/>
        <w:outlineLvl w:val="0"/>
        <w:rPr>
          <w:rFonts w:ascii="Verdana" w:hAnsi="Verdana"/>
          <w:b/>
          <w:bCs/>
          <w:sz w:val="24"/>
          <w:szCs w:val="24"/>
        </w:rPr>
      </w:pPr>
      <w:bookmarkStart w:name="_Toc233996718" w:id="1"/>
      <w:r w:rsidRPr="00C140A0">
        <w:rPr>
          <w:rFonts w:ascii="Verdana" w:hAnsi="Verdana"/>
          <w:b/>
          <w:bCs/>
          <w:sz w:val="24"/>
          <w:szCs w:val="24"/>
        </w:rPr>
        <w:t>Nuestro Direccionamiento estratégico</w:t>
      </w:r>
      <w:bookmarkEnd w:id="1"/>
    </w:p>
    <w:p w:rsidR="00C04ED5" w:rsidP="00C140A0" w:rsidRDefault="00C04ED5" w14:paraId="6ED444A5" w14:textId="77777777">
      <w:pPr>
        <w:spacing w:after="0" w:line="360" w:lineRule="auto"/>
        <w:rPr>
          <w:rFonts w:ascii="Verdana" w:hAnsi="Verdana"/>
          <w:b/>
          <w:bCs/>
          <w:sz w:val="24"/>
          <w:szCs w:val="24"/>
        </w:rPr>
      </w:pPr>
    </w:p>
    <w:p w:rsidRPr="0081023B" w:rsidR="0081023B" w:rsidP="00D94015" w:rsidRDefault="0081023B" w14:paraId="605A4E73" w14:textId="77777777">
      <w:pPr>
        <w:spacing w:after="0" w:line="360" w:lineRule="auto"/>
        <w:jc w:val="both"/>
        <w:rPr>
          <w:rFonts w:ascii="Verdana" w:hAnsi="Verdana"/>
          <w:sz w:val="24"/>
          <w:szCs w:val="24"/>
        </w:rPr>
      </w:pPr>
      <w:r w:rsidRPr="0081023B">
        <w:rPr>
          <w:rFonts w:ascii="Verdana" w:hAnsi="Verdana"/>
          <w:sz w:val="24"/>
          <w:szCs w:val="24"/>
        </w:rPr>
        <w:t xml:space="preserve">Este capítulo presenta el direccionamiento estratégico que orientó la gestión del Ministerio de Minas y Energía durante el periodo 2022–2026, a partir de la articulación entre las prioridades sectoriales, los objetivos institucionales y los instrumentos de planeación anual. En este sentido, se recoge la manera en que la entidad alineó su gestión con el Plan </w:t>
      </w:r>
      <w:r w:rsidRPr="0081023B">
        <w:rPr>
          <w:rFonts w:ascii="Verdana" w:hAnsi="Verdana"/>
          <w:sz w:val="24"/>
          <w:szCs w:val="24"/>
        </w:rPr>
        <w:t>Nacional de Desarrollo, la Transición Energética Justa y los compromisos propios del sector minero-energético, mediante metas, indicadores, planes y acciones orientadas a fortalecer la seguridad y soberanía energética, la diversificación de la matriz, la formalización y sostenibilidad minera, el desarrollo de nuevos energéticos, la eficiencia institucional y la generación de valor público. Asimismo, se presenta el balance general de los avances alcanzados, los principales resultados obtenidos y los retos identificados para garantizar la continuidad, mejora y consolidación de la gestión institucional.</w:t>
      </w:r>
    </w:p>
    <w:p w:rsidRPr="00C140A0" w:rsidR="0081023B" w:rsidP="00D94015" w:rsidRDefault="0081023B" w14:paraId="038069D2" w14:textId="77777777">
      <w:pPr>
        <w:spacing w:after="0" w:line="360" w:lineRule="auto"/>
        <w:rPr>
          <w:rFonts w:ascii="Verdana" w:hAnsi="Verdana"/>
          <w:b/>
          <w:bCs/>
          <w:sz w:val="24"/>
          <w:szCs w:val="24"/>
        </w:rPr>
      </w:pPr>
    </w:p>
    <w:p w:rsidRPr="00C140A0" w:rsidR="00A82055" w:rsidRDefault="00A82055" w14:paraId="7068612C" w14:textId="77777777">
      <w:pPr>
        <w:pStyle w:val="Ttulo2"/>
        <w:numPr>
          <w:ilvl w:val="1"/>
          <w:numId w:val="42"/>
        </w:numPr>
        <w:spacing w:before="0" w:after="0" w:line="360" w:lineRule="auto"/>
        <w:rPr>
          <w:rFonts w:ascii="Verdana" w:hAnsi="Verdana"/>
          <w:b/>
          <w:bCs/>
          <w:color w:val="auto"/>
          <w:sz w:val="24"/>
          <w:szCs w:val="24"/>
        </w:rPr>
      </w:pPr>
      <w:bookmarkStart w:name="_Toc233996719" w:id="2"/>
      <w:r w:rsidRPr="00C140A0">
        <w:rPr>
          <w:rFonts w:ascii="Verdana" w:hAnsi="Verdana"/>
          <w:b/>
          <w:bCs/>
          <w:color w:val="auto"/>
          <w:sz w:val="24"/>
          <w:szCs w:val="24"/>
        </w:rPr>
        <w:t xml:space="preserve">Planeación Estratégica Sectorial 2022 </w:t>
      </w:r>
      <w:r w:rsidRPr="00C140A0" w:rsidR="00D60832">
        <w:rPr>
          <w:rFonts w:ascii="Verdana" w:hAnsi="Verdana"/>
          <w:b/>
          <w:bCs/>
          <w:color w:val="auto"/>
          <w:sz w:val="24"/>
          <w:szCs w:val="24"/>
        </w:rPr>
        <w:t>–</w:t>
      </w:r>
      <w:r w:rsidRPr="00C140A0">
        <w:rPr>
          <w:rFonts w:ascii="Verdana" w:hAnsi="Verdana"/>
          <w:b/>
          <w:bCs/>
          <w:color w:val="auto"/>
          <w:sz w:val="24"/>
          <w:szCs w:val="24"/>
        </w:rPr>
        <w:t xml:space="preserve"> 2026</w:t>
      </w:r>
      <w:bookmarkEnd w:id="2"/>
    </w:p>
    <w:p w:rsidRPr="00C140A0" w:rsidR="009C314E" w:rsidP="00D94015" w:rsidRDefault="009C314E" w14:paraId="6F64C48D" w14:textId="77777777">
      <w:pPr>
        <w:spacing w:after="0" w:line="360" w:lineRule="auto"/>
        <w:jc w:val="both"/>
        <w:rPr>
          <w:rFonts w:ascii="Verdana" w:hAnsi="Verdana"/>
          <w:sz w:val="24"/>
          <w:szCs w:val="24"/>
        </w:rPr>
      </w:pPr>
    </w:p>
    <w:p w:rsidRPr="00C140A0" w:rsidR="00D60832" w:rsidP="00D94015" w:rsidRDefault="00D60832" w14:paraId="07D540E6" w14:textId="3A8DB7A4">
      <w:pPr>
        <w:spacing w:after="0" w:line="360" w:lineRule="auto"/>
        <w:jc w:val="both"/>
        <w:rPr>
          <w:rFonts w:ascii="Verdana" w:hAnsi="Verdana"/>
          <w:sz w:val="24"/>
          <w:szCs w:val="24"/>
        </w:rPr>
      </w:pPr>
      <w:r w:rsidRPr="30CF4445" w:rsidR="640DFC22">
        <w:rPr>
          <w:rFonts w:ascii="Verdana" w:hAnsi="Verdana"/>
          <w:sz w:val="24"/>
          <w:szCs w:val="24"/>
        </w:rPr>
        <w:t>Durante el per</w:t>
      </w:r>
      <w:r w:rsidRPr="30CF4445" w:rsidR="182BCE71">
        <w:rPr>
          <w:rFonts w:ascii="Verdana" w:hAnsi="Verdana"/>
          <w:sz w:val="24"/>
          <w:szCs w:val="24"/>
        </w:rPr>
        <w:t>í</w:t>
      </w:r>
      <w:r w:rsidRPr="30CF4445" w:rsidR="640DFC22">
        <w:rPr>
          <w:rFonts w:ascii="Verdana" w:hAnsi="Verdana"/>
          <w:sz w:val="24"/>
          <w:szCs w:val="24"/>
        </w:rPr>
        <w:t>odo comprendido entre agosto de 2022 y marzo de 2026, la gestión del sector minero-energético estuvo orientada por los lineamientos estratégicos definidos por el Gobierno Nacional en el marco del Plan Nacional de Desarrollo 2022–2026 y de la política de Transición Energética Justa. Estos lineamientos buscaron garantizar la seguridad y soberanía energética del país, avanzar en la diversificación de la matriz energética, promover el acceso universal a los servicios públicos de energía y gas combustible, fortalecer la democratización de la energía, impulsar el desarrollo territorial y contribuir al cumplimiento de los compromisos climáticos de Colombia.</w:t>
      </w:r>
    </w:p>
    <w:p w:rsidR="00C140A0" w:rsidP="00D94015" w:rsidRDefault="00C140A0" w14:paraId="1B276BC8" w14:textId="77777777">
      <w:pPr>
        <w:spacing w:after="0" w:line="360" w:lineRule="auto"/>
        <w:jc w:val="both"/>
        <w:rPr>
          <w:rFonts w:ascii="Verdana" w:hAnsi="Verdana"/>
          <w:sz w:val="24"/>
          <w:szCs w:val="24"/>
        </w:rPr>
      </w:pPr>
    </w:p>
    <w:p w:rsidRPr="00C140A0" w:rsidR="00D60832" w:rsidP="00D94015" w:rsidRDefault="00D60832" w14:paraId="525EA249" w14:textId="77777777">
      <w:pPr>
        <w:spacing w:after="0" w:line="360" w:lineRule="auto"/>
        <w:jc w:val="both"/>
        <w:rPr>
          <w:rFonts w:ascii="Verdana" w:hAnsi="Verdana"/>
          <w:sz w:val="24"/>
          <w:szCs w:val="24"/>
        </w:rPr>
      </w:pPr>
      <w:r w:rsidRPr="00C140A0">
        <w:rPr>
          <w:rFonts w:ascii="Verdana" w:hAnsi="Verdana"/>
          <w:sz w:val="24"/>
          <w:szCs w:val="24"/>
        </w:rPr>
        <w:t xml:space="preserve">Entre las principales apuestas estratégicas se destacó la implementación de la Transición Energética Justa, concebida como un proceso para transformar progresivamente el modelo energético nacional mediante la incorporación de fuentes no convencionales de energía renovable, el desarrollo de soluciones de almacenamiento, la promoción de la eficiencia energética y el fortalecimiento de la generación distribuida y comunitaria. Asimismo, se impulsó la creación y consolidación de Comunidades </w:t>
      </w:r>
      <w:r w:rsidRPr="00C140A0">
        <w:rPr>
          <w:rFonts w:ascii="Verdana" w:hAnsi="Verdana"/>
          <w:sz w:val="24"/>
          <w:szCs w:val="24"/>
        </w:rPr>
        <w:t>Energéticas como mecanismo para ampliar la participación ciudadana en la generación y gestión de la energía.</w:t>
      </w:r>
    </w:p>
    <w:p w:rsidR="00C140A0" w:rsidP="00D94015" w:rsidRDefault="00C140A0" w14:paraId="1384A111" w14:textId="77777777">
      <w:pPr>
        <w:spacing w:after="0" w:line="360" w:lineRule="auto"/>
        <w:jc w:val="both"/>
        <w:rPr>
          <w:rFonts w:ascii="Verdana" w:hAnsi="Verdana"/>
          <w:sz w:val="24"/>
          <w:szCs w:val="24"/>
        </w:rPr>
      </w:pPr>
    </w:p>
    <w:p w:rsidRPr="00C140A0" w:rsidR="00D60832" w:rsidP="00D94015" w:rsidRDefault="00D60832" w14:paraId="6223B4C8" w14:textId="77777777">
      <w:pPr>
        <w:spacing w:after="0" w:line="360" w:lineRule="auto"/>
        <w:jc w:val="both"/>
        <w:rPr>
          <w:rFonts w:ascii="Verdana" w:hAnsi="Verdana"/>
          <w:sz w:val="24"/>
          <w:szCs w:val="24"/>
        </w:rPr>
      </w:pPr>
      <w:r w:rsidRPr="00C140A0">
        <w:rPr>
          <w:rFonts w:ascii="Verdana" w:hAnsi="Verdana"/>
          <w:sz w:val="24"/>
          <w:szCs w:val="24"/>
        </w:rPr>
        <w:t>Otro lineamiento fundamental fue la ampliación de la cobertura y el acceso a los servicios energéticos en zonas rurales, apartadas y de difícil acceso, mediante programas de energización rural, soluciones individuales y colectivas con energías renovables, así como el fortalecimiento de instrumentos de financiación orientados a cerrar brechas territoriales y sociales.</w:t>
      </w:r>
    </w:p>
    <w:p w:rsidR="00C140A0" w:rsidP="00D94015" w:rsidRDefault="00C140A0" w14:paraId="0EDB51EC" w14:textId="77777777">
      <w:pPr>
        <w:spacing w:after="0" w:line="360" w:lineRule="auto"/>
        <w:jc w:val="both"/>
        <w:rPr>
          <w:rFonts w:ascii="Verdana" w:hAnsi="Verdana"/>
          <w:sz w:val="24"/>
          <w:szCs w:val="24"/>
        </w:rPr>
      </w:pPr>
    </w:p>
    <w:p w:rsidRPr="00C140A0" w:rsidR="00D60832" w:rsidP="00D94015" w:rsidRDefault="00D60832" w14:paraId="0EE2887B" w14:textId="77777777">
      <w:pPr>
        <w:spacing w:after="0" w:line="360" w:lineRule="auto"/>
        <w:jc w:val="both"/>
        <w:rPr>
          <w:rFonts w:ascii="Verdana" w:hAnsi="Verdana"/>
          <w:sz w:val="24"/>
          <w:szCs w:val="24"/>
        </w:rPr>
      </w:pPr>
      <w:r w:rsidRPr="00C140A0">
        <w:rPr>
          <w:rFonts w:ascii="Verdana" w:hAnsi="Verdana"/>
          <w:sz w:val="24"/>
          <w:szCs w:val="24"/>
        </w:rPr>
        <w:t>En materia de hidrocarburos, la gestión sectorial se enfocó en garantizar el abastecimiento energético del país, fortalecer la confiabilidad del sistema y promover el uso eficiente de los recursos existentes, al tiempo que se impulsaron acciones para la reducción de emisiones y la incorporación gradual de nuevas tecnologías energéticas.</w:t>
      </w:r>
    </w:p>
    <w:p w:rsidR="00C140A0" w:rsidP="00D94015" w:rsidRDefault="00C140A0" w14:paraId="239A7D93" w14:textId="77777777">
      <w:pPr>
        <w:spacing w:after="0" w:line="360" w:lineRule="auto"/>
        <w:jc w:val="both"/>
        <w:rPr>
          <w:rFonts w:ascii="Verdana" w:hAnsi="Verdana"/>
          <w:sz w:val="24"/>
          <w:szCs w:val="24"/>
        </w:rPr>
      </w:pPr>
    </w:p>
    <w:p w:rsidRPr="00C140A0" w:rsidR="00D60832" w:rsidP="00D94015" w:rsidRDefault="00D60832" w14:paraId="78D02E4A" w14:textId="77777777">
      <w:pPr>
        <w:spacing w:after="0" w:line="360" w:lineRule="auto"/>
        <w:jc w:val="both"/>
        <w:rPr>
          <w:rFonts w:ascii="Verdana" w:hAnsi="Verdana"/>
          <w:sz w:val="24"/>
          <w:szCs w:val="24"/>
        </w:rPr>
      </w:pPr>
      <w:r w:rsidRPr="00C140A0">
        <w:rPr>
          <w:rFonts w:ascii="Verdana" w:hAnsi="Verdana"/>
          <w:sz w:val="24"/>
          <w:szCs w:val="24"/>
        </w:rPr>
        <w:t>Para el sector minero, los lineamientos estratégicos estuvieron orientados a la formalización minera, el fortalecimiento institucional, la mejora de los estándares ambientales y sociales de la actividad extractiva, el aprovechamiento sostenible de los recursos minerales estratégicos y el impulso a esquemas productivos que generaran mayor valor agregado para los territorios.</w:t>
      </w:r>
    </w:p>
    <w:p w:rsidR="00C140A0" w:rsidP="00D94015" w:rsidRDefault="00C140A0" w14:paraId="658CCE6F" w14:textId="77777777">
      <w:pPr>
        <w:spacing w:after="0" w:line="360" w:lineRule="auto"/>
        <w:jc w:val="both"/>
        <w:rPr>
          <w:rFonts w:ascii="Verdana" w:hAnsi="Verdana"/>
          <w:sz w:val="24"/>
          <w:szCs w:val="24"/>
        </w:rPr>
      </w:pPr>
    </w:p>
    <w:p w:rsidRPr="00C140A0" w:rsidR="00D60832" w:rsidP="00D94015" w:rsidRDefault="00D60832" w14:paraId="65D85469" w14:textId="77777777">
      <w:pPr>
        <w:spacing w:after="0" w:line="360" w:lineRule="auto"/>
        <w:jc w:val="both"/>
        <w:rPr>
          <w:rFonts w:ascii="Verdana" w:hAnsi="Verdana"/>
          <w:sz w:val="24"/>
          <w:szCs w:val="24"/>
        </w:rPr>
      </w:pPr>
      <w:r w:rsidRPr="00C140A0">
        <w:rPr>
          <w:rFonts w:ascii="Verdana" w:hAnsi="Verdana"/>
          <w:sz w:val="24"/>
          <w:szCs w:val="24"/>
        </w:rPr>
        <w:t xml:space="preserve">Estos lineamientos orientaron la gestión sectorial entre agosto de 2022 y marzo de 2026 mediante la formulación e implementación de políticas, programas, proyectos e instrumentos regulatorios enfocados en acelerar la transición energética, fortalecer la infraestructura energética, incrementar la resiliencia y confiabilidad del sistema, promover la participación de las comunidades en el desarrollo energético y consolidar mecanismos de financiamiento para la ejecución de proyectos </w:t>
      </w:r>
      <w:r w:rsidRPr="00C140A0">
        <w:rPr>
          <w:rFonts w:ascii="Verdana" w:hAnsi="Verdana"/>
          <w:sz w:val="24"/>
          <w:szCs w:val="24"/>
        </w:rPr>
        <w:t>estratégicos. De igual manera, guiaron la articulación institucional con entidades del orden nacional y territorial para avanzar en los objetivos de equidad, sostenibilidad, competitividad y seguridad energética del país.</w:t>
      </w:r>
    </w:p>
    <w:p w:rsidR="00C140A0" w:rsidP="00D94015" w:rsidRDefault="00C140A0" w14:paraId="372B230D" w14:textId="77777777">
      <w:pPr>
        <w:spacing w:after="0" w:line="360" w:lineRule="auto"/>
        <w:jc w:val="both"/>
        <w:rPr>
          <w:rFonts w:ascii="Verdana" w:hAnsi="Verdana"/>
          <w:sz w:val="24"/>
          <w:szCs w:val="24"/>
        </w:rPr>
      </w:pPr>
    </w:p>
    <w:p w:rsidRPr="00C140A0" w:rsidR="00D60832" w:rsidP="00D94015" w:rsidRDefault="00D60832" w14:paraId="0CEC7A93" w14:textId="77777777">
      <w:pPr>
        <w:spacing w:after="0" w:line="360" w:lineRule="auto"/>
        <w:jc w:val="both"/>
        <w:rPr>
          <w:rFonts w:ascii="Verdana" w:hAnsi="Verdana"/>
          <w:sz w:val="24"/>
          <w:szCs w:val="24"/>
        </w:rPr>
      </w:pPr>
      <w:r w:rsidRPr="00C140A0">
        <w:rPr>
          <w:rFonts w:ascii="Verdana" w:hAnsi="Verdana"/>
          <w:sz w:val="24"/>
          <w:szCs w:val="24"/>
        </w:rPr>
        <w:t>En conjunto, las acciones desarrolladas durante el cuatrienio respondieron al propósito de transformar el sector minero-energético en un motor de desarrollo sostenible, inclusivo y territorialmente equilibrado, contribuyendo a la reducción de brechas sociales, al fortalecimiento de la economía nacional y al cumplimiento de los compromisos ambientales de Colombia.</w:t>
      </w:r>
    </w:p>
    <w:p w:rsidR="00C140A0" w:rsidP="00D94015" w:rsidRDefault="00C140A0" w14:paraId="67270C80" w14:textId="77777777">
      <w:pPr>
        <w:spacing w:after="0" w:line="360" w:lineRule="auto"/>
        <w:jc w:val="both"/>
        <w:rPr>
          <w:rFonts w:ascii="Verdana" w:hAnsi="Verdana"/>
          <w:sz w:val="24"/>
          <w:szCs w:val="24"/>
        </w:rPr>
      </w:pPr>
    </w:p>
    <w:p w:rsidR="00280F0A" w:rsidP="00D94015" w:rsidRDefault="288F5496" w14:paraId="017EB516" w14:textId="3B9ADC8F">
      <w:pPr>
        <w:spacing w:after="0" w:line="360" w:lineRule="auto"/>
        <w:jc w:val="both"/>
      </w:pPr>
      <w:r w:rsidRPr="0FF05B1B">
        <w:rPr>
          <w:rFonts w:ascii="Verdana" w:hAnsi="Verdana"/>
          <w:sz w:val="24"/>
          <w:szCs w:val="24"/>
        </w:rPr>
        <w:t>Teniendo en cuenta lo anterior, se formularon las siguientes metas priorizadas desde el sector de minas y energía, que se han organizado en tres pivotes que engloban la misionalidad y contribuyen a la Transición Energética Justa:</w:t>
      </w:r>
    </w:p>
    <w:p w:rsidR="0FF05B1B" w:rsidP="00D94015" w:rsidRDefault="0FF05B1B" w14:paraId="3B3129AE" w14:textId="60F82AD3">
      <w:pPr>
        <w:spacing w:after="0" w:line="360" w:lineRule="auto"/>
        <w:jc w:val="both"/>
        <w:rPr>
          <w:rFonts w:ascii="Verdana" w:hAnsi="Verdana"/>
          <w:sz w:val="24"/>
          <w:szCs w:val="24"/>
        </w:rPr>
      </w:pPr>
    </w:p>
    <w:p w:rsidR="00E62453" w:rsidP="004C1932" w:rsidRDefault="0081023B" w14:paraId="74F5B2FA" w14:textId="77777777">
      <w:pPr>
        <w:pStyle w:val="Descripcin"/>
        <w:spacing w:after="0"/>
        <w:jc w:val="center"/>
        <w:rPr>
          <w:rFonts w:ascii="Verdana" w:hAnsi="Verdana"/>
          <w:i w:val="0"/>
          <w:iCs w:val="0"/>
          <w:color w:val="auto"/>
        </w:rPr>
      </w:pPr>
      <w:r>
        <w:rPr>
          <w:rFonts w:ascii="Verdana" w:hAnsi="Verdana"/>
          <w:i w:val="0"/>
          <w:iCs w:val="0"/>
          <w:color w:val="auto"/>
        </w:rPr>
        <w:t>Imagen No. 1</w:t>
      </w:r>
      <w:r w:rsidRPr="00C140A0" w:rsidR="00E62453">
        <w:rPr>
          <w:rFonts w:ascii="Verdana" w:hAnsi="Verdana"/>
          <w:i w:val="0"/>
          <w:iCs w:val="0"/>
          <w:color w:val="auto"/>
        </w:rPr>
        <w:t>. Pivotes del sector</w:t>
      </w:r>
    </w:p>
    <w:p w:rsidRPr="00C140A0" w:rsidR="00D60832" w:rsidP="004C1932" w:rsidRDefault="006260B6" w14:paraId="10E0248C" w14:textId="77777777">
      <w:pPr>
        <w:spacing w:after="0" w:line="240" w:lineRule="auto"/>
        <w:jc w:val="center"/>
        <w:rPr>
          <w:rFonts w:ascii="Verdana" w:hAnsi="Verdana"/>
          <w:sz w:val="24"/>
          <w:szCs w:val="24"/>
        </w:rPr>
      </w:pPr>
      <w:r w:rsidRPr="00C140A0">
        <w:rPr>
          <w:rFonts w:ascii="Verdana" w:hAnsi="Verdana" w:cs="Arial"/>
          <w:noProof/>
        </w:rPr>
        <w:drawing>
          <wp:inline distT="0" distB="0" distL="0" distR="0" wp14:anchorId="25553FDD" wp14:editId="527FBBA7">
            <wp:extent cx="5225325" cy="2192055"/>
            <wp:effectExtent l="19050" t="19050" r="13970" b="17780"/>
            <wp:docPr id="14935632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563236" name=""/>
                    <pic:cNvPicPr/>
                  </pic:nvPicPr>
                  <pic:blipFill rotWithShape="1">
                    <a:blip r:embed="rId12"/>
                    <a:srcRect t="23328" r="26013" b="24363"/>
                    <a:stretch/>
                  </pic:blipFill>
                  <pic:spPr bwMode="auto">
                    <a:xfrm>
                      <a:off x="0" y="0"/>
                      <a:ext cx="5267636" cy="2209805"/>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Pr="00C140A0" w:rsidR="006260B6" w:rsidP="004C1932" w:rsidRDefault="3649C3B5" w14:paraId="01E6DA51" w14:textId="77777777">
      <w:pPr>
        <w:spacing w:after="0" w:line="240" w:lineRule="auto"/>
        <w:jc w:val="center"/>
        <w:rPr>
          <w:rFonts w:ascii="Verdana" w:hAnsi="Verdana"/>
          <w:sz w:val="18"/>
          <w:szCs w:val="18"/>
        </w:rPr>
      </w:pPr>
      <w:r w:rsidRPr="180099B3">
        <w:rPr>
          <w:rFonts w:ascii="Verdana" w:hAnsi="Verdana"/>
          <w:sz w:val="18"/>
          <w:szCs w:val="18"/>
        </w:rPr>
        <w:t>Fuente: elaboración propia</w:t>
      </w:r>
      <w:r w:rsidRPr="180099B3" w:rsidR="70E874CE">
        <w:rPr>
          <w:rFonts w:ascii="Verdana" w:hAnsi="Verdana"/>
          <w:sz w:val="18"/>
          <w:szCs w:val="18"/>
        </w:rPr>
        <w:t xml:space="preserve"> OPGI-</w:t>
      </w:r>
      <w:r w:rsidRPr="180099B3">
        <w:rPr>
          <w:rFonts w:ascii="Verdana" w:hAnsi="Verdana"/>
          <w:sz w:val="18"/>
          <w:szCs w:val="18"/>
        </w:rPr>
        <w:t xml:space="preserve"> MME, 2026</w:t>
      </w:r>
    </w:p>
    <w:p w:rsidR="004C1932" w:rsidP="00C140A0" w:rsidRDefault="004C1932" w14:paraId="10520588" w14:textId="77777777">
      <w:pPr>
        <w:spacing w:after="0" w:line="360" w:lineRule="auto"/>
        <w:jc w:val="both"/>
        <w:rPr>
          <w:rFonts w:ascii="Verdana" w:hAnsi="Verdana"/>
          <w:sz w:val="24"/>
          <w:szCs w:val="24"/>
        </w:rPr>
      </w:pPr>
    </w:p>
    <w:p w:rsidRPr="00C140A0" w:rsidR="00AF624B" w:rsidP="00D94015" w:rsidRDefault="00AF624B" w14:paraId="35AAFD6A" w14:textId="77777777">
      <w:pPr>
        <w:spacing w:after="0" w:line="360" w:lineRule="auto"/>
        <w:jc w:val="both"/>
        <w:rPr>
          <w:rFonts w:ascii="Verdana" w:hAnsi="Verdana"/>
          <w:sz w:val="24"/>
          <w:szCs w:val="24"/>
        </w:rPr>
      </w:pPr>
      <w:r w:rsidRPr="00C140A0">
        <w:rPr>
          <w:rFonts w:ascii="Verdana" w:hAnsi="Verdana"/>
          <w:sz w:val="24"/>
          <w:szCs w:val="24"/>
        </w:rPr>
        <w:t xml:space="preserve">El seguimiento a las prioridades estratégicas del sector se realiza a través del Plan Estratégico Sectorial (PES), instrumento de gestión que recopila y consolida trimestralmente los avances de las metas sectoriales, los resultados alcanzados, así como los principales retos, cuellos de botella y </w:t>
      </w:r>
      <w:r w:rsidRPr="00C140A0">
        <w:rPr>
          <w:rFonts w:ascii="Verdana" w:hAnsi="Verdana"/>
          <w:sz w:val="24"/>
          <w:szCs w:val="24"/>
        </w:rPr>
        <w:t>alertas que pueden afectar su ejecución. Esta herramienta constituye un insumo fundamental para el monitoreo de la gestión sectorial y la adopción de acciones de mejora. A continuación, se presenta el estado de avance registrado con corte al 31 de marzo de 2026, correspondiente al último periodo de seguimiento disponible.</w:t>
      </w:r>
    </w:p>
    <w:p w:rsidR="00C140A0" w:rsidP="00D94015" w:rsidRDefault="00C140A0" w14:paraId="7BC88F2A" w14:textId="77777777">
      <w:pPr>
        <w:spacing w:after="0" w:line="360" w:lineRule="auto"/>
        <w:jc w:val="both"/>
        <w:rPr>
          <w:rFonts w:ascii="Verdana" w:hAnsi="Verdana"/>
          <w:sz w:val="24"/>
          <w:szCs w:val="24"/>
        </w:rPr>
      </w:pPr>
    </w:p>
    <w:p w:rsidRPr="00C140A0" w:rsidR="00AF624B" w:rsidP="00D94015" w:rsidRDefault="00AF624B" w14:paraId="58293F48" w14:textId="77777777">
      <w:pPr>
        <w:spacing w:after="0" w:line="360" w:lineRule="auto"/>
        <w:jc w:val="both"/>
        <w:rPr>
          <w:rFonts w:ascii="Verdana" w:hAnsi="Verdana"/>
          <w:sz w:val="24"/>
          <w:szCs w:val="24"/>
        </w:rPr>
      </w:pPr>
      <w:r w:rsidRPr="00C140A0">
        <w:rPr>
          <w:rFonts w:ascii="Verdana" w:hAnsi="Verdana"/>
          <w:sz w:val="24"/>
          <w:szCs w:val="24"/>
        </w:rPr>
        <w:t>En primer lugar, se encuentra el pivote de energía, el cual hace referencia a dos ejes fundamentales: a) Plan 6G, que incluye metas específicas en comunidades y municipios energéticos, proyectos FNCER a gran escala, costos de la energía y lo referente a Plantas; b) Eficiencia energética, que incluye temas de electromovilidad.</w:t>
      </w:r>
    </w:p>
    <w:p w:rsidR="00CD6A65" w:rsidP="00D94015" w:rsidRDefault="00CD6A65" w14:paraId="4CDC8BD8" w14:textId="77777777">
      <w:pPr>
        <w:spacing w:after="0" w:line="360" w:lineRule="auto"/>
        <w:rPr>
          <w:rFonts w:ascii="Verdana" w:hAnsi="Verdana" w:cs="Arial"/>
          <w:b/>
          <w:bCs/>
          <w:sz w:val="24"/>
          <w:szCs w:val="24"/>
        </w:rPr>
      </w:pPr>
    </w:p>
    <w:p w:rsidR="0020007F" w:rsidP="00D94015" w:rsidRDefault="105D34EA" w14:paraId="266A0210" w14:textId="3C3BCF73">
      <w:pPr>
        <w:spacing w:after="0" w:line="360" w:lineRule="auto"/>
        <w:rPr>
          <w:rFonts w:ascii="Verdana" w:hAnsi="Verdana" w:cs="Arial"/>
          <w:b/>
          <w:bCs/>
          <w:sz w:val="24"/>
          <w:szCs w:val="24"/>
        </w:rPr>
      </w:pPr>
      <w:r w:rsidRPr="0FF05B1B">
        <w:rPr>
          <w:rFonts w:ascii="Verdana" w:hAnsi="Verdana" w:cs="Arial"/>
          <w:b/>
          <w:bCs/>
          <w:sz w:val="24"/>
          <w:szCs w:val="24"/>
        </w:rPr>
        <w:t>Comunidades energéticas</w:t>
      </w:r>
    </w:p>
    <w:p w:rsidRPr="00C140A0" w:rsidR="001431AC" w:rsidP="004C1932" w:rsidRDefault="001431AC" w14:paraId="4BDDE9EB" w14:textId="77777777">
      <w:pPr>
        <w:spacing w:after="0" w:line="240" w:lineRule="auto"/>
        <w:rPr>
          <w:rFonts w:ascii="Verdana" w:hAnsi="Verdana" w:cs="Arial"/>
          <w:b/>
          <w:bCs/>
          <w:sz w:val="24"/>
          <w:szCs w:val="24"/>
        </w:rPr>
      </w:pPr>
    </w:p>
    <w:p w:rsidRPr="00280F0A" w:rsidR="00353EAA" w:rsidP="00280F0A" w:rsidRDefault="00353EAA" w14:paraId="1B63A880" w14:textId="77777777">
      <w:pPr>
        <w:spacing w:after="0" w:line="240" w:lineRule="auto"/>
        <w:jc w:val="center"/>
        <w:rPr>
          <w:rFonts w:ascii="Verdana" w:hAnsi="Verdana" w:cs="Arial"/>
          <w:sz w:val="18"/>
          <w:szCs w:val="18"/>
        </w:rPr>
      </w:pPr>
      <w:r w:rsidRPr="00C140A0">
        <w:rPr>
          <w:rFonts w:ascii="Verdana" w:hAnsi="Verdana" w:cs="Arial"/>
          <w:sz w:val="18"/>
          <w:szCs w:val="18"/>
        </w:rPr>
        <w:t xml:space="preserve">Tabla </w:t>
      </w:r>
      <w:r w:rsidR="00280F0A">
        <w:rPr>
          <w:rFonts w:ascii="Verdana" w:hAnsi="Verdana" w:cs="Arial"/>
          <w:sz w:val="18"/>
          <w:szCs w:val="18"/>
        </w:rPr>
        <w:t>No. 1</w:t>
      </w:r>
      <w:r w:rsidRPr="00C140A0">
        <w:rPr>
          <w:rFonts w:ascii="Verdana" w:hAnsi="Verdana" w:cs="Arial"/>
          <w:sz w:val="18"/>
          <w:szCs w:val="18"/>
        </w:rPr>
        <w:t>. Avances Comunidades Energéticas PES 2024-2026</w:t>
      </w:r>
    </w:p>
    <w:p w:rsidR="2539D94A" w:rsidP="2539D94A" w:rsidRDefault="2539D94A" w14:paraId="5943FEF4" w14:textId="77777777">
      <w:pPr>
        <w:spacing w:after="0" w:line="240" w:lineRule="auto"/>
        <w:jc w:val="center"/>
        <w:rPr>
          <w:rFonts w:ascii="Verdana" w:hAnsi="Verdana" w:cs="Arial"/>
          <w:sz w:val="18"/>
          <w:szCs w:val="18"/>
        </w:rPr>
      </w:pPr>
    </w:p>
    <w:tbl>
      <w:tblPr>
        <w:tblStyle w:val="Tablaconcuadrcula"/>
        <w:tblW w:w="0" w:type="auto"/>
        <w:tblLook w:val="04A0" w:firstRow="1" w:lastRow="0" w:firstColumn="1" w:lastColumn="0" w:noHBand="0" w:noVBand="1"/>
      </w:tblPr>
      <w:tblGrid>
        <w:gridCol w:w="1830"/>
        <w:gridCol w:w="2334"/>
        <w:gridCol w:w="1261"/>
        <w:gridCol w:w="994"/>
        <w:gridCol w:w="888"/>
        <w:gridCol w:w="1521"/>
      </w:tblGrid>
      <w:tr w:rsidRPr="00C140A0" w:rsidR="00F47CA0" w:rsidTr="30CF4445" w14:paraId="02D9A8DD" w14:textId="77777777">
        <w:tc>
          <w:tcPr>
            <w:tcW w:w="1884" w:type="dxa"/>
            <w:shd w:val="clear" w:color="auto" w:fill="A6A6A6" w:themeFill="background1" w:themeFillShade="A6"/>
            <w:tcMar/>
            <w:vAlign w:val="center"/>
          </w:tcPr>
          <w:p w:rsidRPr="00C140A0" w:rsidR="00F47CA0" w:rsidP="004C1932" w:rsidRDefault="00F47CA0" w14:paraId="2098C948" w14:textId="77777777">
            <w:pPr>
              <w:jc w:val="center"/>
              <w:rPr>
                <w:rFonts w:ascii="Verdana" w:hAnsi="Verdana" w:cs="Arial"/>
                <w:b/>
                <w:bCs/>
                <w:sz w:val="18"/>
                <w:szCs w:val="18"/>
              </w:rPr>
            </w:pPr>
            <w:r w:rsidRPr="00C140A0">
              <w:rPr>
                <w:rFonts w:ascii="Verdana" w:hAnsi="Verdana" w:cs="Arial"/>
                <w:b/>
                <w:bCs/>
                <w:sz w:val="18"/>
                <w:szCs w:val="18"/>
              </w:rPr>
              <w:t>Indicador</w:t>
            </w:r>
          </w:p>
        </w:tc>
        <w:tc>
          <w:tcPr>
            <w:tcW w:w="2506" w:type="dxa"/>
            <w:shd w:val="clear" w:color="auto" w:fill="A6A6A6" w:themeFill="background1" w:themeFillShade="A6"/>
            <w:tcMar/>
            <w:vAlign w:val="center"/>
          </w:tcPr>
          <w:p w:rsidRPr="00C140A0" w:rsidR="00F47CA0" w:rsidP="004C1932" w:rsidRDefault="00F47CA0" w14:paraId="206EA58D" w14:textId="1D9EEE31">
            <w:pPr>
              <w:jc w:val="center"/>
              <w:rPr>
                <w:rFonts w:ascii="Verdana" w:hAnsi="Verdana" w:cs="Arial"/>
                <w:b w:val="1"/>
                <w:bCs w:val="1"/>
                <w:sz w:val="18"/>
                <w:szCs w:val="18"/>
              </w:rPr>
            </w:pPr>
            <w:r w:rsidRPr="30CF4445" w:rsidR="518E61A5">
              <w:rPr>
                <w:rFonts w:ascii="Verdana" w:hAnsi="Verdana" w:cs="Arial"/>
                <w:b w:val="1"/>
                <w:bCs w:val="1"/>
                <w:sz w:val="18"/>
                <w:szCs w:val="18"/>
              </w:rPr>
              <w:t>F</w:t>
            </w:r>
            <w:r w:rsidRPr="30CF4445" w:rsidR="4BA06CC1">
              <w:rPr>
                <w:rFonts w:ascii="Verdana" w:hAnsi="Verdana" w:cs="Arial"/>
                <w:b w:val="1"/>
                <w:bCs w:val="1"/>
                <w:sz w:val="18"/>
                <w:szCs w:val="18"/>
              </w:rPr>
              <w:t>ó</w:t>
            </w:r>
            <w:r w:rsidRPr="30CF4445" w:rsidR="518E61A5">
              <w:rPr>
                <w:rFonts w:ascii="Verdana" w:hAnsi="Verdana" w:cs="Arial"/>
                <w:b w:val="1"/>
                <w:bCs w:val="1"/>
                <w:sz w:val="18"/>
                <w:szCs w:val="18"/>
              </w:rPr>
              <w:t>rmula</w:t>
            </w:r>
          </w:p>
        </w:tc>
        <w:tc>
          <w:tcPr>
            <w:tcW w:w="895" w:type="dxa"/>
            <w:shd w:val="clear" w:color="auto" w:fill="A6A6A6" w:themeFill="background1" w:themeFillShade="A6"/>
            <w:tcMar/>
            <w:vAlign w:val="center"/>
          </w:tcPr>
          <w:p w:rsidRPr="00C140A0" w:rsidR="00F47CA0" w:rsidP="004C1932" w:rsidRDefault="00F47CA0" w14:paraId="4FD1D642" w14:textId="77777777">
            <w:pPr>
              <w:jc w:val="center"/>
              <w:rPr>
                <w:rFonts w:ascii="Verdana" w:hAnsi="Verdana" w:cs="Arial"/>
                <w:b/>
                <w:bCs/>
                <w:sz w:val="18"/>
                <w:szCs w:val="18"/>
              </w:rPr>
            </w:pPr>
            <w:r w:rsidRPr="00C140A0">
              <w:rPr>
                <w:rFonts w:ascii="Verdana" w:hAnsi="Verdana" w:cs="Arial"/>
                <w:b/>
                <w:bCs/>
                <w:sz w:val="18"/>
                <w:szCs w:val="18"/>
              </w:rPr>
              <w:t>Meta Cuatrienio</w:t>
            </w:r>
          </w:p>
        </w:tc>
        <w:tc>
          <w:tcPr>
            <w:tcW w:w="1056" w:type="dxa"/>
            <w:shd w:val="clear" w:color="auto" w:fill="A6A6A6" w:themeFill="background1" w:themeFillShade="A6"/>
            <w:tcMar/>
            <w:vAlign w:val="center"/>
          </w:tcPr>
          <w:p w:rsidRPr="00C140A0" w:rsidR="00F47CA0" w:rsidP="004C1932" w:rsidRDefault="00F47CA0" w14:paraId="4015791E" w14:textId="77777777">
            <w:pPr>
              <w:jc w:val="center"/>
              <w:rPr>
                <w:rFonts w:ascii="Verdana" w:hAnsi="Verdana" w:cs="Arial"/>
                <w:b/>
                <w:bCs/>
                <w:sz w:val="18"/>
                <w:szCs w:val="18"/>
              </w:rPr>
            </w:pPr>
            <w:r w:rsidRPr="00C140A0">
              <w:rPr>
                <w:rFonts w:ascii="Verdana" w:hAnsi="Verdana" w:cs="Arial"/>
                <w:b/>
                <w:bCs/>
                <w:sz w:val="18"/>
                <w:szCs w:val="18"/>
              </w:rPr>
              <w:t>Meta 2024</w:t>
            </w:r>
          </w:p>
        </w:tc>
        <w:tc>
          <w:tcPr>
            <w:tcW w:w="923" w:type="dxa"/>
            <w:shd w:val="clear" w:color="auto" w:fill="A6A6A6" w:themeFill="background1" w:themeFillShade="A6"/>
            <w:tcMar/>
            <w:vAlign w:val="center"/>
          </w:tcPr>
          <w:p w:rsidRPr="00C140A0" w:rsidR="00F47CA0" w:rsidP="004C1932" w:rsidRDefault="00F47CA0" w14:paraId="12D45742" w14:textId="77777777">
            <w:pPr>
              <w:jc w:val="center"/>
              <w:rPr>
                <w:rFonts w:ascii="Verdana" w:hAnsi="Verdana" w:cs="Arial"/>
                <w:b/>
                <w:bCs/>
                <w:sz w:val="18"/>
                <w:szCs w:val="18"/>
              </w:rPr>
            </w:pPr>
            <w:r w:rsidRPr="00C140A0">
              <w:rPr>
                <w:rFonts w:ascii="Verdana" w:hAnsi="Verdana" w:cs="Arial"/>
                <w:b/>
                <w:bCs/>
                <w:sz w:val="18"/>
                <w:szCs w:val="18"/>
              </w:rPr>
              <w:t>Meta 2025</w:t>
            </w:r>
          </w:p>
        </w:tc>
        <w:tc>
          <w:tcPr>
            <w:tcW w:w="1564" w:type="dxa"/>
            <w:shd w:val="clear" w:color="auto" w:fill="A6A6A6" w:themeFill="background1" w:themeFillShade="A6"/>
            <w:tcMar/>
            <w:vAlign w:val="center"/>
          </w:tcPr>
          <w:p w:rsidRPr="00C140A0" w:rsidR="00F47CA0" w:rsidP="004C1932" w:rsidRDefault="00F47CA0" w14:paraId="77242CE8" w14:textId="77777777">
            <w:pPr>
              <w:jc w:val="center"/>
              <w:rPr>
                <w:rFonts w:ascii="Verdana" w:hAnsi="Verdana" w:cs="Arial"/>
                <w:b/>
                <w:bCs/>
                <w:sz w:val="18"/>
                <w:szCs w:val="18"/>
              </w:rPr>
            </w:pPr>
            <w:r w:rsidRPr="00C140A0">
              <w:rPr>
                <w:rFonts w:ascii="Verdana" w:hAnsi="Verdana" w:cs="Arial"/>
                <w:b/>
                <w:bCs/>
                <w:sz w:val="18"/>
                <w:szCs w:val="18"/>
              </w:rPr>
              <w:t>Avance</w:t>
            </w:r>
          </w:p>
          <w:p w:rsidRPr="00C140A0" w:rsidR="00F47CA0" w:rsidP="004C1932" w:rsidRDefault="00F47CA0" w14:paraId="41DBA762" w14:textId="77777777">
            <w:pPr>
              <w:jc w:val="center"/>
              <w:rPr>
                <w:rFonts w:ascii="Verdana" w:hAnsi="Verdana" w:cs="Arial"/>
                <w:b/>
                <w:bCs/>
                <w:sz w:val="18"/>
                <w:szCs w:val="18"/>
              </w:rPr>
            </w:pPr>
            <w:r w:rsidRPr="00C140A0">
              <w:rPr>
                <w:rFonts w:ascii="Verdana" w:hAnsi="Verdana" w:cs="Arial"/>
                <w:b/>
                <w:bCs/>
                <w:sz w:val="18"/>
                <w:szCs w:val="18"/>
              </w:rPr>
              <w:t>Acumulado</w:t>
            </w:r>
          </w:p>
          <w:p w:rsidRPr="00C140A0" w:rsidR="00F47CA0" w:rsidP="004C1932" w:rsidRDefault="00F47CA0" w14:paraId="22B1320C" w14:textId="77777777">
            <w:pPr>
              <w:jc w:val="center"/>
              <w:rPr>
                <w:rFonts w:ascii="Verdana" w:hAnsi="Verdana" w:cs="Arial"/>
                <w:b/>
                <w:bCs/>
                <w:sz w:val="18"/>
                <w:szCs w:val="18"/>
              </w:rPr>
            </w:pPr>
            <w:r w:rsidRPr="00C140A0">
              <w:rPr>
                <w:rFonts w:ascii="Verdana" w:hAnsi="Verdana" w:cs="Arial"/>
                <w:b/>
                <w:bCs/>
                <w:sz w:val="18"/>
                <w:szCs w:val="18"/>
              </w:rPr>
              <w:t>1° TRIM 2026</w:t>
            </w:r>
          </w:p>
        </w:tc>
      </w:tr>
      <w:tr w:rsidRPr="00C140A0" w:rsidR="00F47CA0" w:rsidTr="30CF4445" w14:paraId="1BEB7B9D" w14:textId="77777777">
        <w:tc>
          <w:tcPr>
            <w:tcW w:w="1884" w:type="dxa"/>
            <w:tcMar/>
            <w:vAlign w:val="center"/>
          </w:tcPr>
          <w:p w:rsidRPr="00C140A0" w:rsidR="00F47CA0" w:rsidP="004C1932" w:rsidRDefault="00F47CA0" w14:paraId="732FEA18" w14:textId="77777777">
            <w:pPr>
              <w:rPr>
                <w:rFonts w:ascii="Verdana" w:hAnsi="Verdana" w:cs="Arial"/>
                <w:sz w:val="18"/>
                <w:szCs w:val="18"/>
              </w:rPr>
            </w:pPr>
            <w:r w:rsidRPr="00C140A0">
              <w:rPr>
                <w:rFonts w:ascii="Verdana" w:hAnsi="Verdana" w:cs="Arial"/>
                <w:sz w:val="18"/>
                <w:szCs w:val="18"/>
              </w:rPr>
              <w:t>Comunidades Energéticas implementadas por el Gobierno</w:t>
            </w:r>
          </w:p>
        </w:tc>
        <w:tc>
          <w:tcPr>
            <w:tcW w:w="2506" w:type="dxa"/>
            <w:tcMar/>
            <w:vAlign w:val="center"/>
          </w:tcPr>
          <w:p w:rsidRPr="00C140A0" w:rsidR="00F47CA0" w:rsidP="004C1932" w:rsidRDefault="00F47CA0" w14:paraId="10348353" w14:textId="77777777">
            <w:pPr>
              <w:rPr>
                <w:rFonts w:ascii="Verdana" w:hAnsi="Verdana" w:cs="Arial"/>
                <w:sz w:val="18"/>
                <w:szCs w:val="18"/>
              </w:rPr>
            </w:pPr>
            <w:r w:rsidRPr="00C140A0">
              <w:rPr>
                <w:rFonts w:ascii="Verdana" w:hAnsi="Verdana" w:cs="Arial"/>
                <w:sz w:val="18"/>
                <w:szCs w:val="18"/>
              </w:rPr>
              <w:t>Número de comunidades energéticas implementadas por el gobierno</w:t>
            </w:r>
          </w:p>
        </w:tc>
        <w:tc>
          <w:tcPr>
            <w:tcW w:w="895" w:type="dxa"/>
            <w:tcMar/>
            <w:vAlign w:val="center"/>
          </w:tcPr>
          <w:p w:rsidRPr="00C140A0" w:rsidR="00F47CA0" w:rsidP="004C1932" w:rsidRDefault="00F47CA0" w14:paraId="499EC139" w14:textId="77777777">
            <w:pPr>
              <w:jc w:val="center"/>
              <w:rPr>
                <w:rFonts w:ascii="Verdana" w:hAnsi="Verdana" w:cs="Arial"/>
                <w:sz w:val="18"/>
                <w:szCs w:val="18"/>
              </w:rPr>
            </w:pPr>
            <w:r w:rsidRPr="00C140A0">
              <w:rPr>
                <w:rFonts w:ascii="Verdana" w:hAnsi="Verdana" w:cs="Arial"/>
                <w:sz w:val="18"/>
                <w:szCs w:val="18"/>
              </w:rPr>
              <w:t>15.000</w:t>
            </w:r>
          </w:p>
        </w:tc>
        <w:tc>
          <w:tcPr>
            <w:tcW w:w="1056" w:type="dxa"/>
            <w:tcMar/>
            <w:vAlign w:val="center"/>
          </w:tcPr>
          <w:p w:rsidRPr="00C140A0" w:rsidR="00F47CA0" w:rsidP="004C1932" w:rsidRDefault="00F47CA0" w14:paraId="6A6778C7" w14:textId="77777777">
            <w:pPr>
              <w:jc w:val="center"/>
              <w:rPr>
                <w:rFonts w:ascii="Verdana" w:hAnsi="Verdana" w:cs="Arial"/>
                <w:sz w:val="18"/>
                <w:szCs w:val="18"/>
              </w:rPr>
            </w:pPr>
            <w:r w:rsidRPr="00C140A0">
              <w:rPr>
                <w:rFonts w:ascii="Verdana" w:hAnsi="Verdana" w:cs="Arial"/>
                <w:sz w:val="18"/>
                <w:szCs w:val="18"/>
              </w:rPr>
              <w:t>300</w:t>
            </w:r>
          </w:p>
        </w:tc>
        <w:tc>
          <w:tcPr>
            <w:tcW w:w="923" w:type="dxa"/>
            <w:tcMar/>
            <w:vAlign w:val="center"/>
          </w:tcPr>
          <w:p w:rsidRPr="00C140A0" w:rsidR="00F47CA0" w:rsidP="004C1932" w:rsidRDefault="00F47CA0" w14:paraId="1E9158AA" w14:textId="77777777">
            <w:pPr>
              <w:jc w:val="center"/>
              <w:rPr>
                <w:rFonts w:ascii="Verdana" w:hAnsi="Verdana" w:cs="Arial"/>
                <w:sz w:val="18"/>
                <w:szCs w:val="18"/>
              </w:rPr>
            </w:pPr>
            <w:r w:rsidRPr="00C140A0">
              <w:rPr>
                <w:rFonts w:ascii="Verdana" w:hAnsi="Verdana" w:cs="Arial"/>
                <w:sz w:val="18"/>
                <w:szCs w:val="18"/>
              </w:rPr>
              <w:t>7.500</w:t>
            </w:r>
          </w:p>
        </w:tc>
        <w:tc>
          <w:tcPr>
            <w:tcW w:w="1564" w:type="dxa"/>
            <w:tcMar/>
            <w:vAlign w:val="center"/>
          </w:tcPr>
          <w:p w:rsidRPr="00C140A0" w:rsidR="00F47CA0" w:rsidP="004C1932" w:rsidRDefault="00F47CA0" w14:paraId="49033A96" w14:textId="77777777">
            <w:pPr>
              <w:jc w:val="center"/>
              <w:rPr>
                <w:rFonts w:ascii="Verdana" w:hAnsi="Verdana" w:cs="Arial"/>
                <w:sz w:val="18"/>
                <w:szCs w:val="18"/>
              </w:rPr>
            </w:pPr>
            <w:r w:rsidRPr="00C140A0">
              <w:rPr>
                <w:rFonts w:ascii="Verdana" w:hAnsi="Verdana" w:cs="Arial"/>
                <w:sz w:val="18"/>
                <w:szCs w:val="18"/>
              </w:rPr>
              <w:t>469</w:t>
            </w:r>
          </w:p>
        </w:tc>
      </w:tr>
      <w:tr w:rsidRPr="00C140A0" w:rsidR="00F47CA0" w:rsidTr="30CF4445" w14:paraId="55B7A38A" w14:textId="77777777">
        <w:tc>
          <w:tcPr>
            <w:tcW w:w="1884" w:type="dxa"/>
            <w:tcMar/>
            <w:vAlign w:val="center"/>
          </w:tcPr>
          <w:p w:rsidRPr="00C140A0" w:rsidR="00F47CA0" w:rsidP="004C1932" w:rsidRDefault="00F47CA0" w14:paraId="33F1F7D3" w14:textId="77777777">
            <w:pPr>
              <w:rPr>
                <w:rFonts w:ascii="Verdana" w:hAnsi="Verdana" w:cs="Arial"/>
                <w:sz w:val="18"/>
                <w:szCs w:val="18"/>
              </w:rPr>
            </w:pPr>
            <w:r w:rsidRPr="00C140A0">
              <w:rPr>
                <w:rFonts w:ascii="Verdana" w:hAnsi="Verdana" w:cs="Arial"/>
                <w:sz w:val="18"/>
                <w:szCs w:val="18"/>
              </w:rPr>
              <w:t>Municipios energéticos implementados</w:t>
            </w:r>
          </w:p>
        </w:tc>
        <w:tc>
          <w:tcPr>
            <w:tcW w:w="2506" w:type="dxa"/>
            <w:tcMar/>
            <w:vAlign w:val="center"/>
          </w:tcPr>
          <w:p w:rsidRPr="00C140A0" w:rsidR="00F47CA0" w:rsidP="004C1932" w:rsidRDefault="00F47CA0" w14:paraId="64BD1F8F" w14:textId="77777777">
            <w:pPr>
              <w:rPr>
                <w:rFonts w:ascii="Verdana" w:hAnsi="Verdana" w:cs="Arial"/>
                <w:sz w:val="18"/>
                <w:szCs w:val="18"/>
              </w:rPr>
            </w:pPr>
            <w:r w:rsidRPr="00C140A0">
              <w:rPr>
                <w:rFonts w:ascii="Verdana" w:hAnsi="Verdana" w:cs="Arial"/>
                <w:sz w:val="18"/>
                <w:szCs w:val="18"/>
              </w:rPr>
              <w:t>Número de municipio energéticos implementados</w:t>
            </w:r>
          </w:p>
        </w:tc>
        <w:tc>
          <w:tcPr>
            <w:tcW w:w="895" w:type="dxa"/>
            <w:tcMar/>
            <w:vAlign w:val="center"/>
          </w:tcPr>
          <w:p w:rsidRPr="00C140A0" w:rsidR="00F47CA0" w:rsidP="004C1932" w:rsidRDefault="00F47CA0" w14:paraId="46709CD9" w14:textId="77777777">
            <w:pPr>
              <w:jc w:val="center"/>
              <w:rPr>
                <w:rFonts w:ascii="Verdana" w:hAnsi="Verdana" w:cs="Arial"/>
                <w:sz w:val="18"/>
                <w:szCs w:val="18"/>
              </w:rPr>
            </w:pPr>
            <w:r w:rsidRPr="00C140A0">
              <w:rPr>
                <w:rFonts w:ascii="Verdana" w:hAnsi="Verdana" w:cs="Arial"/>
                <w:sz w:val="18"/>
                <w:szCs w:val="18"/>
              </w:rPr>
              <w:t>40</w:t>
            </w:r>
          </w:p>
        </w:tc>
        <w:tc>
          <w:tcPr>
            <w:tcW w:w="1056" w:type="dxa"/>
            <w:tcMar/>
            <w:vAlign w:val="center"/>
          </w:tcPr>
          <w:p w:rsidRPr="00C140A0" w:rsidR="00F47CA0" w:rsidP="004C1932" w:rsidRDefault="00F47CA0" w14:paraId="693DF9E3" w14:textId="77777777">
            <w:pPr>
              <w:jc w:val="center"/>
              <w:rPr>
                <w:rFonts w:ascii="Verdana" w:hAnsi="Verdana" w:cs="Arial"/>
                <w:sz w:val="18"/>
                <w:szCs w:val="18"/>
              </w:rPr>
            </w:pPr>
            <w:r w:rsidRPr="00C140A0">
              <w:rPr>
                <w:rFonts w:ascii="Verdana" w:hAnsi="Verdana" w:cs="Arial"/>
                <w:sz w:val="18"/>
                <w:szCs w:val="18"/>
              </w:rPr>
              <w:t>15</w:t>
            </w:r>
          </w:p>
        </w:tc>
        <w:tc>
          <w:tcPr>
            <w:tcW w:w="923" w:type="dxa"/>
            <w:tcMar/>
            <w:vAlign w:val="center"/>
          </w:tcPr>
          <w:p w:rsidRPr="00C140A0" w:rsidR="00F47CA0" w:rsidP="004C1932" w:rsidRDefault="00F47CA0" w14:paraId="09A85721" w14:textId="77777777">
            <w:pPr>
              <w:jc w:val="center"/>
              <w:rPr>
                <w:rFonts w:ascii="Verdana" w:hAnsi="Verdana" w:cs="Arial"/>
                <w:sz w:val="18"/>
                <w:szCs w:val="18"/>
              </w:rPr>
            </w:pPr>
            <w:r w:rsidRPr="00C140A0">
              <w:rPr>
                <w:rFonts w:ascii="Verdana" w:hAnsi="Verdana" w:cs="Arial"/>
                <w:sz w:val="18"/>
                <w:szCs w:val="18"/>
              </w:rPr>
              <w:t>30</w:t>
            </w:r>
          </w:p>
        </w:tc>
        <w:tc>
          <w:tcPr>
            <w:tcW w:w="1564" w:type="dxa"/>
            <w:tcMar/>
            <w:vAlign w:val="center"/>
          </w:tcPr>
          <w:p w:rsidRPr="00C140A0" w:rsidR="00F47CA0" w:rsidP="004C1932" w:rsidRDefault="00F47CA0" w14:paraId="1A23426A" w14:textId="77777777">
            <w:pPr>
              <w:jc w:val="center"/>
              <w:rPr>
                <w:rFonts w:ascii="Verdana" w:hAnsi="Verdana" w:cs="Arial"/>
                <w:sz w:val="18"/>
                <w:szCs w:val="18"/>
              </w:rPr>
            </w:pPr>
            <w:r w:rsidRPr="00C140A0">
              <w:rPr>
                <w:rFonts w:ascii="Verdana" w:hAnsi="Verdana" w:cs="Arial"/>
                <w:sz w:val="18"/>
                <w:szCs w:val="18"/>
              </w:rPr>
              <w:t>7</w:t>
            </w:r>
          </w:p>
        </w:tc>
      </w:tr>
    </w:tbl>
    <w:p w:rsidRPr="00C140A0" w:rsidR="00EA5016" w:rsidP="004C1932" w:rsidRDefault="43ED33FE" w14:paraId="0109C678" w14:textId="77777777">
      <w:pPr>
        <w:spacing w:after="0" w:line="360" w:lineRule="auto"/>
        <w:jc w:val="center"/>
        <w:rPr>
          <w:rFonts w:ascii="Verdana" w:hAnsi="Verdana" w:cs="Arial"/>
          <w:sz w:val="18"/>
          <w:szCs w:val="18"/>
        </w:rPr>
      </w:pPr>
      <w:r w:rsidRPr="180099B3">
        <w:rPr>
          <w:rFonts w:ascii="Verdana" w:hAnsi="Verdana" w:cs="Arial"/>
          <w:sz w:val="18"/>
          <w:szCs w:val="18"/>
        </w:rPr>
        <w:t xml:space="preserve">Fuente: Elaboración propia </w:t>
      </w:r>
      <w:r w:rsidRPr="180099B3" w:rsidR="17D04B5A">
        <w:rPr>
          <w:rFonts w:ascii="Verdana" w:hAnsi="Verdana" w:cs="Arial"/>
          <w:sz w:val="18"/>
          <w:szCs w:val="18"/>
        </w:rPr>
        <w:t xml:space="preserve">OPGI- </w:t>
      </w:r>
      <w:r w:rsidRPr="180099B3">
        <w:rPr>
          <w:rFonts w:ascii="Verdana" w:hAnsi="Verdana" w:cs="Arial"/>
          <w:sz w:val="18"/>
          <w:szCs w:val="18"/>
        </w:rPr>
        <w:t>MME, 31 de marzo 2026.</w:t>
      </w:r>
    </w:p>
    <w:p w:rsidR="0081023B" w:rsidP="00D94015" w:rsidRDefault="0081023B" w14:paraId="6F0F9B32" w14:textId="77777777">
      <w:pPr>
        <w:spacing w:after="0" w:line="360" w:lineRule="auto"/>
        <w:jc w:val="both"/>
        <w:rPr>
          <w:rFonts w:ascii="Verdana" w:hAnsi="Verdana" w:cs="Arial"/>
          <w:sz w:val="24"/>
          <w:szCs w:val="24"/>
        </w:rPr>
      </w:pPr>
    </w:p>
    <w:p w:rsidRPr="00C140A0" w:rsidR="002203BA" w:rsidP="00D94015" w:rsidRDefault="002203BA" w14:paraId="44C1B072" w14:textId="40669FD5">
      <w:pPr>
        <w:spacing w:after="0" w:line="360" w:lineRule="auto"/>
        <w:jc w:val="both"/>
        <w:rPr>
          <w:rFonts w:ascii="Verdana" w:hAnsi="Verdana" w:cs="Arial"/>
          <w:sz w:val="24"/>
          <w:szCs w:val="24"/>
        </w:rPr>
      </w:pPr>
      <w:r w:rsidRPr="30CF4445" w:rsidR="5A5335E8">
        <w:rPr>
          <w:rFonts w:ascii="Verdana" w:hAnsi="Verdana" w:cs="Arial"/>
          <w:sz w:val="24"/>
          <w:szCs w:val="24"/>
        </w:rPr>
        <w:t>Frente a los principales logros realizados durante este per</w:t>
      </w:r>
      <w:r w:rsidRPr="30CF4445" w:rsidR="7DF16862">
        <w:rPr>
          <w:rFonts w:ascii="Verdana" w:hAnsi="Verdana" w:cs="Arial"/>
          <w:sz w:val="24"/>
          <w:szCs w:val="24"/>
        </w:rPr>
        <w:t>i</w:t>
      </w:r>
      <w:r w:rsidRPr="30CF4445" w:rsidR="5A5335E8">
        <w:rPr>
          <w:rFonts w:ascii="Verdana" w:hAnsi="Verdana" w:cs="Arial"/>
          <w:sz w:val="24"/>
          <w:szCs w:val="24"/>
        </w:rPr>
        <w:t xml:space="preserve">odo de tiempo, se contemplan los siguientes: </w:t>
      </w:r>
    </w:p>
    <w:p w:rsidRPr="00C140A0" w:rsidR="002203BA" w:rsidRDefault="002203BA" w14:paraId="559ADE5A" w14:textId="77777777">
      <w:pPr>
        <w:pStyle w:val="Prrafodelista"/>
        <w:numPr>
          <w:ilvl w:val="0"/>
          <w:numId w:val="69"/>
        </w:numPr>
        <w:spacing w:after="0" w:line="360" w:lineRule="auto"/>
        <w:ind w:left="709" w:hanging="425"/>
        <w:jc w:val="both"/>
        <w:rPr>
          <w:rFonts w:ascii="Verdana" w:hAnsi="Verdana" w:cs="Arial"/>
          <w:sz w:val="24"/>
          <w:szCs w:val="24"/>
        </w:rPr>
      </w:pPr>
      <w:r w:rsidRPr="00C140A0">
        <w:rPr>
          <w:rFonts w:ascii="Verdana" w:hAnsi="Verdana" w:cs="Arial"/>
          <w:sz w:val="24"/>
          <w:szCs w:val="24"/>
        </w:rPr>
        <w:t>Se trabajó en la creación de la primera comunidad energética para el corregimiento de El Plateado, municipio de Argelia (Cauca) para beneficiar a aproximadamente 450 familias.</w:t>
      </w:r>
    </w:p>
    <w:p w:rsidRPr="00C140A0" w:rsidR="002203BA" w:rsidRDefault="002203BA" w14:paraId="315113D7" w14:textId="77777777">
      <w:pPr>
        <w:pStyle w:val="Prrafodelista"/>
        <w:numPr>
          <w:ilvl w:val="0"/>
          <w:numId w:val="69"/>
        </w:numPr>
        <w:spacing w:after="0" w:line="360" w:lineRule="auto"/>
        <w:ind w:left="709" w:hanging="425"/>
        <w:jc w:val="both"/>
        <w:rPr>
          <w:rFonts w:ascii="Verdana" w:hAnsi="Verdana" w:cs="Arial"/>
          <w:sz w:val="24"/>
          <w:szCs w:val="24"/>
        </w:rPr>
      </w:pPr>
      <w:r w:rsidRPr="00C140A0">
        <w:rPr>
          <w:rFonts w:ascii="Verdana" w:hAnsi="Verdana" w:cs="Arial"/>
          <w:sz w:val="24"/>
          <w:szCs w:val="24"/>
        </w:rPr>
        <w:t xml:space="preserve">Se realizó mesa de trabajo con Organizaciones Sociales de Caquetá (Coordinadora Departamental de Organizaciones Sociales, </w:t>
      </w:r>
      <w:r w:rsidRPr="00C140A0">
        <w:rPr>
          <w:rFonts w:ascii="Verdana" w:hAnsi="Verdana" w:cs="Arial"/>
          <w:sz w:val="24"/>
          <w:szCs w:val="24"/>
        </w:rPr>
        <w:t>Ambientales y Campesinas del Caquetá), en la que se presentó la Estrategia de Comunidades Energéticas, los avances en los municipios de interés y se definió una ruta de trabajo con las comunidades que representan.</w:t>
      </w:r>
    </w:p>
    <w:p w:rsidRPr="00C140A0" w:rsidR="002203BA" w:rsidRDefault="002203BA" w14:paraId="0E72DD39" w14:textId="7056B735">
      <w:pPr>
        <w:pStyle w:val="Prrafodelista"/>
        <w:numPr>
          <w:ilvl w:val="0"/>
          <w:numId w:val="69"/>
        </w:numPr>
        <w:spacing w:after="0" w:line="360" w:lineRule="auto"/>
        <w:ind w:left="709" w:hanging="425"/>
        <w:jc w:val="both"/>
        <w:rPr>
          <w:rFonts w:ascii="Verdana" w:hAnsi="Verdana" w:cs="Arial"/>
          <w:sz w:val="24"/>
          <w:szCs w:val="24"/>
        </w:rPr>
      </w:pPr>
      <w:r w:rsidRPr="00C140A0">
        <w:rPr>
          <w:rFonts w:ascii="Verdana" w:hAnsi="Verdana" w:cs="Arial"/>
          <w:sz w:val="24"/>
          <w:szCs w:val="24"/>
        </w:rPr>
        <w:t xml:space="preserve">Se realizó mesa de trabajo con el comité de impulso de la mesa de víctimas de El Salado, proceso priorizado dentro de la Estrategia de Comunidades Energéticas en el departamento de Bolívar. La visita se realizó en atención a requerimiento realizado por la </w:t>
      </w:r>
      <w:r w:rsidR="00CA29FC">
        <w:rPr>
          <w:rFonts w:ascii="Verdana" w:hAnsi="Verdana" w:cs="Arial"/>
          <w:sz w:val="24"/>
          <w:szCs w:val="24"/>
        </w:rPr>
        <w:t>P</w:t>
      </w:r>
      <w:r w:rsidRPr="00C140A0">
        <w:rPr>
          <w:rFonts w:ascii="Verdana" w:hAnsi="Verdana" w:cs="Arial"/>
          <w:sz w:val="24"/>
          <w:szCs w:val="24"/>
        </w:rPr>
        <w:t>residencia por medio de comunicación oficial al Ministerio de Minas y Energía. La visita se realizó del 27 al 28 de marzo</w:t>
      </w:r>
      <w:r w:rsidR="00C01B6C">
        <w:rPr>
          <w:rFonts w:ascii="Verdana" w:hAnsi="Verdana" w:cs="Arial"/>
          <w:sz w:val="24"/>
          <w:szCs w:val="24"/>
        </w:rPr>
        <w:t xml:space="preserve"> de 2026</w:t>
      </w:r>
      <w:r w:rsidRPr="00C140A0">
        <w:rPr>
          <w:rFonts w:ascii="Verdana" w:hAnsi="Verdana" w:cs="Arial"/>
          <w:sz w:val="24"/>
          <w:szCs w:val="24"/>
        </w:rPr>
        <w:t>.</w:t>
      </w:r>
    </w:p>
    <w:p w:rsidRPr="00C140A0" w:rsidR="002203BA" w:rsidRDefault="002203BA" w14:paraId="679D9D6F" w14:textId="0F27942D">
      <w:pPr>
        <w:pStyle w:val="Prrafodelista"/>
        <w:numPr>
          <w:ilvl w:val="0"/>
          <w:numId w:val="69"/>
        </w:numPr>
        <w:spacing w:after="0" w:line="360" w:lineRule="auto"/>
        <w:ind w:left="709" w:hanging="425"/>
        <w:jc w:val="both"/>
        <w:rPr>
          <w:rFonts w:ascii="Verdana" w:hAnsi="Verdana" w:cs="Arial"/>
          <w:sz w:val="24"/>
          <w:szCs w:val="24"/>
        </w:rPr>
      </w:pPr>
      <w:r w:rsidRPr="30CF4445" w:rsidR="5A5335E8">
        <w:rPr>
          <w:rFonts w:ascii="Verdana" w:hAnsi="Verdana" w:cs="Arial"/>
          <w:sz w:val="24"/>
          <w:szCs w:val="24"/>
        </w:rPr>
        <w:t>Se realizaron jornadas en Bogotá (25</w:t>
      </w:r>
      <w:r w:rsidRPr="30CF4445" w:rsidR="06A991D3">
        <w:rPr>
          <w:rFonts w:ascii="Verdana" w:hAnsi="Verdana" w:cs="Arial"/>
          <w:sz w:val="24"/>
          <w:szCs w:val="24"/>
        </w:rPr>
        <w:t xml:space="preserve"> de</w:t>
      </w:r>
      <w:r w:rsidRPr="30CF4445" w:rsidR="5A5335E8">
        <w:rPr>
          <w:rFonts w:ascii="Verdana" w:hAnsi="Verdana" w:cs="Arial"/>
          <w:sz w:val="24"/>
          <w:szCs w:val="24"/>
        </w:rPr>
        <w:t xml:space="preserve"> marzo</w:t>
      </w:r>
      <w:r w:rsidRPr="30CF4445" w:rsidR="73A525CC">
        <w:rPr>
          <w:rFonts w:ascii="Verdana" w:hAnsi="Verdana" w:cs="Arial"/>
          <w:sz w:val="24"/>
          <w:szCs w:val="24"/>
        </w:rPr>
        <w:t xml:space="preserve"> de 2026</w:t>
      </w:r>
      <w:r w:rsidRPr="30CF4445" w:rsidR="5A5335E8">
        <w:rPr>
          <w:rFonts w:ascii="Verdana" w:hAnsi="Verdana" w:cs="Arial"/>
          <w:sz w:val="24"/>
          <w:szCs w:val="24"/>
        </w:rPr>
        <w:t>) y Cali (26</w:t>
      </w:r>
      <w:r w:rsidRPr="30CF4445" w:rsidR="4B4243F6">
        <w:rPr>
          <w:rFonts w:ascii="Verdana" w:hAnsi="Verdana" w:cs="Arial"/>
          <w:sz w:val="24"/>
          <w:szCs w:val="24"/>
        </w:rPr>
        <w:t xml:space="preserve"> de</w:t>
      </w:r>
      <w:r w:rsidRPr="30CF4445" w:rsidR="5A5335E8">
        <w:rPr>
          <w:rFonts w:ascii="Verdana" w:hAnsi="Verdana" w:cs="Arial"/>
          <w:sz w:val="24"/>
          <w:szCs w:val="24"/>
        </w:rPr>
        <w:t xml:space="preserve"> marzo</w:t>
      </w:r>
      <w:r w:rsidRPr="30CF4445" w:rsidR="28925A58">
        <w:rPr>
          <w:rFonts w:ascii="Verdana" w:hAnsi="Verdana" w:cs="Arial"/>
          <w:sz w:val="24"/>
          <w:szCs w:val="24"/>
        </w:rPr>
        <w:t xml:space="preserve"> de</w:t>
      </w:r>
      <w:r w:rsidRPr="30CF4445" w:rsidR="73A525CC">
        <w:rPr>
          <w:rFonts w:ascii="Verdana" w:hAnsi="Verdana" w:cs="Arial"/>
          <w:sz w:val="24"/>
          <w:szCs w:val="24"/>
        </w:rPr>
        <w:t xml:space="preserve"> 2026</w:t>
      </w:r>
      <w:r w:rsidRPr="30CF4445" w:rsidR="5A5335E8">
        <w:rPr>
          <w:rFonts w:ascii="Verdana" w:hAnsi="Verdana" w:cs="Arial"/>
          <w:sz w:val="24"/>
          <w:szCs w:val="24"/>
        </w:rPr>
        <w:t>) por parte de la CREG, en donde se discutió y socializó la regulación de Comunidades Energéticas y su integración con el Decreto 1403 de 2024 de Autogeneración Remota y productor marginal en el marco de la circular CREG 136 DE 2025.</w:t>
      </w:r>
    </w:p>
    <w:p w:rsidRPr="00C140A0" w:rsidR="002203BA" w:rsidRDefault="002203BA" w14:paraId="24ADA157" w14:textId="77777777">
      <w:pPr>
        <w:pStyle w:val="Prrafodelista"/>
        <w:numPr>
          <w:ilvl w:val="0"/>
          <w:numId w:val="69"/>
        </w:numPr>
        <w:spacing w:after="0" w:line="360" w:lineRule="auto"/>
        <w:ind w:left="709" w:hanging="425"/>
        <w:jc w:val="both"/>
        <w:rPr>
          <w:rFonts w:ascii="Verdana" w:hAnsi="Verdana" w:cs="Arial"/>
          <w:sz w:val="24"/>
          <w:szCs w:val="24"/>
        </w:rPr>
      </w:pPr>
      <w:r w:rsidRPr="00C140A0">
        <w:rPr>
          <w:rFonts w:ascii="Verdana" w:hAnsi="Verdana" w:cs="Arial"/>
          <w:sz w:val="24"/>
          <w:szCs w:val="24"/>
        </w:rPr>
        <w:t xml:space="preserve">Continúan en implementación (obras en desarrollo) los 6 Territorios </w:t>
      </w:r>
      <w:r w:rsidRPr="00C140A0" w:rsidR="00C140A0">
        <w:rPr>
          <w:rFonts w:ascii="Verdana" w:hAnsi="Verdana" w:cs="Arial"/>
          <w:sz w:val="24"/>
          <w:szCs w:val="24"/>
        </w:rPr>
        <w:t>Energéticos financiados</w:t>
      </w:r>
      <w:r w:rsidRPr="00C140A0">
        <w:rPr>
          <w:rFonts w:ascii="Verdana" w:hAnsi="Verdana" w:cs="Arial"/>
          <w:sz w:val="24"/>
          <w:szCs w:val="24"/>
        </w:rPr>
        <w:t xml:space="preserve"> a través de FENOGE por medio del proyecto Energía Solar para Población Vulnerable (Tierralta – Córdoba, Arroyohondo – Bolívar, San Antonio De Palmito – Sucre, Maicao - La Guajira, Repelón – Atlántico, Pailitas - Cesar). </w:t>
      </w:r>
    </w:p>
    <w:p w:rsidRPr="00C140A0" w:rsidR="002203BA" w:rsidRDefault="002203BA" w14:paraId="34133D4E" w14:textId="0A60C855">
      <w:pPr>
        <w:pStyle w:val="Prrafodelista"/>
        <w:numPr>
          <w:ilvl w:val="0"/>
          <w:numId w:val="69"/>
        </w:numPr>
        <w:spacing w:after="0" w:line="360" w:lineRule="auto"/>
        <w:ind w:left="709" w:hanging="425"/>
        <w:jc w:val="both"/>
        <w:rPr>
          <w:rFonts w:ascii="Verdana" w:hAnsi="Verdana" w:cs="Arial"/>
          <w:sz w:val="24"/>
          <w:szCs w:val="24"/>
        </w:rPr>
      </w:pPr>
      <w:r w:rsidRPr="30CF4445" w:rsidR="5A5335E8">
        <w:rPr>
          <w:rFonts w:ascii="Verdana" w:hAnsi="Verdana" w:cs="Arial"/>
          <w:sz w:val="24"/>
          <w:szCs w:val="24"/>
        </w:rPr>
        <w:t>Se avanzan en los análisis de factibilidad de ocho</w:t>
      </w:r>
      <w:r w:rsidRPr="30CF4445" w:rsidR="767C2DC3">
        <w:rPr>
          <w:rFonts w:ascii="Verdana" w:hAnsi="Verdana" w:cs="Arial"/>
          <w:sz w:val="24"/>
          <w:szCs w:val="24"/>
        </w:rPr>
        <w:t xml:space="preserve"> </w:t>
      </w:r>
      <w:r w:rsidRPr="30CF4445" w:rsidR="5A5335E8">
        <w:rPr>
          <w:rFonts w:ascii="Verdana" w:hAnsi="Verdana" w:cs="Arial"/>
          <w:sz w:val="24"/>
          <w:szCs w:val="24"/>
        </w:rPr>
        <w:t>(8) municipios que serán beneficiarios de la implementarán de proyectos energéticos</w:t>
      </w:r>
      <w:r w:rsidRPr="30CF4445" w:rsidR="5BA17F61">
        <w:rPr>
          <w:rFonts w:ascii="Verdana" w:hAnsi="Verdana" w:cs="Arial"/>
          <w:sz w:val="24"/>
          <w:szCs w:val="24"/>
        </w:rPr>
        <w:t xml:space="preserve"> a</w:t>
      </w:r>
      <w:r w:rsidRPr="30CF4445" w:rsidR="5A5335E8">
        <w:rPr>
          <w:rFonts w:ascii="Verdana" w:hAnsi="Verdana" w:cs="Arial"/>
          <w:sz w:val="24"/>
          <w:szCs w:val="24"/>
        </w:rPr>
        <w:t xml:space="preserve"> través de FENOGE por medio del proyecto Energía Solar para Población Vulnerable. Teniendo en cuenta que, se beneficiarán 14 municipios en total correspondientes a la Región Caribe. </w:t>
      </w:r>
    </w:p>
    <w:p w:rsidRPr="00C140A0" w:rsidR="002203BA" w:rsidRDefault="002203BA" w14:paraId="6123A3BD" w14:textId="77777777">
      <w:pPr>
        <w:pStyle w:val="Prrafodelista"/>
        <w:numPr>
          <w:ilvl w:val="0"/>
          <w:numId w:val="69"/>
        </w:numPr>
        <w:spacing w:after="0" w:line="360" w:lineRule="auto"/>
        <w:ind w:left="709" w:hanging="425"/>
        <w:jc w:val="both"/>
        <w:rPr>
          <w:rFonts w:ascii="Verdana" w:hAnsi="Verdana" w:cs="Arial"/>
          <w:sz w:val="24"/>
          <w:szCs w:val="24"/>
        </w:rPr>
      </w:pPr>
      <w:r w:rsidRPr="00C140A0">
        <w:rPr>
          <w:rFonts w:ascii="Verdana" w:hAnsi="Verdana" w:cs="Arial"/>
          <w:sz w:val="24"/>
          <w:szCs w:val="24"/>
        </w:rPr>
        <w:t>Se estructuró la metodología de focalización y priorización de Municipios y Territorios Energéticos, insumo fundamental para la selección de los beneficiarios de recursos PGN de la estrategia en 2025.</w:t>
      </w:r>
    </w:p>
    <w:p w:rsidRPr="00C140A0" w:rsidR="002203BA" w:rsidRDefault="002203BA" w14:paraId="2F4D71A9" w14:textId="77777777">
      <w:pPr>
        <w:pStyle w:val="Prrafodelista"/>
        <w:numPr>
          <w:ilvl w:val="0"/>
          <w:numId w:val="69"/>
        </w:numPr>
        <w:spacing w:after="0" w:line="360" w:lineRule="auto"/>
        <w:ind w:left="709" w:hanging="425"/>
        <w:jc w:val="both"/>
        <w:rPr>
          <w:rFonts w:ascii="Verdana" w:hAnsi="Verdana" w:cs="Arial"/>
          <w:sz w:val="24"/>
          <w:szCs w:val="24"/>
        </w:rPr>
      </w:pPr>
      <w:r w:rsidRPr="00C140A0">
        <w:rPr>
          <w:rFonts w:ascii="Verdana" w:hAnsi="Verdana" w:cs="Arial"/>
          <w:sz w:val="24"/>
          <w:szCs w:val="24"/>
        </w:rPr>
        <w:t>De acuerdo con el conteo realizado, el departamento de La Guajira presenta la mayor concentración de comunidades energéticas del país, con 161 comunidades registradas, principalmente en el municipio de Uribia y, en menor medida, en Manaure, Riohacha y Albania. Esta alta participación se explica por la amplia presencia de comunidades indígenas Wayuu y por la priorización del territorio en estrategias de transición energética y acceso universal a la energía.</w:t>
      </w:r>
    </w:p>
    <w:p w:rsidRPr="00C140A0" w:rsidR="002203BA" w:rsidRDefault="002203BA" w14:paraId="490E3EBB" w14:textId="77777777">
      <w:pPr>
        <w:pStyle w:val="Prrafodelista"/>
        <w:numPr>
          <w:ilvl w:val="0"/>
          <w:numId w:val="69"/>
        </w:numPr>
        <w:spacing w:after="0" w:line="360" w:lineRule="auto"/>
        <w:ind w:left="709" w:hanging="425"/>
        <w:jc w:val="both"/>
        <w:rPr>
          <w:rFonts w:ascii="Verdana" w:hAnsi="Verdana" w:cs="Arial"/>
          <w:sz w:val="24"/>
          <w:szCs w:val="24"/>
        </w:rPr>
      </w:pPr>
      <w:r w:rsidRPr="00C140A0">
        <w:rPr>
          <w:rFonts w:ascii="Verdana" w:hAnsi="Verdana" w:cs="Arial"/>
          <w:sz w:val="24"/>
          <w:szCs w:val="24"/>
        </w:rPr>
        <w:t>El departamento de Chocó cuenta con 39 comunidades energéticas, distribuidas en municipios como Quibdó, El Litoral del San Juan, Riosucio, Tadó, Acandí y Medio San Juan. Estas comunidades se concentran especialmente en instituciones educativas rurales, consejos comunitarios y resguardos indígenas, reflejando un enfoque territorial y diferencial.</w:t>
      </w:r>
    </w:p>
    <w:p w:rsidRPr="00C140A0" w:rsidR="002203BA" w:rsidRDefault="002203BA" w14:paraId="428959B6" w14:textId="77777777">
      <w:pPr>
        <w:pStyle w:val="Prrafodelista"/>
        <w:numPr>
          <w:ilvl w:val="0"/>
          <w:numId w:val="69"/>
        </w:numPr>
        <w:spacing w:after="0" w:line="360" w:lineRule="auto"/>
        <w:ind w:left="709" w:hanging="425"/>
        <w:jc w:val="both"/>
        <w:rPr>
          <w:rFonts w:ascii="Verdana" w:hAnsi="Verdana" w:cs="Arial"/>
          <w:sz w:val="24"/>
          <w:szCs w:val="24"/>
        </w:rPr>
      </w:pPr>
      <w:r w:rsidRPr="00C140A0">
        <w:rPr>
          <w:rFonts w:ascii="Verdana" w:hAnsi="Verdana" w:cs="Arial"/>
          <w:sz w:val="24"/>
          <w:szCs w:val="24"/>
        </w:rPr>
        <w:t>En Antioquia se identifican 16 comunidades energéticas implementadas, localizadas tanto en áreas urbanas (principalmente Medellín y su área metropolitana) como en municipios rurales como Carepa, Tarazá, Betania, Venecia y Puerto Nare. La diversidad de tipologías incluye comunidades educativas, hospitalarias, rurales y urbanas.</w:t>
      </w:r>
    </w:p>
    <w:p w:rsidRPr="00C140A0" w:rsidR="002203BA" w:rsidRDefault="002203BA" w14:paraId="2A43636D" w14:textId="77777777">
      <w:pPr>
        <w:pStyle w:val="Prrafodelista"/>
        <w:numPr>
          <w:ilvl w:val="0"/>
          <w:numId w:val="69"/>
        </w:numPr>
        <w:spacing w:after="0" w:line="360" w:lineRule="auto"/>
        <w:ind w:left="709" w:hanging="283"/>
        <w:jc w:val="both"/>
        <w:rPr>
          <w:rFonts w:ascii="Verdana" w:hAnsi="Verdana" w:cs="Arial"/>
          <w:sz w:val="24"/>
          <w:szCs w:val="24"/>
        </w:rPr>
      </w:pPr>
      <w:r w:rsidRPr="00C140A0">
        <w:rPr>
          <w:rFonts w:ascii="Verdana" w:hAnsi="Verdana" w:cs="Arial"/>
          <w:sz w:val="24"/>
          <w:szCs w:val="24"/>
        </w:rPr>
        <w:t>El departamento del Meta registra 34 comunidades energéticas implementadas, con una fuerte concentración en el municipio de Granada y presencia adicional en Villavicencio, Acacías y San Juan de Arama. Predominan las comunidades energéticas educativas y rurales, lo que evidencia una estrategia de cobertura institucional y territorial.</w:t>
      </w:r>
    </w:p>
    <w:p w:rsidRPr="00C140A0" w:rsidR="002203BA" w:rsidRDefault="002203BA" w14:paraId="764A0AEF" w14:textId="77777777">
      <w:pPr>
        <w:pStyle w:val="Prrafodelista"/>
        <w:numPr>
          <w:ilvl w:val="0"/>
          <w:numId w:val="69"/>
        </w:numPr>
        <w:spacing w:after="0" w:line="360" w:lineRule="auto"/>
        <w:ind w:left="709" w:hanging="425"/>
        <w:jc w:val="both"/>
        <w:rPr>
          <w:rFonts w:ascii="Verdana" w:hAnsi="Verdana" w:cs="Arial"/>
          <w:sz w:val="24"/>
          <w:szCs w:val="24"/>
        </w:rPr>
      </w:pPr>
      <w:r w:rsidRPr="00C140A0">
        <w:rPr>
          <w:rFonts w:ascii="Verdana" w:hAnsi="Verdana" w:cs="Arial"/>
          <w:sz w:val="24"/>
          <w:szCs w:val="24"/>
        </w:rPr>
        <w:t>En Putumayo se contabilizan 35 comunidades energéticas, distribuidas principalmente en los municipios de Orito y Puerto Asís, con un énfasis claro en instituciones educativas rurales y etno-educativas, así como en comunidades campesinas e indígenas.</w:t>
      </w:r>
    </w:p>
    <w:p w:rsidRPr="00C140A0" w:rsidR="002203BA" w:rsidRDefault="002203BA" w14:paraId="119277D3" w14:textId="77777777">
      <w:pPr>
        <w:pStyle w:val="Prrafodelista"/>
        <w:numPr>
          <w:ilvl w:val="0"/>
          <w:numId w:val="69"/>
        </w:numPr>
        <w:spacing w:after="0" w:line="360" w:lineRule="auto"/>
        <w:ind w:left="709" w:hanging="425"/>
        <w:jc w:val="both"/>
        <w:rPr>
          <w:rFonts w:ascii="Verdana" w:hAnsi="Verdana" w:cs="Arial"/>
          <w:sz w:val="24"/>
          <w:szCs w:val="24"/>
        </w:rPr>
      </w:pPr>
      <w:r w:rsidRPr="00C140A0">
        <w:rPr>
          <w:rFonts w:ascii="Verdana" w:hAnsi="Verdana" w:cs="Arial"/>
          <w:sz w:val="24"/>
          <w:szCs w:val="24"/>
        </w:rPr>
        <w:t>El Valle del Cauca cuenta con más de 17 comunidades energéticas, concentradas en Buenaventura, Cali, Jamundí, Ansermanuevo, Riofrío y otros municipios, con una participación destacada de consejos comunitarios afrodescendientes y comunidades energéticas de salud.</w:t>
      </w:r>
    </w:p>
    <w:p w:rsidRPr="00C140A0" w:rsidR="002203BA" w:rsidRDefault="002203BA" w14:paraId="3B0B9D03" w14:textId="77777777">
      <w:pPr>
        <w:pStyle w:val="Prrafodelista"/>
        <w:numPr>
          <w:ilvl w:val="0"/>
          <w:numId w:val="69"/>
        </w:numPr>
        <w:spacing w:after="0" w:line="360" w:lineRule="auto"/>
        <w:ind w:left="709" w:hanging="425"/>
        <w:jc w:val="both"/>
        <w:rPr>
          <w:rFonts w:ascii="Verdana" w:hAnsi="Verdana" w:cs="Arial"/>
          <w:sz w:val="24"/>
          <w:szCs w:val="24"/>
        </w:rPr>
      </w:pPr>
      <w:r w:rsidRPr="00C140A0">
        <w:rPr>
          <w:rFonts w:ascii="Verdana" w:hAnsi="Verdana" w:cs="Arial"/>
          <w:sz w:val="24"/>
          <w:szCs w:val="24"/>
        </w:rPr>
        <w:t>Por su parte, Risaralda presenta 44 comunidades energéticas, principalmente en el municipio de Pereira y Quinchía, con una fuerte presencia en el sector educativo y rural.</w:t>
      </w:r>
    </w:p>
    <w:p w:rsidRPr="00C140A0" w:rsidR="002203BA" w:rsidRDefault="002203BA" w14:paraId="4793613E" w14:textId="7248262D">
      <w:pPr>
        <w:pStyle w:val="Prrafodelista"/>
        <w:numPr>
          <w:ilvl w:val="0"/>
          <w:numId w:val="69"/>
        </w:numPr>
        <w:spacing w:after="0" w:line="360" w:lineRule="auto"/>
        <w:ind w:left="709" w:hanging="425"/>
        <w:jc w:val="both"/>
        <w:rPr>
          <w:rFonts w:ascii="Verdana" w:hAnsi="Verdana" w:cs="Arial"/>
          <w:sz w:val="24"/>
          <w:szCs w:val="24"/>
        </w:rPr>
      </w:pPr>
      <w:r w:rsidRPr="30CF4445" w:rsidR="5A5335E8">
        <w:rPr>
          <w:rFonts w:ascii="Verdana" w:hAnsi="Verdana" w:cs="Arial"/>
          <w:sz w:val="24"/>
          <w:szCs w:val="24"/>
        </w:rPr>
        <w:t xml:space="preserve">Otros departamentos con participación muy importante incluyen Cesar 20 comunidades energéticas, especialmente asociadas a instituciones educativas y de salud, Magdalena 15 comunidades implementadas, Cauca presenta la implementación de 15 comunidades energéticas, 9 de ellas pertenecientes a comunidades Afrodescendientes, 3 a comunidades indígenas, 2 comunidades en general y 1 institución educativa rural,  Bolívar 15 comunidades energéticas, destacando la implementación en territorios rurales, así como, instituciones educativas, instituciones prestadoras de salud y economía popular, por su parte el departamento de Guaviare tiene una implementación de 8 comunidades energéticas, 6 de ellas pertenecen a comunidades indígenas y las 2 restantes son comunidades en general, en el departamento de Sucre se implementaron 8 comunidades energéticas, de las cuales 2 pertenecen a comunidades indígenas, 1 institución educativa rural, 1 comunidad afrodescendiente, 1 comunidad energética de economía popular y 3 comunidades en general, Santander alrededor de 7 comunidades energéticas implementadas, Atlántico presenta la implementación de 6 comunidades energéticas implementadas en el área urbana y municipios aledaños, por otra parte, los departamentos de Córdoba, Cundinamarca, Bogotá D.C. Presentan cada uno de ellos la implementación de 5 comunidades energéticas </w:t>
      </w:r>
      <w:r w:rsidRPr="30CF4445" w:rsidR="5A5335E8">
        <w:rPr>
          <w:rFonts w:ascii="Verdana" w:hAnsi="Verdana" w:cs="Arial"/>
          <w:sz w:val="24"/>
          <w:szCs w:val="24"/>
        </w:rPr>
        <w:t xml:space="preserve">cada uno, Guainía 3 comunidades energéticas, los departamentos de Casanare, Tolima y Vichada presentan una implementación de 2 comunidades energéticas cada uno </w:t>
      </w:r>
      <w:r w:rsidRPr="30CF4445" w:rsidR="79BD5F43">
        <w:rPr>
          <w:rFonts w:ascii="Verdana" w:hAnsi="Verdana" w:cs="Arial"/>
          <w:sz w:val="24"/>
          <w:szCs w:val="24"/>
        </w:rPr>
        <w:t>en</w:t>
      </w:r>
      <w:r w:rsidRPr="30CF4445" w:rsidR="5A5335E8">
        <w:rPr>
          <w:rFonts w:ascii="Verdana" w:hAnsi="Verdana" w:cs="Arial"/>
          <w:sz w:val="24"/>
          <w:szCs w:val="24"/>
        </w:rPr>
        <w:t xml:space="preserve"> distintos municipios y por </w:t>
      </w:r>
      <w:r w:rsidRPr="30CF4445" w:rsidR="46007D00">
        <w:rPr>
          <w:rFonts w:ascii="Verdana" w:hAnsi="Verdana" w:cs="Arial"/>
          <w:sz w:val="24"/>
          <w:szCs w:val="24"/>
        </w:rPr>
        <w:t>ú</w:t>
      </w:r>
      <w:r w:rsidRPr="30CF4445" w:rsidR="5A5335E8">
        <w:rPr>
          <w:rFonts w:ascii="Verdana" w:hAnsi="Verdana" w:cs="Arial"/>
          <w:sz w:val="24"/>
          <w:szCs w:val="24"/>
        </w:rPr>
        <w:t>ltimo los departamentos de Vaupés, Huila, Nariño, Arauca, San Andrés y Providencia, y Quindío presentan la implementación de 1 comunidad energética cada uno.</w:t>
      </w:r>
    </w:p>
    <w:p w:rsidR="0081023B" w:rsidP="00D94015" w:rsidRDefault="0081023B" w14:paraId="7C06699A" w14:textId="77777777">
      <w:pPr>
        <w:spacing w:after="0" w:line="360" w:lineRule="auto"/>
        <w:rPr>
          <w:rFonts w:ascii="Verdana" w:hAnsi="Verdana" w:cs="Arial"/>
          <w:b/>
          <w:bCs/>
          <w:sz w:val="24"/>
          <w:szCs w:val="24"/>
        </w:rPr>
      </w:pPr>
    </w:p>
    <w:p w:rsidR="00C120CB" w:rsidP="00D94015" w:rsidRDefault="00C120CB" w14:paraId="1D0E303C" w14:textId="77777777">
      <w:pPr>
        <w:spacing w:after="0" w:line="360" w:lineRule="auto"/>
        <w:rPr>
          <w:rFonts w:ascii="Verdana" w:hAnsi="Verdana" w:cs="Arial"/>
          <w:b/>
          <w:bCs/>
          <w:sz w:val="24"/>
          <w:szCs w:val="24"/>
        </w:rPr>
      </w:pPr>
      <w:r w:rsidRPr="00C140A0">
        <w:rPr>
          <w:rFonts w:ascii="Verdana" w:hAnsi="Verdana" w:cs="Arial"/>
          <w:b/>
          <w:bCs/>
          <w:sz w:val="24"/>
          <w:szCs w:val="24"/>
        </w:rPr>
        <w:t>FNCER</w:t>
      </w:r>
    </w:p>
    <w:p w:rsidRPr="00C140A0" w:rsidR="00280F0A" w:rsidP="00D94015" w:rsidRDefault="00280F0A" w14:paraId="445D27DE" w14:textId="77777777">
      <w:pPr>
        <w:spacing w:after="0" w:line="360" w:lineRule="auto"/>
        <w:rPr>
          <w:rFonts w:ascii="Verdana" w:hAnsi="Verdana" w:cs="Arial"/>
          <w:b/>
          <w:bCs/>
          <w:sz w:val="24"/>
          <w:szCs w:val="24"/>
        </w:rPr>
      </w:pPr>
    </w:p>
    <w:p w:rsidRPr="00280F0A" w:rsidR="004C1932" w:rsidP="00280F0A" w:rsidRDefault="00EA5A15" w14:paraId="44CF40B9" w14:textId="77777777">
      <w:pPr>
        <w:spacing w:after="0" w:line="240" w:lineRule="auto"/>
        <w:jc w:val="center"/>
        <w:rPr>
          <w:rFonts w:ascii="Verdana" w:hAnsi="Verdana" w:cs="Arial"/>
          <w:sz w:val="18"/>
          <w:szCs w:val="18"/>
        </w:rPr>
      </w:pPr>
      <w:r w:rsidRPr="00C140A0">
        <w:rPr>
          <w:rFonts w:ascii="Verdana" w:hAnsi="Verdana" w:cs="Arial"/>
          <w:sz w:val="18"/>
          <w:szCs w:val="18"/>
        </w:rPr>
        <w:t xml:space="preserve">Tabla </w:t>
      </w:r>
      <w:r w:rsidR="00280F0A">
        <w:rPr>
          <w:rFonts w:ascii="Verdana" w:hAnsi="Verdana" w:cs="Arial"/>
          <w:sz w:val="18"/>
          <w:szCs w:val="18"/>
        </w:rPr>
        <w:t>No. 2</w:t>
      </w:r>
      <w:r w:rsidRPr="00C140A0">
        <w:rPr>
          <w:rFonts w:ascii="Verdana" w:hAnsi="Verdana" w:cs="Arial"/>
          <w:sz w:val="18"/>
          <w:szCs w:val="18"/>
        </w:rPr>
        <w:t>. Avances FNCER PES 2024-2026</w:t>
      </w:r>
    </w:p>
    <w:tbl>
      <w:tblPr>
        <w:tblStyle w:val="Tablaconcuadrcula"/>
        <w:tblW w:w="0" w:type="auto"/>
        <w:tblLook w:val="04A0" w:firstRow="1" w:lastRow="0" w:firstColumn="1" w:lastColumn="0" w:noHBand="0" w:noVBand="1"/>
      </w:tblPr>
      <w:tblGrid>
        <w:gridCol w:w="1783"/>
        <w:gridCol w:w="1784"/>
        <w:gridCol w:w="1574"/>
        <w:gridCol w:w="1200"/>
        <w:gridCol w:w="964"/>
        <w:gridCol w:w="1523"/>
      </w:tblGrid>
      <w:tr w:rsidRPr="00C140A0" w:rsidR="00916365" w:rsidTr="30CF4445" w14:paraId="27696DB2" w14:textId="77777777">
        <w:tc>
          <w:tcPr>
            <w:tcW w:w="1783" w:type="dxa"/>
            <w:shd w:val="clear" w:color="auto" w:fill="A6A6A6" w:themeFill="background1" w:themeFillShade="A6"/>
            <w:tcMar/>
            <w:vAlign w:val="center"/>
          </w:tcPr>
          <w:p w:rsidRPr="00C140A0" w:rsidR="00916365" w:rsidP="0081023B" w:rsidRDefault="00916365" w14:paraId="5DF2C136" w14:textId="77777777">
            <w:pPr>
              <w:jc w:val="center"/>
              <w:rPr>
                <w:rFonts w:ascii="Verdana" w:hAnsi="Verdana" w:cs="Arial"/>
                <w:b/>
                <w:bCs/>
                <w:sz w:val="18"/>
                <w:szCs w:val="18"/>
              </w:rPr>
            </w:pPr>
            <w:r w:rsidRPr="00C140A0">
              <w:rPr>
                <w:rFonts w:ascii="Verdana" w:hAnsi="Verdana" w:cs="Arial"/>
                <w:b/>
                <w:bCs/>
                <w:sz w:val="18"/>
                <w:szCs w:val="18"/>
              </w:rPr>
              <w:t>Indicador</w:t>
            </w:r>
          </w:p>
        </w:tc>
        <w:tc>
          <w:tcPr>
            <w:tcW w:w="1784" w:type="dxa"/>
            <w:shd w:val="clear" w:color="auto" w:fill="A6A6A6" w:themeFill="background1" w:themeFillShade="A6"/>
            <w:tcMar/>
            <w:vAlign w:val="center"/>
          </w:tcPr>
          <w:p w:rsidRPr="00C140A0" w:rsidR="00916365" w:rsidP="0081023B" w:rsidRDefault="00916365" w14:paraId="44EB23D0" w14:textId="3799CBC0">
            <w:pPr>
              <w:jc w:val="center"/>
              <w:rPr>
                <w:rFonts w:ascii="Verdana" w:hAnsi="Verdana" w:cs="Arial"/>
                <w:b w:val="1"/>
                <w:bCs w:val="1"/>
                <w:sz w:val="18"/>
                <w:szCs w:val="18"/>
              </w:rPr>
            </w:pPr>
            <w:r w:rsidRPr="30CF4445" w:rsidR="05959D17">
              <w:rPr>
                <w:rFonts w:ascii="Verdana" w:hAnsi="Verdana" w:cs="Arial"/>
                <w:b w:val="1"/>
                <w:bCs w:val="1"/>
                <w:sz w:val="18"/>
                <w:szCs w:val="18"/>
              </w:rPr>
              <w:t>F</w:t>
            </w:r>
            <w:r w:rsidRPr="30CF4445" w:rsidR="1B70D653">
              <w:rPr>
                <w:rFonts w:ascii="Verdana" w:hAnsi="Verdana" w:cs="Arial"/>
                <w:b w:val="1"/>
                <w:bCs w:val="1"/>
                <w:sz w:val="18"/>
                <w:szCs w:val="18"/>
              </w:rPr>
              <w:t>ó</w:t>
            </w:r>
            <w:r w:rsidRPr="30CF4445" w:rsidR="05959D17">
              <w:rPr>
                <w:rFonts w:ascii="Verdana" w:hAnsi="Verdana" w:cs="Arial"/>
                <w:b w:val="1"/>
                <w:bCs w:val="1"/>
                <w:sz w:val="18"/>
                <w:szCs w:val="18"/>
              </w:rPr>
              <w:t>rmula</w:t>
            </w:r>
          </w:p>
        </w:tc>
        <w:tc>
          <w:tcPr>
            <w:tcW w:w="1574" w:type="dxa"/>
            <w:shd w:val="clear" w:color="auto" w:fill="A6A6A6" w:themeFill="background1" w:themeFillShade="A6"/>
            <w:tcMar/>
            <w:vAlign w:val="center"/>
          </w:tcPr>
          <w:p w:rsidRPr="00C140A0" w:rsidR="00916365" w:rsidP="0081023B" w:rsidRDefault="00916365" w14:paraId="0BC9AB52" w14:textId="77777777">
            <w:pPr>
              <w:jc w:val="center"/>
              <w:rPr>
                <w:rFonts w:ascii="Verdana" w:hAnsi="Verdana" w:cs="Arial"/>
                <w:b/>
                <w:bCs/>
                <w:sz w:val="18"/>
                <w:szCs w:val="18"/>
              </w:rPr>
            </w:pPr>
            <w:r w:rsidRPr="00C140A0">
              <w:rPr>
                <w:rFonts w:ascii="Verdana" w:hAnsi="Verdana" w:cs="Arial"/>
                <w:b/>
                <w:bCs/>
                <w:sz w:val="18"/>
                <w:szCs w:val="18"/>
              </w:rPr>
              <w:t>Meta Cuatrienio</w:t>
            </w:r>
          </w:p>
        </w:tc>
        <w:tc>
          <w:tcPr>
            <w:tcW w:w="1200" w:type="dxa"/>
            <w:shd w:val="clear" w:color="auto" w:fill="A6A6A6" w:themeFill="background1" w:themeFillShade="A6"/>
            <w:tcMar/>
            <w:vAlign w:val="center"/>
          </w:tcPr>
          <w:p w:rsidRPr="00C140A0" w:rsidR="00916365" w:rsidP="0081023B" w:rsidRDefault="00916365" w14:paraId="52BE2A93" w14:textId="77777777">
            <w:pPr>
              <w:jc w:val="center"/>
              <w:rPr>
                <w:rFonts w:ascii="Verdana" w:hAnsi="Verdana" w:cs="Arial"/>
                <w:b/>
                <w:bCs/>
                <w:sz w:val="18"/>
                <w:szCs w:val="18"/>
              </w:rPr>
            </w:pPr>
            <w:r w:rsidRPr="00C140A0">
              <w:rPr>
                <w:rFonts w:ascii="Verdana" w:hAnsi="Verdana" w:cs="Arial"/>
                <w:b/>
                <w:bCs/>
                <w:sz w:val="18"/>
                <w:szCs w:val="18"/>
              </w:rPr>
              <w:t>Meta 2024</w:t>
            </w:r>
          </w:p>
        </w:tc>
        <w:tc>
          <w:tcPr>
            <w:tcW w:w="964" w:type="dxa"/>
            <w:shd w:val="clear" w:color="auto" w:fill="A6A6A6" w:themeFill="background1" w:themeFillShade="A6"/>
            <w:tcMar/>
            <w:vAlign w:val="center"/>
          </w:tcPr>
          <w:p w:rsidRPr="00C140A0" w:rsidR="00916365" w:rsidP="0081023B" w:rsidRDefault="00916365" w14:paraId="647435AC" w14:textId="77777777">
            <w:pPr>
              <w:jc w:val="center"/>
              <w:rPr>
                <w:rFonts w:ascii="Verdana" w:hAnsi="Verdana" w:cs="Arial"/>
                <w:b/>
                <w:bCs/>
                <w:sz w:val="18"/>
                <w:szCs w:val="18"/>
              </w:rPr>
            </w:pPr>
            <w:r w:rsidRPr="00C140A0">
              <w:rPr>
                <w:rFonts w:ascii="Verdana" w:hAnsi="Verdana" w:cs="Arial"/>
                <w:b/>
                <w:bCs/>
                <w:sz w:val="18"/>
                <w:szCs w:val="18"/>
              </w:rPr>
              <w:t>Meta 2025</w:t>
            </w:r>
          </w:p>
        </w:tc>
        <w:tc>
          <w:tcPr>
            <w:tcW w:w="1523" w:type="dxa"/>
            <w:shd w:val="clear" w:color="auto" w:fill="A6A6A6" w:themeFill="background1" w:themeFillShade="A6"/>
            <w:tcMar/>
            <w:vAlign w:val="center"/>
          </w:tcPr>
          <w:p w:rsidRPr="00C140A0" w:rsidR="00916365" w:rsidP="0081023B" w:rsidRDefault="00916365" w14:paraId="593BF361" w14:textId="77777777">
            <w:pPr>
              <w:jc w:val="center"/>
              <w:rPr>
                <w:rFonts w:ascii="Verdana" w:hAnsi="Verdana" w:cs="Arial"/>
                <w:b/>
                <w:bCs/>
                <w:sz w:val="18"/>
                <w:szCs w:val="18"/>
              </w:rPr>
            </w:pPr>
            <w:r w:rsidRPr="00C140A0">
              <w:rPr>
                <w:rFonts w:ascii="Verdana" w:hAnsi="Verdana" w:cs="Arial"/>
                <w:b/>
                <w:bCs/>
                <w:sz w:val="18"/>
                <w:szCs w:val="18"/>
              </w:rPr>
              <w:t>Avance Acumulado</w:t>
            </w:r>
          </w:p>
          <w:p w:rsidRPr="00C140A0" w:rsidR="00916365" w:rsidP="0081023B" w:rsidRDefault="00916365" w14:paraId="6BF4BFA7" w14:textId="77777777">
            <w:pPr>
              <w:jc w:val="center"/>
              <w:rPr>
                <w:rFonts w:ascii="Verdana" w:hAnsi="Verdana" w:cs="Arial"/>
                <w:b/>
                <w:bCs/>
                <w:sz w:val="18"/>
                <w:szCs w:val="18"/>
              </w:rPr>
            </w:pPr>
            <w:r w:rsidRPr="00C140A0">
              <w:rPr>
                <w:rFonts w:ascii="Verdana" w:hAnsi="Verdana" w:cs="Arial"/>
                <w:b/>
                <w:bCs/>
                <w:sz w:val="18"/>
                <w:szCs w:val="18"/>
              </w:rPr>
              <w:t>1° TRIM 2026</w:t>
            </w:r>
          </w:p>
        </w:tc>
      </w:tr>
      <w:tr w:rsidRPr="00C140A0" w:rsidR="00916365" w:rsidTr="30CF4445" w14:paraId="3156F14A" w14:textId="77777777">
        <w:tc>
          <w:tcPr>
            <w:tcW w:w="1783" w:type="dxa"/>
            <w:tcMar/>
            <w:vAlign w:val="center"/>
          </w:tcPr>
          <w:p w:rsidRPr="00C140A0" w:rsidR="00916365" w:rsidP="004C1932" w:rsidRDefault="00916365" w14:paraId="12A1FB3E" w14:textId="77777777">
            <w:pPr>
              <w:rPr>
                <w:rFonts w:ascii="Verdana" w:hAnsi="Verdana" w:cs="Arial"/>
                <w:sz w:val="18"/>
                <w:szCs w:val="18"/>
              </w:rPr>
            </w:pPr>
            <w:r w:rsidRPr="00C140A0">
              <w:rPr>
                <w:rFonts w:ascii="Verdana" w:hAnsi="Verdana" w:cs="Arial"/>
                <w:sz w:val="18"/>
                <w:szCs w:val="18"/>
              </w:rPr>
              <w:t>Nueva capacidad FNCER en la matriz eléctrica del país (En operación y declarada en pruebas)</w:t>
            </w:r>
          </w:p>
        </w:tc>
        <w:tc>
          <w:tcPr>
            <w:tcW w:w="1784" w:type="dxa"/>
            <w:tcMar/>
            <w:vAlign w:val="center"/>
          </w:tcPr>
          <w:p w:rsidRPr="00C140A0" w:rsidR="00916365" w:rsidP="004C1932" w:rsidRDefault="00916365" w14:paraId="6B302820" w14:textId="77777777">
            <w:pPr>
              <w:rPr>
                <w:rFonts w:ascii="Verdana" w:hAnsi="Verdana" w:cs="Arial"/>
                <w:sz w:val="18"/>
                <w:szCs w:val="18"/>
              </w:rPr>
            </w:pPr>
            <w:r w:rsidRPr="00C140A0">
              <w:rPr>
                <w:rFonts w:ascii="Verdana" w:hAnsi="Verdana" w:cs="Arial"/>
                <w:sz w:val="18"/>
                <w:szCs w:val="18"/>
              </w:rPr>
              <w:t>Nueva capacidad FNCER en la matriz eléctrica del país (En operación y declarada en pruebas)</w:t>
            </w:r>
          </w:p>
        </w:tc>
        <w:tc>
          <w:tcPr>
            <w:tcW w:w="1574" w:type="dxa"/>
            <w:tcMar/>
            <w:vAlign w:val="center"/>
          </w:tcPr>
          <w:p w:rsidRPr="00C140A0" w:rsidR="00916365" w:rsidP="00280F0A" w:rsidRDefault="00916365" w14:paraId="31805314" w14:textId="77777777">
            <w:pPr>
              <w:jc w:val="center"/>
              <w:rPr>
                <w:rFonts w:ascii="Verdana" w:hAnsi="Verdana" w:cs="Arial"/>
                <w:sz w:val="18"/>
                <w:szCs w:val="18"/>
              </w:rPr>
            </w:pPr>
            <w:r w:rsidRPr="00C140A0">
              <w:rPr>
                <w:rFonts w:ascii="Verdana" w:hAnsi="Verdana" w:cs="Arial"/>
                <w:sz w:val="18"/>
                <w:szCs w:val="18"/>
              </w:rPr>
              <w:t>6000</w:t>
            </w:r>
          </w:p>
        </w:tc>
        <w:tc>
          <w:tcPr>
            <w:tcW w:w="1200" w:type="dxa"/>
            <w:tcMar/>
            <w:vAlign w:val="center"/>
          </w:tcPr>
          <w:p w:rsidRPr="00C140A0" w:rsidR="00916365" w:rsidP="00280F0A" w:rsidRDefault="00916365" w14:paraId="22FFFF0F" w14:textId="77777777">
            <w:pPr>
              <w:jc w:val="center"/>
              <w:rPr>
                <w:rFonts w:ascii="Verdana" w:hAnsi="Verdana" w:cs="Arial"/>
                <w:sz w:val="18"/>
                <w:szCs w:val="18"/>
              </w:rPr>
            </w:pPr>
            <w:r w:rsidRPr="00C140A0">
              <w:rPr>
                <w:rFonts w:ascii="Verdana" w:hAnsi="Verdana" w:cs="Arial"/>
                <w:sz w:val="18"/>
                <w:szCs w:val="18"/>
              </w:rPr>
              <w:t>2000</w:t>
            </w:r>
          </w:p>
        </w:tc>
        <w:tc>
          <w:tcPr>
            <w:tcW w:w="964" w:type="dxa"/>
            <w:tcMar/>
            <w:vAlign w:val="center"/>
          </w:tcPr>
          <w:p w:rsidRPr="00C140A0" w:rsidR="00916365" w:rsidP="00280F0A" w:rsidRDefault="00916365" w14:paraId="51E89F4A" w14:textId="77777777">
            <w:pPr>
              <w:jc w:val="center"/>
              <w:rPr>
                <w:rFonts w:ascii="Verdana" w:hAnsi="Verdana" w:cs="Arial"/>
                <w:sz w:val="18"/>
                <w:szCs w:val="18"/>
              </w:rPr>
            </w:pPr>
            <w:r w:rsidRPr="00C140A0">
              <w:rPr>
                <w:rFonts w:ascii="Verdana" w:hAnsi="Verdana" w:cs="Arial"/>
                <w:sz w:val="18"/>
                <w:szCs w:val="18"/>
              </w:rPr>
              <w:t>3000</w:t>
            </w:r>
          </w:p>
        </w:tc>
        <w:tc>
          <w:tcPr>
            <w:tcW w:w="1523" w:type="dxa"/>
            <w:tcMar/>
            <w:vAlign w:val="center"/>
          </w:tcPr>
          <w:p w:rsidRPr="00C140A0" w:rsidR="00916365" w:rsidP="00280F0A" w:rsidRDefault="00916365" w14:paraId="6433C69A" w14:textId="77777777">
            <w:pPr>
              <w:jc w:val="center"/>
              <w:rPr>
                <w:rFonts w:ascii="Verdana" w:hAnsi="Verdana" w:cs="Arial"/>
                <w:sz w:val="18"/>
                <w:szCs w:val="18"/>
              </w:rPr>
            </w:pPr>
            <w:r w:rsidRPr="00C140A0">
              <w:rPr>
                <w:rFonts w:ascii="Verdana" w:hAnsi="Verdana" w:cs="Arial"/>
                <w:sz w:val="18"/>
                <w:szCs w:val="18"/>
              </w:rPr>
              <w:t>4.178,32</w:t>
            </w:r>
          </w:p>
        </w:tc>
      </w:tr>
    </w:tbl>
    <w:p w:rsidR="00B809C3" w:rsidP="004C1932" w:rsidRDefault="440E5B54" w14:paraId="6F737A93" w14:textId="77777777">
      <w:pPr>
        <w:spacing w:after="0" w:line="240" w:lineRule="auto"/>
        <w:jc w:val="center"/>
        <w:rPr>
          <w:rFonts w:ascii="Verdana" w:hAnsi="Verdana" w:cs="Arial"/>
          <w:sz w:val="18"/>
          <w:szCs w:val="18"/>
        </w:rPr>
      </w:pPr>
      <w:r w:rsidRPr="180099B3">
        <w:rPr>
          <w:rFonts w:ascii="Verdana" w:hAnsi="Verdana" w:cs="Arial"/>
          <w:sz w:val="18"/>
          <w:szCs w:val="18"/>
        </w:rPr>
        <w:t>Fuente: Elaboración propia</w:t>
      </w:r>
      <w:r w:rsidRPr="180099B3" w:rsidR="26A3E66E">
        <w:rPr>
          <w:rFonts w:ascii="Verdana" w:hAnsi="Verdana" w:cs="Arial"/>
          <w:sz w:val="18"/>
          <w:szCs w:val="18"/>
        </w:rPr>
        <w:t xml:space="preserve"> OPGI -</w:t>
      </w:r>
      <w:r w:rsidRPr="180099B3">
        <w:rPr>
          <w:rFonts w:ascii="Verdana" w:hAnsi="Verdana" w:cs="Arial"/>
          <w:sz w:val="18"/>
          <w:szCs w:val="18"/>
        </w:rPr>
        <w:t xml:space="preserve"> MME, 31 de marzo 2026.</w:t>
      </w:r>
    </w:p>
    <w:p w:rsidR="004C1932" w:rsidP="00D94015" w:rsidRDefault="004C1932" w14:paraId="3C323950" w14:textId="77777777">
      <w:pPr>
        <w:spacing w:after="0" w:line="360" w:lineRule="auto"/>
        <w:rPr>
          <w:rFonts w:ascii="Verdana" w:hAnsi="Verdana" w:cs="Arial"/>
          <w:sz w:val="18"/>
          <w:szCs w:val="18"/>
        </w:rPr>
      </w:pPr>
    </w:p>
    <w:p w:rsidRPr="00C140A0" w:rsidR="001E7666" w:rsidRDefault="001E7666" w14:paraId="6DCD78B8" w14:textId="3654F460">
      <w:pPr>
        <w:pStyle w:val="Prrafodelista"/>
        <w:numPr>
          <w:ilvl w:val="0"/>
          <w:numId w:val="69"/>
        </w:numPr>
        <w:spacing w:after="0" w:line="360" w:lineRule="auto"/>
        <w:ind w:left="709" w:hanging="425"/>
        <w:jc w:val="both"/>
        <w:rPr>
          <w:rFonts w:ascii="Verdana" w:hAnsi="Verdana" w:cs="Arial"/>
          <w:sz w:val="24"/>
          <w:szCs w:val="24"/>
        </w:rPr>
      </w:pPr>
      <w:r w:rsidRPr="30CF4445" w:rsidR="1C0ED6D4">
        <w:rPr>
          <w:rFonts w:ascii="Verdana" w:hAnsi="Verdana" w:cs="Arial"/>
          <w:sz w:val="24"/>
          <w:szCs w:val="24"/>
        </w:rPr>
        <w:t xml:space="preserve">Se dispone de 2,561.98 MW en operación provenientes de fuentes no convencionales de energía renovable (FNCER), esto por parte de Generación a Gran Escala (1,592.70 MW), Generación Distribuida (136.57 MW), Autogeneración a Gran Escala </w:t>
      </w:r>
      <w:r w:rsidRPr="30CF4445" w:rsidR="29CDAD0D">
        <w:rPr>
          <w:rFonts w:ascii="Verdana" w:hAnsi="Verdana" w:cs="Arial"/>
          <w:sz w:val="24"/>
          <w:szCs w:val="24"/>
        </w:rPr>
        <w:t>(</w:t>
      </w:r>
      <w:r w:rsidRPr="30CF4445" w:rsidR="1C0ED6D4">
        <w:rPr>
          <w:rFonts w:ascii="Verdana" w:hAnsi="Verdana" w:cs="Arial"/>
          <w:sz w:val="24"/>
          <w:szCs w:val="24"/>
        </w:rPr>
        <w:t>480.89 MW) y Autogeneración a Pequeña escala (351.82 MW).</w:t>
      </w:r>
    </w:p>
    <w:p w:rsidRPr="00C140A0" w:rsidR="001E7666" w:rsidRDefault="001E7666" w14:paraId="7E9D0FB2" w14:textId="77777777">
      <w:pPr>
        <w:pStyle w:val="Prrafodelista"/>
        <w:numPr>
          <w:ilvl w:val="0"/>
          <w:numId w:val="69"/>
        </w:numPr>
        <w:spacing w:after="0" w:line="360" w:lineRule="auto"/>
        <w:ind w:left="709" w:hanging="425"/>
        <w:jc w:val="both"/>
        <w:rPr>
          <w:rFonts w:ascii="Verdana" w:hAnsi="Verdana" w:cs="Arial"/>
          <w:sz w:val="24"/>
          <w:szCs w:val="24"/>
        </w:rPr>
      </w:pPr>
      <w:r w:rsidRPr="00C140A0">
        <w:rPr>
          <w:rFonts w:ascii="Verdana" w:hAnsi="Verdana" w:cs="Arial"/>
          <w:sz w:val="24"/>
          <w:szCs w:val="24"/>
        </w:rPr>
        <w:t>Por el cumplimiento del periodo de transición establecido en el Artículo 9 de la Resolución CREG 148 de 2021 y el Artículo 11 de la Resolución CREG 101 -011 de 2022, se ha realizado el cambio de estado de "Operación" a "Pruebas" de 70 las plantas solares objeto de esta resolución, teniendo así un total de 632,54 MW que se retiran del listado de las plantas en operación y adicionan a la capacidad de proyectos en estado de pruebas.</w:t>
      </w:r>
    </w:p>
    <w:p w:rsidRPr="00C140A0" w:rsidR="001E7666" w:rsidRDefault="001E7666" w14:paraId="6A700C62" w14:textId="77777777">
      <w:pPr>
        <w:pStyle w:val="Prrafodelista"/>
        <w:numPr>
          <w:ilvl w:val="0"/>
          <w:numId w:val="69"/>
        </w:numPr>
        <w:spacing w:after="0" w:line="360" w:lineRule="auto"/>
        <w:ind w:left="709" w:hanging="425"/>
        <w:jc w:val="both"/>
        <w:rPr>
          <w:rFonts w:ascii="Verdana" w:hAnsi="Verdana" w:cs="Arial"/>
          <w:sz w:val="24"/>
          <w:szCs w:val="24"/>
        </w:rPr>
      </w:pPr>
      <w:r w:rsidRPr="00C140A0">
        <w:rPr>
          <w:rFonts w:ascii="Verdana" w:hAnsi="Verdana" w:cs="Arial"/>
          <w:sz w:val="24"/>
          <w:szCs w:val="24"/>
        </w:rPr>
        <w:t>De los proyectos mencionados anteriormente, se resalta la entrada en operación de dos plantas afectadas por las disposiciones establecidas en estas resoluciones. En particular, las plantas AUTOG SOLAR PALMIRA II BERRY y CELSIA SOLAR PUERTO TEJADA, sujetas a la Resolución CREG 011 de 2022.</w:t>
      </w:r>
    </w:p>
    <w:p w:rsidRPr="00C140A0" w:rsidR="001E7666" w:rsidRDefault="001E7666" w14:paraId="6797FB05" w14:textId="77777777">
      <w:pPr>
        <w:pStyle w:val="Prrafodelista"/>
        <w:numPr>
          <w:ilvl w:val="0"/>
          <w:numId w:val="69"/>
        </w:numPr>
        <w:spacing w:after="0" w:line="360" w:lineRule="auto"/>
        <w:ind w:left="709" w:hanging="425"/>
        <w:jc w:val="both"/>
        <w:rPr>
          <w:rFonts w:ascii="Verdana" w:hAnsi="Verdana" w:cs="Arial"/>
          <w:sz w:val="24"/>
          <w:szCs w:val="24"/>
        </w:rPr>
      </w:pPr>
      <w:r w:rsidRPr="30CF4445" w:rsidR="1C0ED6D4">
        <w:rPr>
          <w:rFonts w:ascii="Verdana" w:hAnsi="Verdana" w:cs="Arial"/>
          <w:sz w:val="24"/>
          <w:szCs w:val="24"/>
        </w:rPr>
        <w:t xml:space="preserve">En este sentido, </w:t>
      </w:r>
      <w:commentRangeStart w:id="1180564233"/>
      <w:r w:rsidRPr="30CF4445" w:rsidR="1C0ED6D4">
        <w:rPr>
          <w:rFonts w:ascii="Verdana" w:hAnsi="Verdana" w:cs="Arial"/>
          <w:sz w:val="24"/>
          <w:szCs w:val="24"/>
        </w:rPr>
        <w:t>el total la Participación FNCER</w:t>
      </w:r>
      <w:commentRangeEnd w:id="1180564233"/>
      <w:r>
        <w:rPr>
          <w:rStyle w:val="CommentReference"/>
        </w:rPr>
        <w:commentReference w:id="1180564233"/>
      </w:r>
      <w:r w:rsidRPr="30CF4445" w:rsidR="1C0ED6D4">
        <w:rPr>
          <w:rFonts w:ascii="Verdana" w:hAnsi="Verdana" w:cs="Arial"/>
          <w:sz w:val="24"/>
          <w:szCs w:val="24"/>
        </w:rPr>
        <w:t xml:space="preserve"> en Operación es únicamente Solar, y representa un 11,65% en la Matriz Eléctrica, equivalente a 2,561.98 (Acumulativo independiente del periodo de entrada en Operación).</w:t>
      </w:r>
    </w:p>
    <w:p w:rsidRPr="00C140A0" w:rsidR="001E7666" w:rsidRDefault="001E7666" w14:paraId="4C85CC7A" w14:textId="75256818">
      <w:pPr>
        <w:pStyle w:val="Prrafodelista"/>
        <w:numPr>
          <w:ilvl w:val="0"/>
          <w:numId w:val="69"/>
        </w:numPr>
        <w:spacing w:after="0" w:line="360" w:lineRule="auto"/>
        <w:ind w:left="709" w:hanging="425"/>
        <w:jc w:val="both"/>
        <w:rPr>
          <w:rFonts w:ascii="Verdana" w:hAnsi="Verdana" w:cs="Arial"/>
          <w:sz w:val="24"/>
          <w:szCs w:val="24"/>
        </w:rPr>
      </w:pPr>
      <w:r w:rsidRPr="30CF4445" w:rsidR="1C0ED6D4">
        <w:rPr>
          <w:rFonts w:ascii="Verdana" w:hAnsi="Verdana" w:cs="Arial"/>
          <w:sz w:val="24"/>
          <w:szCs w:val="24"/>
        </w:rPr>
        <w:t>Adicionalmente y aparte de los proyectos afectados por la Resolución CREG 148 de 2021 se reportan en pruebas 46 proyectos solares (887,22</w:t>
      </w:r>
      <w:r w:rsidRPr="30CF4445" w:rsidR="158FDA77">
        <w:rPr>
          <w:rFonts w:ascii="Verdana" w:hAnsi="Verdana" w:cs="Arial"/>
          <w:sz w:val="24"/>
          <w:szCs w:val="24"/>
        </w:rPr>
        <w:t xml:space="preserve"> </w:t>
      </w:r>
      <w:r w:rsidRPr="30CF4445" w:rsidR="1C0ED6D4">
        <w:rPr>
          <w:rFonts w:ascii="Verdana" w:hAnsi="Verdana" w:cs="Arial"/>
          <w:sz w:val="24"/>
          <w:szCs w:val="24"/>
        </w:rPr>
        <w:t>MW) y 3 eólicos (41,00 MW), para un total de 928,22 MW de proyectos en pruebas con Fuentes No Convencionales de Energía Renovable (FNCER) en el Sistema Interconectado Nacional.</w:t>
      </w:r>
    </w:p>
    <w:p w:rsidRPr="00C140A0" w:rsidR="001E7666" w:rsidRDefault="001E7666" w14:paraId="4402401C" w14:textId="77777777">
      <w:pPr>
        <w:pStyle w:val="Prrafodelista"/>
        <w:numPr>
          <w:ilvl w:val="0"/>
          <w:numId w:val="69"/>
        </w:numPr>
        <w:spacing w:after="0" w:line="360" w:lineRule="auto"/>
        <w:ind w:left="709" w:hanging="425"/>
        <w:jc w:val="both"/>
        <w:rPr>
          <w:rFonts w:ascii="Verdana" w:hAnsi="Verdana" w:cs="Arial"/>
          <w:sz w:val="24"/>
          <w:szCs w:val="24"/>
        </w:rPr>
      </w:pPr>
      <w:r w:rsidRPr="00C140A0">
        <w:rPr>
          <w:rFonts w:ascii="Verdana" w:hAnsi="Verdana" w:cs="Arial"/>
          <w:sz w:val="24"/>
          <w:szCs w:val="24"/>
        </w:rPr>
        <w:t>Además, según datos del operador del sistema interconectado, XM, han entrado en operación y pruebas 80 parques solares este año, distribuidos en 16 departamentos y 39 municipios con una capacidad total de generación eléctrica de 588,64 MW.</w:t>
      </w:r>
    </w:p>
    <w:p w:rsidRPr="00C140A0" w:rsidR="001E7666" w:rsidRDefault="001E7666" w14:paraId="25623935" w14:textId="77777777">
      <w:pPr>
        <w:pStyle w:val="Prrafodelista"/>
        <w:numPr>
          <w:ilvl w:val="0"/>
          <w:numId w:val="69"/>
        </w:numPr>
        <w:spacing w:after="0" w:line="360" w:lineRule="auto"/>
        <w:ind w:left="709" w:hanging="425"/>
        <w:jc w:val="both"/>
        <w:rPr>
          <w:rFonts w:ascii="Verdana" w:hAnsi="Verdana" w:cs="Arial"/>
          <w:sz w:val="24"/>
          <w:szCs w:val="24"/>
        </w:rPr>
      </w:pPr>
      <w:r w:rsidRPr="00C140A0">
        <w:rPr>
          <w:rFonts w:ascii="Verdana" w:hAnsi="Verdana" w:cs="Arial"/>
          <w:sz w:val="24"/>
          <w:szCs w:val="24"/>
        </w:rPr>
        <w:t>Teniendo en cuenta los ciclos de reporte y el último periodo analizado (T2) realizado por el IPSE, con corte al mes de junio de 2024, la capacidad instalada de fuentes no convencionales de energía y de soluciones tipo híbrido en las ZNI es de 72,15 MW. De este total entre agosto 2022 y junio 2024 han entrado en operación 28,05 MW.</w:t>
      </w:r>
    </w:p>
    <w:p w:rsidRPr="00C140A0" w:rsidR="001E7666" w:rsidRDefault="001E7666" w14:paraId="44396139" w14:textId="77777777">
      <w:pPr>
        <w:pStyle w:val="Prrafodelista"/>
        <w:numPr>
          <w:ilvl w:val="0"/>
          <w:numId w:val="69"/>
        </w:numPr>
        <w:spacing w:after="0" w:line="360" w:lineRule="auto"/>
        <w:ind w:left="709" w:hanging="425"/>
        <w:jc w:val="both"/>
        <w:rPr>
          <w:rFonts w:ascii="Verdana" w:hAnsi="Verdana" w:cs="Arial"/>
          <w:sz w:val="24"/>
          <w:szCs w:val="24"/>
        </w:rPr>
      </w:pPr>
      <w:r w:rsidRPr="00C140A0">
        <w:rPr>
          <w:rFonts w:ascii="Verdana" w:hAnsi="Verdana" w:cs="Arial"/>
          <w:sz w:val="24"/>
          <w:szCs w:val="24"/>
        </w:rPr>
        <w:t>Aunado a esto, según información de la UPME, en el periodo correspondiente al segundo semestre de 2024 se reportó un total de 8,32 MW de capacidad instalada de fuentes no convencionales de energía y de soluciones tipo híbrido en las ZNI.</w:t>
      </w:r>
    </w:p>
    <w:p w:rsidRPr="00C140A0" w:rsidR="001E7666" w:rsidRDefault="00C140A0" w14:paraId="68539FAC" w14:textId="1D41DB2F">
      <w:pPr>
        <w:pStyle w:val="Prrafodelista"/>
        <w:numPr>
          <w:ilvl w:val="0"/>
          <w:numId w:val="69"/>
        </w:numPr>
        <w:spacing w:after="0" w:line="360" w:lineRule="auto"/>
        <w:ind w:left="709" w:hanging="425"/>
        <w:jc w:val="both"/>
        <w:rPr>
          <w:rFonts w:ascii="Verdana" w:hAnsi="Verdana" w:cs="Arial"/>
          <w:sz w:val="24"/>
          <w:szCs w:val="24"/>
        </w:rPr>
      </w:pPr>
      <w:r w:rsidRPr="00C140A0">
        <w:rPr>
          <w:rFonts w:ascii="Verdana" w:hAnsi="Verdana" w:cs="Arial"/>
          <w:sz w:val="24"/>
          <w:szCs w:val="24"/>
        </w:rPr>
        <w:t>De acuerdo con el</w:t>
      </w:r>
      <w:r w:rsidRPr="00C140A0" w:rsidR="001E7666">
        <w:rPr>
          <w:rFonts w:ascii="Verdana" w:hAnsi="Verdana" w:cs="Arial"/>
          <w:sz w:val="24"/>
          <w:szCs w:val="24"/>
        </w:rPr>
        <w:t xml:space="preserve"> avance total de la meta (3.000 MW), se reporta un cumplimiento del 139,28 %, esto teniendo en cuenta tanto los proyectos en operación, como aquellos que se encuentran en esta</w:t>
      </w:r>
      <w:r w:rsidR="004351B4">
        <w:rPr>
          <w:rFonts w:ascii="Verdana" w:hAnsi="Verdana" w:cs="Arial"/>
          <w:sz w:val="24"/>
          <w:szCs w:val="24"/>
        </w:rPr>
        <w:t>.</w:t>
      </w:r>
    </w:p>
    <w:p w:rsidRPr="00C140A0" w:rsidR="00B809C3" w:rsidP="00D94015" w:rsidRDefault="00B809C3" w14:paraId="6B216CC3" w14:textId="77777777">
      <w:pPr>
        <w:spacing w:after="0" w:line="360" w:lineRule="auto"/>
        <w:rPr>
          <w:rFonts w:ascii="Verdana" w:hAnsi="Verdana" w:cs="Arial"/>
          <w:sz w:val="21"/>
          <w:szCs w:val="21"/>
        </w:rPr>
      </w:pPr>
    </w:p>
    <w:p w:rsidRPr="00C140A0" w:rsidR="006A5D57" w:rsidP="00D94015" w:rsidRDefault="006A5D57" w14:paraId="7C566887" w14:textId="77777777">
      <w:pPr>
        <w:spacing w:after="0" w:line="360" w:lineRule="auto"/>
        <w:rPr>
          <w:rFonts w:ascii="Verdana" w:hAnsi="Verdana" w:cs="Arial"/>
          <w:b/>
          <w:bCs/>
          <w:sz w:val="24"/>
          <w:szCs w:val="24"/>
        </w:rPr>
      </w:pPr>
      <w:r w:rsidRPr="00C140A0">
        <w:rPr>
          <w:rFonts w:ascii="Verdana" w:hAnsi="Verdana" w:cs="Arial"/>
          <w:b/>
          <w:bCs/>
          <w:sz w:val="24"/>
          <w:szCs w:val="24"/>
        </w:rPr>
        <w:t xml:space="preserve">Costos de la energía y justicia tarifaria </w:t>
      </w:r>
    </w:p>
    <w:p w:rsidRPr="00C10197" w:rsidR="006A5D57" w:rsidP="004C1932" w:rsidRDefault="006A5D57" w14:paraId="19F4EE45" w14:textId="77777777">
      <w:pPr>
        <w:spacing w:after="0" w:line="240" w:lineRule="auto"/>
        <w:rPr>
          <w:rFonts w:ascii="Verdana" w:hAnsi="Verdana" w:cs="Arial"/>
          <w:b/>
          <w:bCs/>
          <w:sz w:val="18"/>
          <w:szCs w:val="18"/>
        </w:rPr>
      </w:pPr>
    </w:p>
    <w:p w:rsidRPr="00280F0A" w:rsidR="00C10197" w:rsidP="00280F0A" w:rsidRDefault="006A5D57" w14:paraId="64657DD8" w14:textId="77777777">
      <w:pPr>
        <w:spacing w:after="0" w:line="240" w:lineRule="auto"/>
        <w:jc w:val="center"/>
        <w:rPr>
          <w:rFonts w:ascii="Verdana" w:hAnsi="Verdana" w:cs="Arial"/>
          <w:sz w:val="18"/>
          <w:szCs w:val="18"/>
        </w:rPr>
      </w:pPr>
      <w:r w:rsidRPr="00C10197">
        <w:rPr>
          <w:rFonts w:ascii="Verdana" w:hAnsi="Verdana" w:cs="Arial"/>
          <w:sz w:val="18"/>
          <w:szCs w:val="18"/>
        </w:rPr>
        <w:t xml:space="preserve">Tabla </w:t>
      </w:r>
      <w:r w:rsidR="00280F0A">
        <w:rPr>
          <w:rFonts w:ascii="Verdana" w:hAnsi="Verdana" w:cs="Arial"/>
          <w:sz w:val="18"/>
          <w:szCs w:val="18"/>
        </w:rPr>
        <w:t>No. 3</w:t>
      </w:r>
      <w:r w:rsidRPr="00C10197">
        <w:rPr>
          <w:rFonts w:ascii="Verdana" w:hAnsi="Verdana" w:cs="Arial"/>
          <w:sz w:val="18"/>
          <w:szCs w:val="18"/>
        </w:rPr>
        <w:t>. Avances Costos de la energía PES 2024-2026</w:t>
      </w:r>
    </w:p>
    <w:tbl>
      <w:tblPr>
        <w:tblStyle w:val="Tablaconcuadrcula"/>
        <w:tblW w:w="0" w:type="auto"/>
        <w:tblLook w:val="04A0" w:firstRow="1" w:lastRow="0" w:firstColumn="1" w:lastColumn="0" w:noHBand="0" w:noVBand="1"/>
      </w:tblPr>
      <w:tblGrid>
        <w:gridCol w:w="1805"/>
        <w:gridCol w:w="1805"/>
        <w:gridCol w:w="1565"/>
        <w:gridCol w:w="1177"/>
        <w:gridCol w:w="953"/>
        <w:gridCol w:w="1523"/>
      </w:tblGrid>
      <w:tr w:rsidRPr="00C10197" w:rsidR="007D5125" w:rsidTr="30CF4445" w14:paraId="4E98931F" w14:textId="77777777">
        <w:tc>
          <w:tcPr>
            <w:tcW w:w="1805" w:type="dxa"/>
            <w:shd w:val="clear" w:color="auto" w:fill="A6A6A6" w:themeFill="background1" w:themeFillShade="A6"/>
            <w:tcMar/>
            <w:vAlign w:val="center"/>
          </w:tcPr>
          <w:p w:rsidRPr="00C10197" w:rsidR="007D5125" w:rsidP="004C1932" w:rsidRDefault="007D5125" w14:paraId="2499AAD3" w14:textId="77777777">
            <w:pPr>
              <w:jc w:val="center"/>
              <w:rPr>
                <w:rFonts w:ascii="Verdana" w:hAnsi="Verdana" w:cs="Arial"/>
                <w:b/>
                <w:bCs/>
                <w:sz w:val="18"/>
                <w:szCs w:val="18"/>
              </w:rPr>
            </w:pPr>
            <w:r w:rsidRPr="00C10197">
              <w:rPr>
                <w:rFonts w:ascii="Verdana" w:hAnsi="Verdana" w:cs="Arial"/>
                <w:b/>
                <w:bCs/>
                <w:sz w:val="18"/>
                <w:szCs w:val="18"/>
              </w:rPr>
              <w:t>Indicador</w:t>
            </w:r>
          </w:p>
        </w:tc>
        <w:tc>
          <w:tcPr>
            <w:tcW w:w="1805" w:type="dxa"/>
            <w:shd w:val="clear" w:color="auto" w:fill="A6A6A6" w:themeFill="background1" w:themeFillShade="A6"/>
            <w:tcMar/>
            <w:vAlign w:val="center"/>
          </w:tcPr>
          <w:p w:rsidRPr="00C10197" w:rsidR="007D5125" w:rsidP="004C1932" w:rsidRDefault="007D5125" w14:paraId="363B34F3" w14:textId="44EA9B19">
            <w:pPr>
              <w:jc w:val="center"/>
              <w:rPr>
                <w:rFonts w:ascii="Verdana" w:hAnsi="Verdana" w:cs="Arial"/>
                <w:b w:val="1"/>
                <w:bCs w:val="1"/>
                <w:sz w:val="18"/>
                <w:szCs w:val="18"/>
              </w:rPr>
            </w:pPr>
            <w:r w:rsidRPr="30CF4445" w:rsidR="5BBB8FAD">
              <w:rPr>
                <w:rFonts w:ascii="Verdana" w:hAnsi="Verdana" w:cs="Arial"/>
                <w:b w:val="1"/>
                <w:bCs w:val="1"/>
                <w:sz w:val="18"/>
                <w:szCs w:val="18"/>
              </w:rPr>
              <w:t>F</w:t>
            </w:r>
            <w:r w:rsidRPr="30CF4445" w:rsidR="58497737">
              <w:rPr>
                <w:rFonts w:ascii="Verdana" w:hAnsi="Verdana" w:cs="Arial"/>
                <w:b w:val="1"/>
                <w:bCs w:val="1"/>
                <w:sz w:val="18"/>
                <w:szCs w:val="18"/>
              </w:rPr>
              <w:t>ó</w:t>
            </w:r>
            <w:r w:rsidRPr="30CF4445" w:rsidR="5BBB8FAD">
              <w:rPr>
                <w:rFonts w:ascii="Verdana" w:hAnsi="Verdana" w:cs="Arial"/>
                <w:b w:val="1"/>
                <w:bCs w:val="1"/>
                <w:sz w:val="18"/>
                <w:szCs w:val="18"/>
              </w:rPr>
              <w:t>rmula</w:t>
            </w:r>
          </w:p>
        </w:tc>
        <w:tc>
          <w:tcPr>
            <w:tcW w:w="1565" w:type="dxa"/>
            <w:shd w:val="clear" w:color="auto" w:fill="A6A6A6" w:themeFill="background1" w:themeFillShade="A6"/>
            <w:tcMar/>
            <w:vAlign w:val="center"/>
          </w:tcPr>
          <w:p w:rsidRPr="00C10197" w:rsidR="007D5125" w:rsidP="004C1932" w:rsidRDefault="007D5125" w14:paraId="186B0F05" w14:textId="77777777">
            <w:pPr>
              <w:jc w:val="center"/>
              <w:rPr>
                <w:rFonts w:ascii="Verdana" w:hAnsi="Verdana" w:cs="Arial"/>
                <w:b/>
                <w:bCs/>
                <w:sz w:val="18"/>
                <w:szCs w:val="18"/>
              </w:rPr>
            </w:pPr>
            <w:r w:rsidRPr="00C10197">
              <w:rPr>
                <w:rFonts w:ascii="Verdana" w:hAnsi="Verdana" w:cs="Arial"/>
                <w:b/>
                <w:bCs/>
                <w:sz w:val="18"/>
                <w:szCs w:val="18"/>
              </w:rPr>
              <w:t>Meta Cuatrienio</w:t>
            </w:r>
          </w:p>
        </w:tc>
        <w:tc>
          <w:tcPr>
            <w:tcW w:w="1177" w:type="dxa"/>
            <w:shd w:val="clear" w:color="auto" w:fill="A6A6A6" w:themeFill="background1" w:themeFillShade="A6"/>
            <w:tcMar/>
            <w:vAlign w:val="center"/>
          </w:tcPr>
          <w:p w:rsidRPr="00C10197" w:rsidR="007D5125" w:rsidP="004C1932" w:rsidRDefault="007D5125" w14:paraId="5E2BE3E5" w14:textId="77777777">
            <w:pPr>
              <w:jc w:val="center"/>
              <w:rPr>
                <w:rFonts w:ascii="Verdana" w:hAnsi="Verdana" w:cs="Arial"/>
                <w:b/>
                <w:bCs/>
                <w:sz w:val="18"/>
                <w:szCs w:val="18"/>
              </w:rPr>
            </w:pPr>
            <w:r w:rsidRPr="00C10197">
              <w:rPr>
                <w:rFonts w:ascii="Verdana" w:hAnsi="Verdana" w:cs="Arial"/>
                <w:b/>
                <w:bCs/>
                <w:sz w:val="18"/>
                <w:szCs w:val="18"/>
              </w:rPr>
              <w:t>Meta 2024</w:t>
            </w:r>
          </w:p>
        </w:tc>
        <w:tc>
          <w:tcPr>
            <w:tcW w:w="953" w:type="dxa"/>
            <w:shd w:val="clear" w:color="auto" w:fill="A6A6A6" w:themeFill="background1" w:themeFillShade="A6"/>
            <w:tcMar/>
            <w:vAlign w:val="center"/>
          </w:tcPr>
          <w:p w:rsidRPr="00C10197" w:rsidR="007D5125" w:rsidP="004C1932" w:rsidRDefault="007D5125" w14:paraId="54D2A10E" w14:textId="77777777">
            <w:pPr>
              <w:jc w:val="center"/>
              <w:rPr>
                <w:rFonts w:ascii="Verdana" w:hAnsi="Verdana" w:cs="Arial"/>
                <w:b/>
                <w:bCs/>
                <w:sz w:val="18"/>
                <w:szCs w:val="18"/>
              </w:rPr>
            </w:pPr>
            <w:r w:rsidRPr="00C10197">
              <w:rPr>
                <w:rFonts w:ascii="Verdana" w:hAnsi="Verdana" w:cs="Arial"/>
                <w:b/>
                <w:bCs/>
                <w:sz w:val="18"/>
                <w:szCs w:val="18"/>
              </w:rPr>
              <w:t>Meta 2025</w:t>
            </w:r>
          </w:p>
        </w:tc>
        <w:tc>
          <w:tcPr>
            <w:tcW w:w="1523" w:type="dxa"/>
            <w:shd w:val="clear" w:color="auto" w:fill="A6A6A6" w:themeFill="background1" w:themeFillShade="A6"/>
            <w:tcMar/>
            <w:vAlign w:val="center"/>
          </w:tcPr>
          <w:p w:rsidRPr="00C10197" w:rsidR="007D5125" w:rsidP="004C1932" w:rsidRDefault="007D5125" w14:paraId="2F798043" w14:textId="77777777">
            <w:pPr>
              <w:jc w:val="center"/>
              <w:rPr>
                <w:rFonts w:ascii="Verdana" w:hAnsi="Verdana" w:cs="Arial"/>
                <w:b/>
                <w:bCs/>
                <w:sz w:val="18"/>
                <w:szCs w:val="18"/>
              </w:rPr>
            </w:pPr>
            <w:r w:rsidRPr="00C10197">
              <w:rPr>
                <w:rFonts w:ascii="Verdana" w:hAnsi="Verdana" w:cs="Arial"/>
                <w:b/>
                <w:bCs/>
                <w:sz w:val="18"/>
                <w:szCs w:val="18"/>
              </w:rPr>
              <w:t>Avance Acumulado</w:t>
            </w:r>
          </w:p>
          <w:p w:rsidRPr="00C10197" w:rsidR="007D5125" w:rsidP="004C1932" w:rsidRDefault="007D5125" w14:paraId="633A4C93" w14:textId="77777777">
            <w:pPr>
              <w:jc w:val="center"/>
              <w:rPr>
                <w:rFonts w:ascii="Verdana" w:hAnsi="Verdana" w:cs="Arial"/>
                <w:b/>
                <w:bCs/>
                <w:sz w:val="18"/>
                <w:szCs w:val="18"/>
              </w:rPr>
            </w:pPr>
            <w:r w:rsidRPr="00C10197">
              <w:rPr>
                <w:rFonts w:ascii="Verdana" w:hAnsi="Verdana" w:cs="Arial"/>
                <w:b/>
                <w:bCs/>
                <w:sz w:val="18"/>
                <w:szCs w:val="18"/>
              </w:rPr>
              <w:t>1° TRIM 2026</w:t>
            </w:r>
          </w:p>
        </w:tc>
      </w:tr>
      <w:tr w:rsidRPr="00C10197" w:rsidR="007D5125" w:rsidTr="30CF4445" w14:paraId="5C21F562" w14:textId="77777777">
        <w:tc>
          <w:tcPr>
            <w:tcW w:w="1805" w:type="dxa"/>
            <w:tcMar/>
            <w:vAlign w:val="center"/>
          </w:tcPr>
          <w:p w:rsidRPr="00C10197" w:rsidR="007D5125" w:rsidP="004C1932" w:rsidRDefault="007D5125" w14:paraId="4E50DF6E" w14:textId="77777777">
            <w:pPr>
              <w:jc w:val="center"/>
              <w:rPr>
                <w:rFonts w:ascii="Verdana" w:hAnsi="Verdana" w:cs="Arial"/>
                <w:sz w:val="18"/>
                <w:szCs w:val="18"/>
              </w:rPr>
            </w:pPr>
            <w:r w:rsidRPr="00C10197">
              <w:rPr>
                <w:rFonts w:ascii="Verdana" w:hAnsi="Verdana" w:cs="Arial"/>
                <w:sz w:val="18"/>
                <w:szCs w:val="18"/>
              </w:rPr>
              <w:t>Porcentaje de disminución de la factura de energía eléctrica</w:t>
            </w:r>
          </w:p>
        </w:tc>
        <w:tc>
          <w:tcPr>
            <w:tcW w:w="1805" w:type="dxa"/>
            <w:tcMar/>
            <w:vAlign w:val="center"/>
          </w:tcPr>
          <w:p w:rsidRPr="00C10197" w:rsidR="007D5125" w:rsidP="004C1932" w:rsidRDefault="007D5125" w14:paraId="0F9870A1" w14:textId="77777777">
            <w:pPr>
              <w:jc w:val="center"/>
              <w:rPr>
                <w:rFonts w:ascii="Verdana" w:hAnsi="Verdana" w:cs="Arial"/>
                <w:sz w:val="18"/>
                <w:szCs w:val="18"/>
              </w:rPr>
            </w:pPr>
            <w:r w:rsidRPr="00C10197">
              <w:rPr>
                <w:rFonts w:ascii="Verdana" w:hAnsi="Verdana" w:cs="Arial"/>
                <w:sz w:val="18"/>
                <w:szCs w:val="18"/>
              </w:rPr>
              <w:t xml:space="preserve">Porcentaje de disminución de la factura de energía </w:t>
            </w:r>
            <w:r w:rsidRPr="00C10197" w:rsidR="00C10197">
              <w:rPr>
                <w:rFonts w:ascii="Verdana" w:hAnsi="Verdana" w:cs="Arial"/>
                <w:sz w:val="18"/>
                <w:szCs w:val="18"/>
              </w:rPr>
              <w:t>eléctrica a</w:t>
            </w:r>
            <w:r w:rsidRPr="00C10197">
              <w:rPr>
                <w:rFonts w:ascii="Verdana" w:hAnsi="Verdana" w:cs="Arial"/>
                <w:sz w:val="18"/>
                <w:szCs w:val="18"/>
              </w:rPr>
              <w:t xml:space="preserve"> nivel nacional</w:t>
            </w:r>
          </w:p>
        </w:tc>
        <w:tc>
          <w:tcPr>
            <w:tcW w:w="1565" w:type="dxa"/>
            <w:tcMar/>
            <w:vAlign w:val="center"/>
          </w:tcPr>
          <w:p w:rsidRPr="00C10197" w:rsidR="007D5125" w:rsidP="004C1932" w:rsidRDefault="007D5125" w14:paraId="66259904" w14:textId="77777777">
            <w:pPr>
              <w:jc w:val="center"/>
              <w:rPr>
                <w:rFonts w:ascii="Verdana" w:hAnsi="Verdana" w:cs="Arial"/>
                <w:sz w:val="18"/>
                <w:szCs w:val="18"/>
              </w:rPr>
            </w:pPr>
            <w:r w:rsidRPr="00C10197">
              <w:rPr>
                <w:rFonts w:ascii="Verdana" w:hAnsi="Verdana" w:cs="Arial"/>
                <w:sz w:val="18"/>
                <w:szCs w:val="18"/>
              </w:rPr>
              <w:t>0,3</w:t>
            </w:r>
          </w:p>
        </w:tc>
        <w:tc>
          <w:tcPr>
            <w:tcW w:w="1177" w:type="dxa"/>
            <w:tcMar/>
            <w:vAlign w:val="center"/>
          </w:tcPr>
          <w:p w:rsidRPr="00C10197" w:rsidR="007D5125" w:rsidP="004C1932" w:rsidRDefault="007D5125" w14:paraId="4B6C2810" w14:textId="77777777">
            <w:pPr>
              <w:jc w:val="center"/>
              <w:rPr>
                <w:rFonts w:ascii="Verdana" w:hAnsi="Verdana" w:cs="Arial"/>
                <w:sz w:val="18"/>
                <w:szCs w:val="18"/>
              </w:rPr>
            </w:pPr>
            <w:r w:rsidRPr="00C10197">
              <w:rPr>
                <w:rFonts w:ascii="Verdana" w:hAnsi="Verdana" w:cs="Arial"/>
                <w:sz w:val="18"/>
                <w:szCs w:val="18"/>
              </w:rPr>
              <w:t>0,1</w:t>
            </w:r>
          </w:p>
        </w:tc>
        <w:tc>
          <w:tcPr>
            <w:tcW w:w="953" w:type="dxa"/>
            <w:tcMar/>
            <w:vAlign w:val="center"/>
          </w:tcPr>
          <w:p w:rsidRPr="00C10197" w:rsidR="007D5125" w:rsidP="004C1932" w:rsidRDefault="007D5125" w14:paraId="0F49C016" w14:textId="77777777">
            <w:pPr>
              <w:jc w:val="center"/>
              <w:rPr>
                <w:rFonts w:ascii="Verdana" w:hAnsi="Verdana" w:cs="Arial"/>
                <w:sz w:val="18"/>
                <w:szCs w:val="18"/>
              </w:rPr>
            </w:pPr>
            <w:r w:rsidRPr="00C10197">
              <w:rPr>
                <w:rFonts w:ascii="Verdana" w:hAnsi="Verdana" w:cs="Arial"/>
                <w:sz w:val="18"/>
                <w:szCs w:val="18"/>
              </w:rPr>
              <w:t>0,2</w:t>
            </w:r>
          </w:p>
        </w:tc>
        <w:tc>
          <w:tcPr>
            <w:tcW w:w="1523" w:type="dxa"/>
            <w:tcMar/>
            <w:vAlign w:val="center"/>
          </w:tcPr>
          <w:p w:rsidRPr="00C10197" w:rsidR="007D5125" w:rsidP="004C1932" w:rsidRDefault="007D5125" w14:paraId="1B5AD067" w14:textId="77777777">
            <w:pPr>
              <w:jc w:val="center"/>
              <w:rPr>
                <w:rFonts w:ascii="Verdana" w:hAnsi="Verdana" w:cs="Arial"/>
                <w:sz w:val="18"/>
                <w:szCs w:val="18"/>
              </w:rPr>
            </w:pPr>
            <w:r w:rsidRPr="00C10197">
              <w:rPr>
                <w:rFonts w:ascii="Verdana" w:hAnsi="Verdana" w:cs="Arial"/>
                <w:sz w:val="18"/>
                <w:szCs w:val="18"/>
              </w:rPr>
              <w:t>Región Caribe: 20%</w:t>
            </w:r>
          </w:p>
          <w:p w:rsidRPr="00C10197" w:rsidR="007D5125" w:rsidP="004C1932" w:rsidRDefault="007D5125" w14:paraId="05F9D30B" w14:textId="77777777">
            <w:pPr>
              <w:ind w:right="-208"/>
              <w:jc w:val="center"/>
              <w:rPr>
                <w:rFonts w:ascii="Verdana" w:hAnsi="Verdana" w:cs="Arial"/>
                <w:sz w:val="18"/>
                <w:szCs w:val="18"/>
              </w:rPr>
            </w:pPr>
            <w:r w:rsidRPr="00C10197">
              <w:rPr>
                <w:rFonts w:ascii="Verdana" w:hAnsi="Verdana" w:cs="Arial"/>
                <w:sz w:val="18"/>
                <w:szCs w:val="18"/>
              </w:rPr>
              <w:t>Nacional: 9.2%</w:t>
            </w:r>
          </w:p>
        </w:tc>
      </w:tr>
    </w:tbl>
    <w:p w:rsidRPr="00C10197" w:rsidR="00426551" w:rsidP="004C1932" w:rsidRDefault="59505356" w14:paraId="1DCF86C6" w14:textId="77777777">
      <w:pPr>
        <w:spacing w:after="0" w:line="240" w:lineRule="auto"/>
        <w:jc w:val="center"/>
        <w:rPr>
          <w:rFonts w:ascii="Verdana" w:hAnsi="Verdana" w:cs="Arial"/>
          <w:sz w:val="18"/>
          <w:szCs w:val="18"/>
        </w:rPr>
      </w:pPr>
      <w:r w:rsidRPr="180099B3">
        <w:rPr>
          <w:rFonts w:ascii="Verdana" w:hAnsi="Verdana" w:cs="Arial"/>
          <w:sz w:val="18"/>
          <w:szCs w:val="18"/>
        </w:rPr>
        <w:t xml:space="preserve">Fuente: Elaboración propia </w:t>
      </w:r>
      <w:r w:rsidRPr="180099B3" w:rsidR="2E06E19E">
        <w:rPr>
          <w:rFonts w:ascii="Verdana" w:hAnsi="Verdana" w:cs="Arial"/>
          <w:sz w:val="18"/>
          <w:szCs w:val="18"/>
        </w:rPr>
        <w:t xml:space="preserve">OPGI - </w:t>
      </w:r>
      <w:r w:rsidRPr="180099B3">
        <w:rPr>
          <w:rFonts w:ascii="Verdana" w:hAnsi="Verdana" w:cs="Arial"/>
          <w:sz w:val="18"/>
          <w:szCs w:val="18"/>
        </w:rPr>
        <w:t>MME, 31 de marzo 2026.</w:t>
      </w:r>
    </w:p>
    <w:p w:rsidR="00C10197" w:rsidP="00D94015" w:rsidRDefault="00C10197" w14:paraId="3D72090F" w14:textId="77777777">
      <w:pPr>
        <w:spacing w:after="0" w:line="360" w:lineRule="auto"/>
        <w:jc w:val="both"/>
        <w:rPr>
          <w:rFonts w:ascii="Verdana" w:hAnsi="Verdana" w:cs="Arial"/>
          <w:sz w:val="24"/>
          <w:szCs w:val="24"/>
        </w:rPr>
      </w:pPr>
    </w:p>
    <w:p w:rsidRPr="00C140A0" w:rsidR="0058165A" w:rsidP="00D94015" w:rsidRDefault="0058165A" w14:paraId="5AD267F4" w14:textId="77777777">
      <w:pPr>
        <w:spacing w:after="0" w:line="360" w:lineRule="auto"/>
        <w:jc w:val="both"/>
        <w:rPr>
          <w:rFonts w:ascii="Verdana" w:hAnsi="Verdana" w:cs="Arial"/>
          <w:sz w:val="24"/>
          <w:szCs w:val="24"/>
        </w:rPr>
      </w:pPr>
      <w:r w:rsidRPr="00C140A0">
        <w:rPr>
          <w:rFonts w:ascii="Verdana" w:hAnsi="Verdana" w:cs="Arial"/>
          <w:sz w:val="24"/>
          <w:szCs w:val="24"/>
        </w:rPr>
        <w:t xml:space="preserve">Frente a los principales logros realizados durante este periodo de tiempo, se contemplan los siguientes: </w:t>
      </w:r>
    </w:p>
    <w:p w:rsidRPr="00C140A0" w:rsidR="0058165A" w:rsidRDefault="0058165A" w14:paraId="54EADDDF" w14:textId="77777777">
      <w:pPr>
        <w:pStyle w:val="Prrafodelista"/>
        <w:numPr>
          <w:ilvl w:val="0"/>
          <w:numId w:val="56"/>
        </w:numPr>
        <w:suppressAutoHyphens/>
        <w:spacing w:after="0" w:line="360" w:lineRule="auto"/>
        <w:jc w:val="both"/>
        <w:rPr>
          <w:rFonts w:ascii="Verdana" w:hAnsi="Verdana" w:cs="Arial"/>
          <w:sz w:val="24"/>
          <w:szCs w:val="24"/>
        </w:rPr>
      </w:pPr>
      <w:r w:rsidRPr="00C140A0">
        <w:rPr>
          <w:rFonts w:ascii="Verdana" w:hAnsi="Verdana" w:cs="Arial"/>
          <w:sz w:val="24"/>
          <w:szCs w:val="24"/>
        </w:rPr>
        <w:t>Durante el periodo comprendido entre octubre de 2024 y febrero de 2026, se observa una tendencia descendente en el Costo Unitario (CU) promedio, tanto a nivel nacional como en la Región Caribe. Este comportamiento está en línea con las medidas regulatorias adoptadas por la Comisión de Regulación de Energía y Gas (CREG) y el Ministerio de Minas y Energía, orientadas a mitigar el impacto tarifario sobre los usuarios regulados y a promover la estabilidad financiera del sector.</w:t>
      </w:r>
    </w:p>
    <w:p w:rsidRPr="00C140A0" w:rsidR="0058165A" w:rsidRDefault="0058165A" w14:paraId="514E92DF" w14:textId="29D3FFE9">
      <w:pPr>
        <w:pStyle w:val="Prrafodelista"/>
        <w:numPr>
          <w:ilvl w:val="0"/>
          <w:numId w:val="56"/>
        </w:numPr>
        <w:suppressAutoHyphens/>
        <w:spacing w:after="0" w:line="360" w:lineRule="auto"/>
        <w:jc w:val="both"/>
        <w:rPr>
          <w:rFonts w:ascii="Verdana" w:hAnsi="Verdana" w:cs="Arial"/>
          <w:sz w:val="24"/>
          <w:szCs w:val="24"/>
        </w:rPr>
      </w:pPr>
      <w:r w:rsidRPr="00C140A0">
        <w:rPr>
          <w:rFonts w:ascii="Verdana" w:hAnsi="Verdana" w:cs="Arial"/>
          <w:sz w:val="24"/>
          <w:szCs w:val="24"/>
        </w:rPr>
        <w:t xml:space="preserve">En la Región Caribe, el CU promedio ponderado disminuyó de 934 $/kWh en octubre de 2024 a 885 $/kWh en </w:t>
      </w:r>
      <w:r w:rsidR="00AC4BB3">
        <w:rPr>
          <w:rFonts w:ascii="Verdana" w:hAnsi="Verdana" w:cs="Arial"/>
          <w:sz w:val="24"/>
          <w:szCs w:val="24"/>
        </w:rPr>
        <w:t>m</w:t>
      </w:r>
      <w:r w:rsidRPr="00C140A0">
        <w:rPr>
          <w:rFonts w:ascii="Verdana" w:hAnsi="Verdana" w:cs="Arial"/>
          <w:sz w:val="24"/>
          <w:szCs w:val="24"/>
        </w:rPr>
        <w:t>arzo de 2026, no obstante, en el primer trimestre de 2026 se observa una tendencia creciente de la región caribe pasando de 836 en enero a 885 en marzo, este incremento se debe al alza del costo unitario de AFINIA que durante el mismo periodo pasa de 876 a 974.</w:t>
      </w:r>
    </w:p>
    <w:p w:rsidRPr="00C140A0" w:rsidR="0058165A" w:rsidRDefault="0058165A" w14:paraId="4E654D34" w14:textId="16D2FBEA">
      <w:pPr>
        <w:pStyle w:val="Prrafodelista"/>
        <w:numPr>
          <w:ilvl w:val="0"/>
          <w:numId w:val="56"/>
        </w:numPr>
        <w:suppressAutoHyphens/>
        <w:spacing w:after="0" w:line="360" w:lineRule="auto"/>
        <w:jc w:val="both"/>
        <w:rPr>
          <w:rFonts w:ascii="Verdana" w:hAnsi="Verdana" w:cs="Arial"/>
          <w:sz w:val="24"/>
          <w:szCs w:val="24"/>
        </w:rPr>
      </w:pPr>
      <w:r w:rsidRPr="30CF4445" w:rsidR="0D14D31B">
        <w:rPr>
          <w:rFonts w:ascii="Verdana" w:hAnsi="Verdana" w:cs="Arial"/>
          <w:sz w:val="24"/>
          <w:szCs w:val="24"/>
        </w:rPr>
        <w:t xml:space="preserve">De acuerdo con el artículo 3 de Resolución del </w:t>
      </w:r>
      <w:r w:rsidRPr="30CF4445" w:rsidR="0D14D31B">
        <w:rPr>
          <w:rFonts w:ascii="Verdana" w:hAnsi="Verdana" w:cs="Arial"/>
          <w:sz w:val="24"/>
          <w:szCs w:val="24"/>
        </w:rPr>
        <w:t>Min</w:t>
      </w:r>
      <w:r w:rsidRPr="30CF4445" w:rsidR="45BFC8B6">
        <w:rPr>
          <w:rFonts w:ascii="Verdana" w:hAnsi="Verdana" w:cs="Arial"/>
          <w:sz w:val="24"/>
          <w:szCs w:val="24"/>
        </w:rPr>
        <w:t>E</w:t>
      </w:r>
      <w:r w:rsidRPr="30CF4445" w:rsidR="0D14D31B">
        <w:rPr>
          <w:rFonts w:ascii="Verdana" w:hAnsi="Verdana" w:cs="Arial"/>
          <w:sz w:val="24"/>
          <w:szCs w:val="24"/>
        </w:rPr>
        <w:t>nergía</w:t>
      </w:r>
      <w:r w:rsidRPr="30CF4445" w:rsidR="0D14D31B">
        <w:rPr>
          <w:rFonts w:ascii="Verdana" w:hAnsi="Verdana" w:cs="Arial"/>
          <w:sz w:val="24"/>
          <w:szCs w:val="24"/>
        </w:rPr>
        <w:t xml:space="preserve"> 40505 de 2025, los comercializadores a los que se refiere el régimen </w:t>
      </w:r>
      <w:r w:rsidRPr="30CF4445" w:rsidR="0D14D31B">
        <w:rPr>
          <w:rFonts w:ascii="Verdana" w:hAnsi="Verdana" w:cs="Arial"/>
          <w:sz w:val="24"/>
          <w:szCs w:val="24"/>
        </w:rPr>
        <w:t>transitorio especial del artículo 318 de la Ley 1955 de 2019, pueden reducir el plazo de recuperación de los saldos de opción tarifaria a través del COT siempre y cuando no se supere el valor del CU publicado por la empresa el mes anterior a la publicación de la Resolución, es decir, septiembre de 2025. Así las cosas, de las tablas anteriores, es posible concluir que la empresa no se acogió a la aplicación de la Resolución 40505 de 2025, si se observa que el COT se ha mantenido constante en aproximadamente 77 $/kWh, lo que a la fecha representa un incremento superior al 7% con relación al CU de septiembre de 2026.</w:t>
      </w:r>
    </w:p>
    <w:p w:rsidRPr="00C140A0" w:rsidR="0058165A" w:rsidRDefault="0058165A" w14:paraId="1F4F95B7" w14:textId="33882776">
      <w:pPr>
        <w:pStyle w:val="Prrafodelista"/>
        <w:numPr>
          <w:ilvl w:val="0"/>
          <w:numId w:val="56"/>
        </w:numPr>
        <w:suppressAutoHyphens/>
        <w:spacing w:after="0" w:line="360" w:lineRule="auto"/>
        <w:jc w:val="both"/>
        <w:rPr>
          <w:rFonts w:ascii="Verdana" w:hAnsi="Verdana" w:cs="Arial"/>
          <w:sz w:val="24"/>
          <w:szCs w:val="24"/>
        </w:rPr>
      </w:pPr>
      <w:r w:rsidRPr="30CF4445" w:rsidR="0D14D31B">
        <w:rPr>
          <w:rFonts w:ascii="Verdana" w:hAnsi="Verdana" w:cs="Arial"/>
          <w:sz w:val="24"/>
          <w:szCs w:val="24"/>
        </w:rPr>
        <w:t>No obstante, el mercado atendido por Air-e s</w:t>
      </w:r>
      <w:r w:rsidRPr="30CF4445" w:rsidR="2AC7EAE6">
        <w:rPr>
          <w:rFonts w:ascii="Verdana" w:hAnsi="Verdana" w:cs="Arial"/>
          <w:sz w:val="24"/>
          <w:szCs w:val="24"/>
        </w:rPr>
        <w:t>i</w:t>
      </w:r>
      <w:r w:rsidRPr="30CF4445" w:rsidR="0D14D31B">
        <w:rPr>
          <w:rFonts w:ascii="Verdana" w:hAnsi="Verdana" w:cs="Arial"/>
          <w:sz w:val="24"/>
          <w:szCs w:val="24"/>
        </w:rPr>
        <w:t xml:space="preserve"> </w:t>
      </w:r>
      <w:r w:rsidRPr="30CF4445" w:rsidR="7D248AD5">
        <w:rPr>
          <w:rFonts w:ascii="Verdana" w:hAnsi="Verdana" w:cs="Arial"/>
          <w:sz w:val="24"/>
          <w:szCs w:val="24"/>
        </w:rPr>
        <w:t>h</w:t>
      </w:r>
      <w:r w:rsidRPr="30CF4445" w:rsidR="0D14D31B">
        <w:rPr>
          <w:rFonts w:ascii="Verdana" w:hAnsi="Verdana" w:cs="Arial"/>
          <w:sz w:val="24"/>
          <w:szCs w:val="24"/>
        </w:rPr>
        <w:t xml:space="preserve">a aplicado lo dispuesto en el artículo 3, sosteniendo una tarifa cercana a los 796 $/kWh. </w:t>
      </w:r>
      <w:r w:rsidRPr="30CF4445" w:rsidR="0D14D31B">
        <w:rPr>
          <w:rFonts w:ascii="Verdana" w:hAnsi="Verdana" w:cs="Arial"/>
          <w:sz w:val="24"/>
          <w:szCs w:val="24"/>
        </w:rPr>
        <w:t>En conjunto, estos ajustes implican una reducción cercana al 20.6% respecto al mes de enero de 2024, fecha en el que inició el aná</w:t>
      </w:r>
      <w:r w:rsidRPr="30CF4445" w:rsidR="0D14D31B">
        <w:rPr>
          <w:rFonts w:ascii="Verdana" w:hAnsi="Verdana" w:cs="Arial"/>
          <w:sz w:val="24"/>
          <w:szCs w:val="24"/>
        </w:rPr>
        <w:t>lisis,</w:t>
      </w:r>
      <w:r w:rsidRPr="30CF4445" w:rsidR="1261D3EC">
        <w:rPr>
          <w:rFonts w:ascii="Verdana" w:hAnsi="Verdana" w:cs="Arial"/>
          <w:sz w:val="24"/>
          <w:szCs w:val="24"/>
        </w:rPr>
        <w:t xml:space="preserve"> </w:t>
      </w:r>
      <w:r w:rsidRPr="30CF4445" w:rsidR="0D14D31B">
        <w:rPr>
          <w:rFonts w:ascii="Verdana" w:hAnsi="Verdana" w:cs="Arial"/>
          <w:sz w:val="24"/>
          <w:szCs w:val="24"/>
        </w:rPr>
        <w:t>cuando el CU promedio superaba los 1.114 $/kWh.</w:t>
      </w:r>
    </w:p>
    <w:p w:rsidRPr="00C140A0" w:rsidR="0058165A" w:rsidRDefault="0058165A" w14:paraId="4B2F4E71" w14:textId="77777777">
      <w:pPr>
        <w:pStyle w:val="Prrafodelista"/>
        <w:numPr>
          <w:ilvl w:val="0"/>
          <w:numId w:val="56"/>
        </w:numPr>
        <w:suppressAutoHyphens/>
        <w:spacing w:after="0" w:line="360" w:lineRule="auto"/>
        <w:jc w:val="both"/>
        <w:rPr>
          <w:rFonts w:ascii="Verdana" w:hAnsi="Verdana" w:cs="Arial"/>
          <w:sz w:val="24"/>
          <w:szCs w:val="24"/>
        </w:rPr>
      </w:pPr>
      <w:r w:rsidRPr="00C140A0">
        <w:rPr>
          <w:rFonts w:ascii="Verdana" w:hAnsi="Verdana" w:cs="Arial"/>
          <w:sz w:val="24"/>
          <w:szCs w:val="24"/>
        </w:rPr>
        <w:t>A nivel nacional, entre enero de 2024 y marzo de 2026 el CU presentó una reducción de 88 $/kWh, al pasar de 957 $/kWh a 869 $/kWh, reflejando una tendencia de estabilización del componente tarifario. Este comportamiento estuvo impulsado por la disminución sostenida del precio de bolsa, que cayó de 1.561 $/kWh en octubre de 2024 a 116 $/kWh en febrero de 2026, según los reportes del Administrador del Sistema de Intercambios Comerciales (ASIC). La reducción en el precio mayorista atenuó la presión sobre el componente de generación dentro del CU, facilitando ajustes graduales en los costos de suministro y evidenciando una mayor estabilidad en el mercado energético.</w:t>
      </w:r>
    </w:p>
    <w:p w:rsidRPr="00C140A0" w:rsidR="00E930AD" w:rsidRDefault="2F5F0268" w14:paraId="70E13165" w14:textId="77777777">
      <w:pPr>
        <w:pStyle w:val="Prrafodelista"/>
        <w:numPr>
          <w:ilvl w:val="0"/>
          <w:numId w:val="56"/>
        </w:numPr>
        <w:suppressAutoHyphens/>
        <w:spacing w:after="0" w:line="360" w:lineRule="auto"/>
        <w:ind w:left="709" w:hanging="436"/>
        <w:jc w:val="both"/>
        <w:rPr>
          <w:rFonts w:ascii="Verdana" w:hAnsi="Verdana" w:cs="Arial"/>
          <w:sz w:val="24"/>
          <w:szCs w:val="24"/>
        </w:rPr>
      </w:pPr>
      <w:r w:rsidRPr="0FF05B1B">
        <w:rPr>
          <w:rFonts w:ascii="Verdana" w:hAnsi="Verdana" w:cs="Arial"/>
          <w:sz w:val="24"/>
          <w:szCs w:val="24"/>
        </w:rPr>
        <w:t xml:space="preserve">En conjunto, los resultados evidencian un proceso de normalización tarifaria tras la volatilidad registrada en 2024 y una tendencia hacia la convergencia progresiva de los valores del CU a nivel nacional. Sin embargo, el seguimiento permanente por parte la </w:t>
      </w:r>
      <w:r w:rsidRPr="0FF05B1B">
        <w:rPr>
          <w:rFonts w:ascii="Verdana" w:hAnsi="Verdana" w:cs="Arial"/>
          <w:sz w:val="24"/>
          <w:szCs w:val="24"/>
        </w:rPr>
        <w:t xml:space="preserve">Superintendencia de Servicios Públicos Domiciliarios (SSPD), de la </w:t>
      </w:r>
      <w:r w:rsidRPr="0FF05B1B" w:rsidR="31F6959B">
        <w:rPr>
          <w:rFonts w:ascii="Verdana" w:hAnsi="Verdana" w:cs="Arial"/>
          <w:sz w:val="24"/>
          <w:szCs w:val="24"/>
        </w:rPr>
        <w:t>CREG, y</w:t>
      </w:r>
      <w:r w:rsidRPr="0FF05B1B">
        <w:rPr>
          <w:rFonts w:ascii="Verdana" w:hAnsi="Verdana" w:cs="Arial"/>
          <w:sz w:val="24"/>
          <w:szCs w:val="24"/>
        </w:rPr>
        <w:t xml:space="preserve"> el Ministerio de Minas y Energía sigue siendo fundamental para preservar el equilibrio entre la suficiencia financiera de los prestadores y la protección del usuario final.</w:t>
      </w:r>
    </w:p>
    <w:p w:rsidR="0FF05B1B" w:rsidP="00D94015" w:rsidRDefault="0FF05B1B" w14:paraId="56C4CDE0" w14:textId="3D24232D">
      <w:pPr>
        <w:spacing w:after="0" w:line="360" w:lineRule="auto"/>
        <w:rPr>
          <w:rFonts w:ascii="Verdana" w:hAnsi="Verdana" w:cs="Arial"/>
          <w:b/>
          <w:bCs/>
        </w:rPr>
      </w:pPr>
    </w:p>
    <w:p w:rsidRPr="00CB4CE5" w:rsidR="00E930AD" w:rsidP="00D94015" w:rsidRDefault="00E930AD" w14:paraId="10704CF6" w14:textId="77777777">
      <w:pPr>
        <w:spacing w:after="0" w:line="360" w:lineRule="auto"/>
        <w:rPr>
          <w:rFonts w:ascii="Verdana" w:hAnsi="Verdana" w:cs="Arial"/>
          <w:b/>
          <w:bCs/>
          <w:lang w:val="pt-PT"/>
        </w:rPr>
      </w:pPr>
      <w:r w:rsidRPr="00CB4CE5">
        <w:rPr>
          <w:rFonts w:ascii="Verdana" w:hAnsi="Verdana" w:cs="Arial"/>
          <w:b/>
          <w:bCs/>
          <w:lang w:val="pt-PT"/>
        </w:rPr>
        <w:t>Plantas (Termos, Micay, PCH´s)</w:t>
      </w:r>
    </w:p>
    <w:p w:rsidRPr="00CB4CE5" w:rsidR="00C10197" w:rsidP="00D94015" w:rsidRDefault="00C10197" w14:paraId="3F453802" w14:textId="77777777">
      <w:pPr>
        <w:spacing w:after="0" w:line="360" w:lineRule="auto"/>
        <w:rPr>
          <w:rFonts w:ascii="Verdana" w:hAnsi="Verdana" w:cs="Arial"/>
          <w:b/>
          <w:bCs/>
          <w:lang w:val="pt-PT"/>
        </w:rPr>
      </w:pPr>
    </w:p>
    <w:p w:rsidR="00C10197" w:rsidP="004C1932" w:rsidRDefault="00621DBB" w14:paraId="5D8278DF" w14:textId="77777777">
      <w:pPr>
        <w:pStyle w:val="Descripcin"/>
        <w:spacing w:after="0"/>
        <w:jc w:val="center"/>
        <w:rPr>
          <w:rFonts w:ascii="Verdana" w:hAnsi="Verdana"/>
          <w:i w:val="0"/>
          <w:iCs w:val="0"/>
          <w:color w:val="auto"/>
        </w:rPr>
      </w:pPr>
      <w:r w:rsidRPr="00C10197">
        <w:rPr>
          <w:rFonts w:ascii="Verdana" w:hAnsi="Verdana"/>
          <w:i w:val="0"/>
          <w:iCs w:val="0"/>
          <w:color w:val="auto"/>
        </w:rPr>
        <w:t xml:space="preserve">Tabla </w:t>
      </w:r>
      <w:r w:rsidR="00280F0A">
        <w:rPr>
          <w:rFonts w:ascii="Verdana" w:hAnsi="Verdana"/>
          <w:i w:val="0"/>
          <w:iCs w:val="0"/>
          <w:color w:val="auto"/>
        </w:rPr>
        <w:t>No. 4</w:t>
      </w:r>
      <w:r w:rsidRPr="00C10197">
        <w:rPr>
          <w:rFonts w:ascii="Verdana" w:hAnsi="Verdana"/>
          <w:i w:val="0"/>
          <w:iCs w:val="0"/>
          <w:color w:val="auto"/>
        </w:rPr>
        <w:t xml:space="preserve">. Avances </w:t>
      </w:r>
      <w:r w:rsidRPr="00C10197">
        <w:rPr>
          <w:rFonts w:ascii="Verdana" w:hAnsi="Verdana" w:cs="Arial"/>
          <w:i w:val="0"/>
          <w:iCs w:val="0"/>
          <w:color w:val="auto"/>
        </w:rPr>
        <w:t>Plantas</w:t>
      </w:r>
      <w:r w:rsidRPr="00C10197">
        <w:rPr>
          <w:rFonts w:ascii="Verdana" w:hAnsi="Verdana"/>
          <w:i w:val="0"/>
          <w:iCs w:val="0"/>
          <w:color w:val="auto"/>
        </w:rPr>
        <w:t xml:space="preserve"> PES 2024-2026</w:t>
      </w:r>
    </w:p>
    <w:tbl>
      <w:tblPr>
        <w:tblStyle w:val="Tablaconcuadrcula"/>
        <w:tblW w:w="0" w:type="auto"/>
        <w:tblLook w:val="04A0" w:firstRow="1" w:lastRow="0" w:firstColumn="1" w:lastColumn="0" w:noHBand="0" w:noVBand="1"/>
      </w:tblPr>
      <w:tblGrid>
        <w:gridCol w:w="1837"/>
        <w:gridCol w:w="2127"/>
        <w:gridCol w:w="1368"/>
        <w:gridCol w:w="1011"/>
        <w:gridCol w:w="895"/>
        <w:gridCol w:w="1590"/>
      </w:tblGrid>
      <w:tr w:rsidRPr="00C10197" w:rsidR="00DA0FD6" w:rsidTr="30CF4445" w14:paraId="7421BFE2" w14:textId="77777777">
        <w:tc>
          <w:tcPr>
            <w:tcW w:w="1837" w:type="dxa"/>
            <w:shd w:val="clear" w:color="auto" w:fill="A6A6A6" w:themeFill="background1" w:themeFillShade="A6"/>
            <w:tcMar/>
            <w:vAlign w:val="center"/>
          </w:tcPr>
          <w:p w:rsidRPr="00C10197" w:rsidR="00DA0FD6" w:rsidP="0081023B" w:rsidRDefault="00DA0FD6" w14:paraId="7163DC2C" w14:textId="77777777">
            <w:pPr>
              <w:jc w:val="center"/>
              <w:rPr>
                <w:rFonts w:ascii="Verdana" w:hAnsi="Verdana" w:cs="Arial"/>
                <w:b/>
                <w:bCs/>
                <w:sz w:val="18"/>
                <w:szCs w:val="18"/>
              </w:rPr>
            </w:pPr>
            <w:r w:rsidRPr="00C10197">
              <w:rPr>
                <w:rFonts w:ascii="Verdana" w:hAnsi="Verdana" w:cs="Arial"/>
                <w:b/>
                <w:bCs/>
                <w:sz w:val="18"/>
                <w:szCs w:val="18"/>
              </w:rPr>
              <w:t>Indicador</w:t>
            </w:r>
          </w:p>
        </w:tc>
        <w:tc>
          <w:tcPr>
            <w:tcW w:w="2127" w:type="dxa"/>
            <w:shd w:val="clear" w:color="auto" w:fill="A6A6A6" w:themeFill="background1" w:themeFillShade="A6"/>
            <w:tcMar/>
            <w:vAlign w:val="center"/>
          </w:tcPr>
          <w:p w:rsidRPr="00C10197" w:rsidR="00DA0FD6" w:rsidP="0081023B" w:rsidRDefault="00DA0FD6" w14:paraId="1F028A09" w14:textId="40091108">
            <w:pPr>
              <w:jc w:val="center"/>
              <w:rPr>
                <w:rFonts w:ascii="Verdana" w:hAnsi="Verdana" w:cs="Arial"/>
                <w:b w:val="1"/>
                <w:bCs w:val="1"/>
                <w:sz w:val="18"/>
                <w:szCs w:val="18"/>
              </w:rPr>
            </w:pPr>
            <w:r w:rsidRPr="30CF4445" w:rsidR="71087BB7">
              <w:rPr>
                <w:rFonts w:ascii="Verdana" w:hAnsi="Verdana" w:cs="Arial"/>
                <w:b w:val="1"/>
                <w:bCs w:val="1"/>
                <w:sz w:val="18"/>
                <w:szCs w:val="18"/>
              </w:rPr>
              <w:t>F</w:t>
            </w:r>
            <w:r w:rsidRPr="30CF4445" w:rsidR="42E24F35">
              <w:rPr>
                <w:rFonts w:ascii="Verdana" w:hAnsi="Verdana" w:cs="Arial"/>
                <w:b w:val="1"/>
                <w:bCs w:val="1"/>
                <w:sz w:val="18"/>
                <w:szCs w:val="18"/>
              </w:rPr>
              <w:t>ó</w:t>
            </w:r>
            <w:r w:rsidRPr="30CF4445" w:rsidR="71087BB7">
              <w:rPr>
                <w:rFonts w:ascii="Verdana" w:hAnsi="Verdana" w:cs="Arial"/>
                <w:b w:val="1"/>
                <w:bCs w:val="1"/>
                <w:sz w:val="18"/>
                <w:szCs w:val="18"/>
              </w:rPr>
              <w:t>rmula</w:t>
            </w:r>
          </w:p>
        </w:tc>
        <w:tc>
          <w:tcPr>
            <w:tcW w:w="1368" w:type="dxa"/>
            <w:shd w:val="clear" w:color="auto" w:fill="A6A6A6" w:themeFill="background1" w:themeFillShade="A6"/>
            <w:tcMar/>
            <w:vAlign w:val="center"/>
          </w:tcPr>
          <w:p w:rsidRPr="00C10197" w:rsidR="00DA0FD6" w:rsidP="0081023B" w:rsidRDefault="00DA0FD6" w14:paraId="3F762D19" w14:textId="77777777">
            <w:pPr>
              <w:jc w:val="center"/>
              <w:rPr>
                <w:rFonts w:ascii="Verdana" w:hAnsi="Verdana" w:cs="Arial"/>
                <w:b/>
                <w:bCs/>
                <w:sz w:val="18"/>
                <w:szCs w:val="18"/>
              </w:rPr>
            </w:pPr>
            <w:r w:rsidRPr="00C10197">
              <w:rPr>
                <w:rFonts w:ascii="Verdana" w:hAnsi="Verdana" w:cs="Arial"/>
                <w:b/>
                <w:bCs/>
                <w:sz w:val="18"/>
                <w:szCs w:val="18"/>
              </w:rPr>
              <w:t>Meta Cuatrienio</w:t>
            </w:r>
          </w:p>
        </w:tc>
        <w:tc>
          <w:tcPr>
            <w:tcW w:w="1011" w:type="dxa"/>
            <w:shd w:val="clear" w:color="auto" w:fill="A6A6A6" w:themeFill="background1" w:themeFillShade="A6"/>
            <w:tcMar/>
            <w:vAlign w:val="center"/>
          </w:tcPr>
          <w:p w:rsidRPr="00C10197" w:rsidR="00DA0FD6" w:rsidP="0081023B" w:rsidRDefault="00DA0FD6" w14:paraId="33ACE9E8" w14:textId="77777777">
            <w:pPr>
              <w:jc w:val="center"/>
              <w:rPr>
                <w:rFonts w:ascii="Verdana" w:hAnsi="Verdana" w:cs="Arial"/>
                <w:b/>
                <w:bCs/>
                <w:sz w:val="18"/>
                <w:szCs w:val="18"/>
              </w:rPr>
            </w:pPr>
            <w:r w:rsidRPr="00C10197">
              <w:rPr>
                <w:rFonts w:ascii="Verdana" w:hAnsi="Verdana" w:cs="Arial"/>
                <w:b/>
                <w:bCs/>
                <w:sz w:val="18"/>
                <w:szCs w:val="18"/>
              </w:rPr>
              <w:t>Meta 2024</w:t>
            </w:r>
          </w:p>
        </w:tc>
        <w:tc>
          <w:tcPr>
            <w:tcW w:w="895" w:type="dxa"/>
            <w:shd w:val="clear" w:color="auto" w:fill="A6A6A6" w:themeFill="background1" w:themeFillShade="A6"/>
            <w:tcMar/>
            <w:vAlign w:val="center"/>
          </w:tcPr>
          <w:p w:rsidRPr="00C10197" w:rsidR="00DA0FD6" w:rsidP="0081023B" w:rsidRDefault="00DA0FD6" w14:paraId="0B962A3F" w14:textId="77777777">
            <w:pPr>
              <w:jc w:val="center"/>
              <w:rPr>
                <w:rFonts w:ascii="Verdana" w:hAnsi="Verdana" w:cs="Arial"/>
                <w:b/>
                <w:bCs/>
                <w:sz w:val="18"/>
                <w:szCs w:val="18"/>
              </w:rPr>
            </w:pPr>
            <w:r w:rsidRPr="00C10197">
              <w:rPr>
                <w:rFonts w:ascii="Verdana" w:hAnsi="Verdana" w:cs="Arial"/>
                <w:b/>
                <w:bCs/>
                <w:sz w:val="18"/>
                <w:szCs w:val="18"/>
              </w:rPr>
              <w:t>Meta 2025</w:t>
            </w:r>
          </w:p>
        </w:tc>
        <w:tc>
          <w:tcPr>
            <w:tcW w:w="1590" w:type="dxa"/>
            <w:shd w:val="clear" w:color="auto" w:fill="A6A6A6" w:themeFill="background1" w:themeFillShade="A6"/>
            <w:tcMar/>
            <w:vAlign w:val="center"/>
          </w:tcPr>
          <w:p w:rsidRPr="00C10197" w:rsidR="00DA0FD6" w:rsidP="0081023B" w:rsidRDefault="00DA0FD6" w14:paraId="1ADF78DF" w14:textId="77777777">
            <w:pPr>
              <w:jc w:val="center"/>
              <w:rPr>
                <w:rFonts w:ascii="Verdana" w:hAnsi="Verdana" w:cs="Arial"/>
                <w:b/>
                <w:bCs/>
                <w:sz w:val="18"/>
                <w:szCs w:val="18"/>
              </w:rPr>
            </w:pPr>
            <w:r w:rsidRPr="00C10197">
              <w:rPr>
                <w:rFonts w:ascii="Verdana" w:hAnsi="Verdana" w:cs="Arial"/>
                <w:b/>
                <w:bCs/>
                <w:sz w:val="18"/>
                <w:szCs w:val="18"/>
              </w:rPr>
              <w:t>Avance Acumulado</w:t>
            </w:r>
          </w:p>
          <w:p w:rsidRPr="00C10197" w:rsidR="00DA0FD6" w:rsidP="0081023B" w:rsidRDefault="00DA0FD6" w14:paraId="0A2CCF84" w14:textId="77777777">
            <w:pPr>
              <w:jc w:val="center"/>
              <w:rPr>
                <w:rFonts w:ascii="Verdana" w:hAnsi="Verdana" w:cs="Arial"/>
                <w:b/>
                <w:bCs/>
                <w:sz w:val="18"/>
                <w:szCs w:val="18"/>
              </w:rPr>
            </w:pPr>
            <w:r w:rsidRPr="00C10197">
              <w:rPr>
                <w:rFonts w:ascii="Verdana" w:hAnsi="Verdana" w:cs="Arial"/>
                <w:b/>
                <w:bCs/>
                <w:sz w:val="18"/>
                <w:szCs w:val="18"/>
              </w:rPr>
              <w:t>1° TRIM 2026</w:t>
            </w:r>
          </w:p>
        </w:tc>
      </w:tr>
      <w:tr w:rsidRPr="00C10197" w:rsidR="00DA0FD6" w:rsidTr="30CF4445" w14:paraId="3432146C" w14:textId="77777777">
        <w:tc>
          <w:tcPr>
            <w:tcW w:w="1837" w:type="dxa"/>
            <w:tcMar/>
            <w:vAlign w:val="center"/>
          </w:tcPr>
          <w:p w:rsidRPr="00C10197" w:rsidR="00DA0FD6" w:rsidP="00280F0A" w:rsidRDefault="00DA0FD6" w14:paraId="4DCB4580" w14:textId="77777777">
            <w:pPr>
              <w:jc w:val="both"/>
              <w:rPr>
                <w:rFonts w:ascii="Verdana" w:hAnsi="Verdana" w:cs="Arial"/>
                <w:sz w:val="18"/>
                <w:szCs w:val="18"/>
              </w:rPr>
            </w:pPr>
            <w:r w:rsidRPr="00C10197">
              <w:rPr>
                <w:rFonts w:ascii="Verdana" w:hAnsi="Verdana" w:cs="Arial"/>
                <w:sz w:val="18"/>
                <w:szCs w:val="18"/>
              </w:rPr>
              <w:t>Estructuración del Plan Energía Suroccidente.</w:t>
            </w:r>
          </w:p>
        </w:tc>
        <w:tc>
          <w:tcPr>
            <w:tcW w:w="2127" w:type="dxa"/>
            <w:tcMar/>
            <w:vAlign w:val="center"/>
          </w:tcPr>
          <w:p w:rsidRPr="00C10197" w:rsidR="00DA0FD6" w:rsidP="00280F0A" w:rsidRDefault="00DA0FD6" w14:paraId="0A3617D8" w14:textId="77777777">
            <w:pPr>
              <w:jc w:val="both"/>
              <w:rPr>
                <w:rFonts w:ascii="Verdana" w:hAnsi="Verdana" w:cs="Arial"/>
                <w:sz w:val="18"/>
                <w:szCs w:val="18"/>
              </w:rPr>
            </w:pPr>
            <w:r w:rsidRPr="00C10197">
              <w:rPr>
                <w:rFonts w:ascii="Verdana" w:hAnsi="Verdana" w:cs="Arial"/>
                <w:sz w:val="18"/>
                <w:szCs w:val="18"/>
              </w:rPr>
              <w:t>Porcentaje de avance en la consecución de financiación para la implementación de transición de termoeléctricas</w:t>
            </w:r>
          </w:p>
        </w:tc>
        <w:tc>
          <w:tcPr>
            <w:tcW w:w="1368" w:type="dxa"/>
            <w:tcMar/>
            <w:vAlign w:val="center"/>
          </w:tcPr>
          <w:p w:rsidRPr="00C10197" w:rsidR="00DA0FD6" w:rsidP="004C1932" w:rsidRDefault="00DA0FD6" w14:paraId="583D72DD" w14:textId="77777777">
            <w:pPr>
              <w:jc w:val="center"/>
              <w:rPr>
                <w:rFonts w:ascii="Verdana" w:hAnsi="Verdana" w:cs="Arial"/>
                <w:sz w:val="18"/>
                <w:szCs w:val="18"/>
              </w:rPr>
            </w:pPr>
            <w:r w:rsidRPr="00C10197">
              <w:rPr>
                <w:rFonts w:ascii="Verdana" w:hAnsi="Verdana" w:cs="Arial"/>
                <w:sz w:val="18"/>
                <w:szCs w:val="18"/>
              </w:rPr>
              <w:t>1</w:t>
            </w:r>
          </w:p>
        </w:tc>
        <w:tc>
          <w:tcPr>
            <w:tcW w:w="1011" w:type="dxa"/>
            <w:tcMar/>
            <w:vAlign w:val="center"/>
          </w:tcPr>
          <w:p w:rsidRPr="00C10197" w:rsidR="00DA0FD6" w:rsidP="004C1932" w:rsidRDefault="00DA0FD6" w14:paraId="486C675E" w14:textId="77777777">
            <w:pPr>
              <w:jc w:val="center"/>
              <w:rPr>
                <w:rFonts w:ascii="Verdana" w:hAnsi="Verdana" w:cs="Arial"/>
                <w:sz w:val="18"/>
                <w:szCs w:val="18"/>
              </w:rPr>
            </w:pPr>
            <w:r w:rsidRPr="00C10197">
              <w:rPr>
                <w:rFonts w:ascii="Verdana" w:hAnsi="Verdana" w:cs="Arial"/>
                <w:sz w:val="18"/>
                <w:szCs w:val="18"/>
              </w:rPr>
              <w:t>0.8</w:t>
            </w:r>
          </w:p>
        </w:tc>
        <w:tc>
          <w:tcPr>
            <w:tcW w:w="895" w:type="dxa"/>
            <w:tcMar/>
            <w:vAlign w:val="center"/>
          </w:tcPr>
          <w:p w:rsidRPr="00C10197" w:rsidR="00DA0FD6" w:rsidP="004C1932" w:rsidRDefault="00DA0FD6" w14:paraId="01C66E40" w14:textId="77777777">
            <w:pPr>
              <w:jc w:val="center"/>
              <w:rPr>
                <w:rFonts w:ascii="Verdana" w:hAnsi="Verdana" w:cs="Arial"/>
                <w:sz w:val="18"/>
                <w:szCs w:val="18"/>
              </w:rPr>
            </w:pPr>
            <w:r w:rsidRPr="00C10197">
              <w:rPr>
                <w:rFonts w:ascii="Verdana" w:hAnsi="Verdana" w:cs="Arial"/>
                <w:sz w:val="18"/>
                <w:szCs w:val="18"/>
              </w:rPr>
              <w:t>1</w:t>
            </w:r>
          </w:p>
        </w:tc>
        <w:tc>
          <w:tcPr>
            <w:tcW w:w="1590" w:type="dxa"/>
            <w:tcMar/>
            <w:vAlign w:val="center"/>
          </w:tcPr>
          <w:p w:rsidRPr="00C10197" w:rsidR="00DA0FD6" w:rsidP="004C1932" w:rsidRDefault="00DA0FD6" w14:paraId="34802C59" w14:textId="77777777">
            <w:pPr>
              <w:jc w:val="center"/>
              <w:rPr>
                <w:rFonts w:ascii="Verdana" w:hAnsi="Verdana" w:cs="Arial"/>
                <w:sz w:val="18"/>
                <w:szCs w:val="18"/>
              </w:rPr>
            </w:pPr>
            <w:r w:rsidRPr="00C10197">
              <w:rPr>
                <w:rFonts w:ascii="Verdana" w:hAnsi="Verdana" w:cs="Arial"/>
                <w:sz w:val="18"/>
                <w:szCs w:val="18"/>
              </w:rPr>
              <w:t>1</w:t>
            </w:r>
          </w:p>
        </w:tc>
      </w:tr>
      <w:tr w:rsidRPr="00C10197" w:rsidR="00DA0FD6" w:rsidTr="30CF4445" w14:paraId="6064D6BD" w14:textId="77777777">
        <w:tc>
          <w:tcPr>
            <w:tcW w:w="1837" w:type="dxa"/>
            <w:tcMar/>
            <w:vAlign w:val="center"/>
          </w:tcPr>
          <w:p w:rsidRPr="00C10197" w:rsidR="00DA0FD6" w:rsidP="00280F0A" w:rsidRDefault="00DA0FD6" w14:paraId="004645A9" w14:textId="77777777">
            <w:pPr>
              <w:jc w:val="both"/>
              <w:rPr>
                <w:rFonts w:ascii="Verdana" w:hAnsi="Verdana" w:cs="Arial"/>
                <w:sz w:val="18"/>
                <w:szCs w:val="18"/>
              </w:rPr>
            </w:pPr>
            <w:r w:rsidRPr="00C10197">
              <w:rPr>
                <w:rFonts w:ascii="Verdana" w:hAnsi="Verdana" w:cs="Arial"/>
                <w:sz w:val="18"/>
                <w:szCs w:val="18"/>
              </w:rPr>
              <w:t>Estructuración y consecución de financiamiento para la red de generación de energía del Pacífico (Micay y PCH´s)</w:t>
            </w:r>
          </w:p>
        </w:tc>
        <w:tc>
          <w:tcPr>
            <w:tcW w:w="2127" w:type="dxa"/>
            <w:tcMar/>
            <w:vAlign w:val="center"/>
          </w:tcPr>
          <w:p w:rsidRPr="00C10197" w:rsidR="00DA0FD6" w:rsidP="00280F0A" w:rsidRDefault="00DA0FD6" w14:paraId="22EB1061" w14:textId="77777777">
            <w:pPr>
              <w:jc w:val="both"/>
              <w:rPr>
                <w:rFonts w:ascii="Verdana" w:hAnsi="Verdana" w:cs="Arial"/>
                <w:sz w:val="18"/>
                <w:szCs w:val="18"/>
              </w:rPr>
            </w:pPr>
            <w:r w:rsidRPr="00C10197">
              <w:rPr>
                <w:rFonts w:ascii="Verdana" w:hAnsi="Verdana" w:cs="Arial"/>
                <w:sz w:val="18"/>
                <w:szCs w:val="18"/>
              </w:rPr>
              <w:t>Porcentaje de avance en la estructuración y consecución de financiamiento para la red de generación de energía del Pacífico (Micay y PCH´s)</w:t>
            </w:r>
          </w:p>
        </w:tc>
        <w:tc>
          <w:tcPr>
            <w:tcW w:w="1368" w:type="dxa"/>
            <w:tcMar/>
            <w:vAlign w:val="center"/>
          </w:tcPr>
          <w:p w:rsidRPr="00C10197" w:rsidR="00DA0FD6" w:rsidP="004C1932" w:rsidRDefault="00DA0FD6" w14:paraId="2EE0249E" w14:textId="77777777">
            <w:pPr>
              <w:jc w:val="center"/>
              <w:rPr>
                <w:rFonts w:ascii="Verdana" w:hAnsi="Verdana" w:cs="Arial"/>
                <w:sz w:val="18"/>
                <w:szCs w:val="18"/>
              </w:rPr>
            </w:pPr>
            <w:r w:rsidRPr="00C10197">
              <w:rPr>
                <w:rFonts w:ascii="Verdana" w:hAnsi="Verdana" w:cs="Arial"/>
                <w:sz w:val="18"/>
                <w:szCs w:val="18"/>
              </w:rPr>
              <w:t>1</w:t>
            </w:r>
          </w:p>
        </w:tc>
        <w:tc>
          <w:tcPr>
            <w:tcW w:w="1011" w:type="dxa"/>
            <w:tcMar/>
            <w:vAlign w:val="center"/>
          </w:tcPr>
          <w:p w:rsidRPr="00C10197" w:rsidR="00DA0FD6" w:rsidP="004C1932" w:rsidRDefault="00DA0FD6" w14:paraId="67E99F48" w14:textId="77777777">
            <w:pPr>
              <w:jc w:val="center"/>
              <w:rPr>
                <w:rFonts w:ascii="Verdana" w:hAnsi="Verdana" w:cs="Arial"/>
                <w:sz w:val="18"/>
                <w:szCs w:val="18"/>
              </w:rPr>
            </w:pPr>
            <w:r w:rsidRPr="00C10197">
              <w:rPr>
                <w:rFonts w:ascii="Verdana" w:hAnsi="Verdana" w:cs="Arial"/>
                <w:sz w:val="18"/>
                <w:szCs w:val="18"/>
              </w:rPr>
              <w:t>0,2</w:t>
            </w:r>
          </w:p>
        </w:tc>
        <w:tc>
          <w:tcPr>
            <w:tcW w:w="895" w:type="dxa"/>
            <w:tcMar/>
            <w:vAlign w:val="center"/>
          </w:tcPr>
          <w:p w:rsidRPr="00C10197" w:rsidR="00DA0FD6" w:rsidP="004C1932" w:rsidRDefault="00DA0FD6" w14:paraId="08907DDA" w14:textId="77777777">
            <w:pPr>
              <w:jc w:val="center"/>
              <w:rPr>
                <w:rFonts w:ascii="Verdana" w:hAnsi="Verdana" w:cs="Arial"/>
                <w:sz w:val="18"/>
                <w:szCs w:val="18"/>
              </w:rPr>
            </w:pPr>
            <w:r w:rsidRPr="00C10197">
              <w:rPr>
                <w:rFonts w:ascii="Verdana" w:hAnsi="Verdana" w:cs="Arial"/>
                <w:sz w:val="18"/>
                <w:szCs w:val="18"/>
              </w:rPr>
              <w:t>0,6</w:t>
            </w:r>
          </w:p>
        </w:tc>
        <w:tc>
          <w:tcPr>
            <w:tcW w:w="1590" w:type="dxa"/>
            <w:tcMar/>
            <w:vAlign w:val="center"/>
          </w:tcPr>
          <w:p w:rsidRPr="00C10197" w:rsidR="00DA0FD6" w:rsidP="004C1932" w:rsidRDefault="00DA0FD6" w14:paraId="2A38CEDE" w14:textId="77777777">
            <w:pPr>
              <w:jc w:val="center"/>
              <w:rPr>
                <w:rFonts w:ascii="Verdana" w:hAnsi="Verdana" w:cs="Arial"/>
                <w:sz w:val="18"/>
                <w:szCs w:val="18"/>
              </w:rPr>
            </w:pPr>
            <w:r w:rsidRPr="00C10197">
              <w:rPr>
                <w:rFonts w:ascii="Verdana" w:hAnsi="Verdana" w:cs="Arial"/>
                <w:sz w:val="18"/>
                <w:szCs w:val="18"/>
              </w:rPr>
              <w:t>1</w:t>
            </w:r>
          </w:p>
        </w:tc>
      </w:tr>
    </w:tbl>
    <w:p w:rsidRPr="004C1932" w:rsidR="00C10197" w:rsidP="004C1932" w:rsidRDefault="00C10197" w14:paraId="178F046D" w14:textId="77777777">
      <w:pPr>
        <w:spacing w:after="0" w:line="240" w:lineRule="auto"/>
        <w:jc w:val="center"/>
        <w:rPr>
          <w:rFonts w:ascii="Verdana" w:hAnsi="Verdana" w:cs="Arial"/>
          <w:sz w:val="10"/>
          <w:szCs w:val="10"/>
        </w:rPr>
      </w:pPr>
    </w:p>
    <w:p w:rsidRPr="00C10197" w:rsidR="004B657C" w:rsidP="004C1932" w:rsidRDefault="662FD906" w14:paraId="64A9956C" w14:textId="77777777">
      <w:pPr>
        <w:spacing w:after="0" w:line="240" w:lineRule="auto"/>
        <w:jc w:val="center"/>
        <w:rPr>
          <w:rFonts w:ascii="Verdana" w:hAnsi="Verdana" w:cs="Arial"/>
          <w:sz w:val="18"/>
          <w:szCs w:val="18"/>
        </w:rPr>
      </w:pPr>
      <w:r w:rsidRPr="180099B3">
        <w:rPr>
          <w:rFonts w:ascii="Verdana" w:hAnsi="Verdana" w:cs="Arial"/>
          <w:sz w:val="18"/>
          <w:szCs w:val="18"/>
        </w:rPr>
        <w:t xml:space="preserve">Fuente: Elaboración propia </w:t>
      </w:r>
      <w:r w:rsidRPr="180099B3" w:rsidR="6ABD9598">
        <w:rPr>
          <w:rFonts w:ascii="Verdana" w:hAnsi="Verdana" w:cs="Arial"/>
          <w:sz w:val="18"/>
          <w:szCs w:val="18"/>
        </w:rPr>
        <w:t xml:space="preserve">OPGI - </w:t>
      </w:r>
      <w:r w:rsidRPr="180099B3">
        <w:rPr>
          <w:rFonts w:ascii="Verdana" w:hAnsi="Verdana" w:cs="Arial"/>
          <w:sz w:val="18"/>
          <w:szCs w:val="18"/>
        </w:rPr>
        <w:t>MME, 31 de marzo 2026.</w:t>
      </w:r>
    </w:p>
    <w:p w:rsidRPr="00C140A0" w:rsidR="00D644F0" w:rsidP="00D94015" w:rsidRDefault="00D644F0" w14:paraId="2FD03642" w14:textId="77777777">
      <w:pPr>
        <w:spacing w:after="0" w:line="360" w:lineRule="auto"/>
        <w:jc w:val="both"/>
        <w:rPr>
          <w:rFonts w:ascii="Verdana" w:hAnsi="Verdana" w:cs="Arial"/>
          <w:sz w:val="24"/>
          <w:szCs w:val="24"/>
        </w:rPr>
      </w:pPr>
      <w:r w:rsidRPr="00C140A0">
        <w:rPr>
          <w:rFonts w:ascii="Verdana" w:hAnsi="Verdana" w:cs="Arial"/>
          <w:sz w:val="24"/>
          <w:szCs w:val="24"/>
        </w:rPr>
        <w:t xml:space="preserve">Frente a los principales logros realizados durante este periodo de tiempo, se contemplan los siguientes: </w:t>
      </w:r>
    </w:p>
    <w:p w:rsidRPr="00C140A0" w:rsidR="00D644F0" w:rsidRDefault="00D644F0" w14:paraId="61BE56DE" w14:textId="77777777">
      <w:pPr>
        <w:pStyle w:val="Prrafodelista"/>
        <w:numPr>
          <w:ilvl w:val="0"/>
          <w:numId w:val="57"/>
        </w:numPr>
        <w:spacing w:after="0" w:line="360" w:lineRule="auto"/>
        <w:ind w:left="709" w:hanging="436"/>
        <w:jc w:val="both"/>
        <w:rPr>
          <w:rFonts w:ascii="Verdana" w:hAnsi="Verdana" w:cs="Arial"/>
          <w:sz w:val="24"/>
          <w:szCs w:val="24"/>
        </w:rPr>
      </w:pPr>
      <w:r w:rsidRPr="00C140A0">
        <w:rPr>
          <w:rFonts w:ascii="Verdana" w:hAnsi="Verdana" w:cs="Arial"/>
          <w:sz w:val="24"/>
          <w:szCs w:val="24"/>
        </w:rPr>
        <w:t>Se diseñaron los mecanismos financieros viables para la Transición Energética de GENSA y GECELCA, quedando pendientes para el primer trimestre de 2025 los Talleres de Capacitación y conocimiento de los modelos.</w:t>
      </w:r>
      <w:r w:rsidRPr="00C140A0">
        <w:rPr>
          <w:rFonts w:ascii="Arial" w:hAnsi="Arial" w:cs="Arial"/>
          <w:sz w:val="24"/>
          <w:szCs w:val="24"/>
        </w:rPr>
        <w:t>​</w:t>
      </w:r>
    </w:p>
    <w:p w:rsidRPr="00C140A0" w:rsidR="00D644F0" w:rsidRDefault="00D644F0" w14:paraId="5E177B22" w14:textId="77777777">
      <w:pPr>
        <w:pStyle w:val="Prrafodelista"/>
        <w:numPr>
          <w:ilvl w:val="0"/>
          <w:numId w:val="57"/>
        </w:numPr>
        <w:spacing w:after="0" w:line="360" w:lineRule="auto"/>
        <w:jc w:val="both"/>
        <w:rPr>
          <w:rFonts w:ascii="Verdana" w:hAnsi="Verdana" w:cs="Arial"/>
          <w:sz w:val="24"/>
          <w:szCs w:val="24"/>
        </w:rPr>
      </w:pPr>
      <w:r w:rsidRPr="00C140A0">
        <w:rPr>
          <w:rFonts w:ascii="Verdana" w:hAnsi="Verdana" w:cs="Arial"/>
          <w:sz w:val="24"/>
          <w:szCs w:val="24"/>
        </w:rPr>
        <w:t>Se logró desarrollar la planeación del Sistema Eléctrico Colombiano con altos porcentajes de fuentes renovables utilizando modelos y herramientas innovadoras.</w:t>
      </w:r>
      <w:r w:rsidRPr="00C140A0">
        <w:rPr>
          <w:rFonts w:ascii="Arial" w:hAnsi="Arial" w:cs="Arial"/>
          <w:sz w:val="24"/>
          <w:szCs w:val="24"/>
        </w:rPr>
        <w:t>​</w:t>
      </w:r>
    </w:p>
    <w:p w:rsidRPr="00C140A0" w:rsidR="00D644F0" w:rsidRDefault="00D644F0" w14:paraId="45DBA430" w14:textId="77777777">
      <w:pPr>
        <w:pStyle w:val="Prrafodelista"/>
        <w:numPr>
          <w:ilvl w:val="0"/>
          <w:numId w:val="57"/>
        </w:numPr>
        <w:spacing w:after="0" w:line="360" w:lineRule="auto"/>
        <w:jc w:val="both"/>
        <w:rPr>
          <w:rFonts w:ascii="Verdana" w:hAnsi="Verdana" w:cs="Arial"/>
          <w:sz w:val="24"/>
          <w:szCs w:val="24"/>
        </w:rPr>
      </w:pPr>
      <w:r w:rsidRPr="00C140A0">
        <w:rPr>
          <w:rFonts w:ascii="Verdana" w:hAnsi="Verdana" w:cs="Arial"/>
          <w:sz w:val="24"/>
          <w:szCs w:val="24"/>
        </w:rPr>
        <w:t xml:space="preserve">Se definió a nivel de </w:t>
      </w:r>
      <w:r w:rsidRPr="00C140A0" w:rsidR="00C10197">
        <w:rPr>
          <w:rFonts w:ascii="Verdana" w:hAnsi="Verdana" w:cs="Arial"/>
          <w:sz w:val="24"/>
          <w:szCs w:val="24"/>
        </w:rPr>
        <w:t>prefactibilidad</w:t>
      </w:r>
      <w:r w:rsidRPr="00C140A0">
        <w:rPr>
          <w:rFonts w:ascii="Verdana" w:hAnsi="Verdana" w:cs="Arial"/>
          <w:sz w:val="24"/>
          <w:szCs w:val="24"/>
        </w:rPr>
        <w:t xml:space="preserve"> la posible Reconversión de GECELCA 3.2 y Termoguajira.</w:t>
      </w:r>
      <w:r w:rsidRPr="00C140A0">
        <w:rPr>
          <w:rFonts w:ascii="Arial" w:hAnsi="Arial" w:cs="Arial"/>
          <w:sz w:val="24"/>
          <w:szCs w:val="24"/>
        </w:rPr>
        <w:t>​</w:t>
      </w:r>
    </w:p>
    <w:p w:rsidRPr="00C140A0" w:rsidR="00D644F0" w:rsidRDefault="00D644F0" w14:paraId="1636A14D" w14:textId="77777777">
      <w:pPr>
        <w:pStyle w:val="Prrafodelista"/>
        <w:numPr>
          <w:ilvl w:val="0"/>
          <w:numId w:val="57"/>
        </w:numPr>
        <w:spacing w:after="0" w:line="360" w:lineRule="auto"/>
        <w:jc w:val="both"/>
        <w:rPr>
          <w:rFonts w:ascii="Verdana" w:hAnsi="Verdana" w:cs="Arial"/>
          <w:sz w:val="24"/>
          <w:szCs w:val="24"/>
        </w:rPr>
      </w:pPr>
      <w:r w:rsidRPr="00C140A0">
        <w:rPr>
          <w:rFonts w:ascii="Verdana" w:hAnsi="Verdana" w:cs="Arial"/>
          <w:sz w:val="24"/>
          <w:szCs w:val="24"/>
        </w:rPr>
        <w:t>Se definió una hoja de ruta de trabajo con las organizaciones Aliadas POLEN, CIPAME y TRANSFORMA.  Sin embargo, se deberá replantear y volver a revisar de cara al 2025 y 2026 por asuntos y criterios internos de estas organizaciones.</w:t>
      </w:r>
    </w:p>
    <w:p w:rsidRPr="00C140A0" w:rsidR="00D644F0" w:rsidRDefault="00D644F0" w14:paraId="48D6D4F9" w14:textId="68E144E5">
      <w:pPr>
        <w:pStyle w:val="Prrafodelista"/>
        <w:numPr>
          <w:ilvl w:val="0"/>
          <w:numId w:val="57"/>
        </w:numPr>
        <w:spacing w:after="0" w:line="360" w:lineRule="auto"/>
        <w:jc w:val="both"/>
        <w:rPr>
          <w:rFonts w:ascii="Verdana" w:hAnsi="Verdana" w:cs="Arial"/>
          <w:sz w:val="24"/>
          <w:szCs w:val="24"/>
        </w:rPr>
      </w:pPr>
      <w:r w:rsidRPr="30CF4445" w:rsidR="20364B3E">
        <w:rPr>
          <w:rFonts w:ascii="Verdana" w:hAnsi="Verdana" w:cs="Arial"/>
          <w:sz w:val="24"/>
          <w:szCs w:val="24"/>
        </w:rPr>
        <w:t>El Ministerio de Minas y Energía ya cuenta con el Plan de Transición de sus termoeléctrica</w:t>
      </w:r>
      <w:r w:rsidRPr="30CF4445" w:rsidR="62256412">
        <w:rPr>
          <w:rFonts w:ascii="Verdana" w:hAnsi="Verdana" w:cs="Arial"/>
          <w:sz w:val="24"/>
          <w:szCs w:val="24"/>
        </w:rPr>
        <w:t>s</w:t>
      </w:r>
      <w:r w:rsidRPr="30CF4445" w:rsidR="20364B3E">
        <w:rPr>
          <w:rFonts w:ascii="Verdana" w:hAnsi="Verdana" w:cs="Arial"/>
          <w:sz w:val="24"/>
          <w:szCs w:val="24"/>
        </w:rPr>
        <w:t>.</w:t>
      </w:r>
    </w:p>
    <w:p w:rsidRPr="00C140A0" w:rsidR="00D644F0" w:rsidRDefault="00D644F0" w14:paraId="74B531AA" w14:textId="26CBF66E">
      <w:pPr>
        <w:pStyle w:val="Prrafodelista"/>
        <w:numPr>
          <w:ilvl w:val="0"/>
          <w:numId w:val="57"/>
        </w:numPr>
        <w:spacing w:after="0" w:line="360" w:lineRule="auto"/>
        <w:jc w:val="both"/>
        <w:rPr>
          <w:rFonts w:ascii="Verdana" w:hAnsi="Verdana" w:cs="Arial"/>
          <w:sz w:val="24"/>
          <w:szCs w:val="24"/>
        </w:rPr>
      </w:pPr>
      <w:r w:rsidRPr="00C140A0">
        <w:rPr>
          <w:rFonts w:ascii="Verdana" w:hAnsi="Verdana" w:cs="Arial"/>
          <w:sz w:val="24"/>
          <w:szCs w:val="24"/>
        </w:rPr>
        <w:t xml:space="preserve">Se dio la creación de la Promotora. </w:t>
      </w:r>
      <w:r w:rsidRPr="00C140A0">
        <w:rPr>
          <w:rFonts w:ascii="Arial" w:hAnsi="Arial" w:cs="Arial"/>
          <w:sz w:val="24"/>
          <w:szCs w:val="24"/>
        </w:rPr>
        <w:t>​</w:t>
      </w:r>
      <w:r w:rsidRPr="00C140A0">
        <w:rPr>
          <w:rFonts w:ascii="Verdana" w:hAnsi="Verdana" w:cs="Arial"/>
          <w:sz w:val="24"/>
          <w:szCs w:val="24"/>
        </w:rPr>
        <w:t xml:space="preserve">Ordenanza No. 067 - 4 de diciembre de 2024 “Por la cual se autoriza al Gobernador del Departamento del Cauca, para crear </w:t>
      </w:r>
      <w:r w:rsidR="00E90557">
        <w:rPr>
          <w:rFonts w:ascii="Verdana" w:hAnsi="Verdana" w:cs="Arial"/>
          <w:sz w:val="24"/>
          <w:szCs w:val="24"/>
        </w:rPr>
        <w:t>u</w:t>
      </w:r>
      <w:r w:rsidRPr="00C140A0">
        <w:rPr>
          <w:rFonts w:ascii="Verdana" w:hAnsi="Verdana" w:cs="Arial"/>
          <w:sz w:val="24"/>
          <w:szCs w:val="24"/>
        </w:rPr>
        <w:t>na sociedad de economía mixta denominada “CAUCA FUTURA S.A.”, y se dictan otras disposiciones”.</w:t>
      </w:r>
      <w:r w:rsidRPr="00C140A0">
        <w:rPr>
          <w:rFonts w:ascii="Arial" w:hAnsi="Arial" w:cs="Arial"/>
          <w:sz w:val="24"/>
          <w:szCs w:val="24"/>
        </w:rPr>
        <w:t>​</w:t>
      </w:r>
    </w:p>
    <w:p w:rsidRPr="00C140A0" w:rsidR="00D644F0" w:rsidRDefault="00D644F0" w14:paraId="663F4576" w14:textId="77777777">
      <w:pPr>
        <w:pStyle w:val="Prrafodelista"/>
        <w:numPr>
          <w:ilvl w:val="0"/>
          <w:numId w:val="57"/>
        </w:numPr>
        <w:spacing w:after="0" w:line="360" w:lineRule="auto"/>
        <w:jc w:val="both"/>
        <w:rPr>
          <w:rFonts w:ascii="Verdana" w:hAnsi="Verdana" w:cs="Arial"/>
          <w:sz w:val="24"/>
          <w:szCs w:val="24"/>
        </w:rPr>
      </w:pPr>
      <w:r w:rsidRPr="00C140A0">
        <w:rPr>
          <w:rFonts w:ascii="Verdana" w:hAnsi="Verdana" w:cs="Arial"/>
          <w:sz w:val="24"/>
          <w:szCs w:val="24"/>
        </w:rPr>
        <w:t>Definimos la hoja de ruta para la construcción de un Plan Social para prevenir los impactos en conjunto con la Gobernación del Cauca y el Ministerio de Minas y Energía.</w:t>
      </w:r>
    </w:p>
    <w:p w:rsidRPr="00C140A0" w:rsidR="00D644F0" w:rsidRDefault="00D644F0" w14:paraId="24589FB4" w14:textId="51D64A35">
      <w:pPr>
        <w:pStyle w:val="Prrafodelista"/>
        <w:numPr>
          <w:ilvl w:val="0"/>
          <w:numId w:val="57"/>
        </w:numPr>
        <w:spacing w:after="0" w:line="360" w:lineRule="auto"/>
        <w:jc w:val="both"/>
        <w:rPr>
          <w:rFonts w:ascii="Verdana" w:hAnsi="Verdana" w:cs="Arial"/>
          <w:sz w:val="24"/>
          <w:szCs w:val="24"/>
        </w:rPr>
      </w:pPr>
      <w:r w:rsidRPr="30CF4445" w:rsidR="20364B3E">
        <w:rPr>
          <w:rFonts w:ascii="Verdana" w:hAnsi="Verdana" w:cs="Arial"/>
          <w:sz w:val="24"/>
          <w:szCs w:val="24"/>
        </w:rPr>
        <w:t xml:space="preserve">Durante el análisis técnico para la construcción de la hidroeléctrica </w:t>
      </w:r>
      <w:r w:rsidRPr="30CF4445" w:rsidR="20364B3E">
        <w:rPr>
          <w:rFonts w:ascii="Verdana" w:hAnsi="Verdana" w:cs="Arial"/>
          <w:sz w:val="24"/>
          <w:szCs w:val="24"/>
        </w:rPr>
        <w:t>L</w:t>
      </w:r>
      <w:r w:rsidRPr="30CF4445" w:rsidR="59833F87">
        <w:rPr>
          <w:rFonts w:ascii="Verdana" w:hAnsi="Verdana" w:cs="Arial"/>
          <w:sz w:val="24"/>
          <w:szCs w:val="24"/>
        </w:rPr>
        <w:t>ó</w:t>
      </w:r>
      <w:r w:rsidRPr="30CF4445" w:rsidR="20364B3E">
        <w:rPr>
          <w:rFonts w:ascii="Verdana" w:hAnsi="Verdana" w:cs="Arial"/>
          <w:sz w:val="24"/>
          <w:szCs w:val="24"/>
        </w:rPr>
        <w:t>p</w:t>
      </w:r>
      <w:r w:rsidRPr="30CF4445" w:rsidR="301E07C4">
        <w:rPr>
          <w:rFonts w:ascii="Verdana" w:hAnsi="Verdana" w:cs="Arial"/>
          <w:sz w:val="24"/>
          <w:szCs w:val="24"/>
        </w:rPr>
        <w:t>e</w:t>
      </w:r>
      <w:r w:rsidRPr="30CF4445" w:rsidR="20364B3E">
        <w:rPr>
          <w:rFonts w:ascii="Verdana" w:hAnsi="Verdana" w:cs="Arial"/>
          <w:sz w:val="24"/>
          <w:szCs w:val="24"/>
        </w:rPr>
        <w:t>z</w:t>
      </w:r>
      <w:r w:rsidRPr="30CF4445" w:rsidR="20364B3E">
        <w:rPr>
          <w:rFonts w:ascii="Verdana" w:hAnsi="Verdana" w:cs="Arial"/>
          <w:sz w:val="24"/>
          <w:szCs w:val="24"/>
        </w:rPr>
        <w:t xml:space="preserve"> de Micay, se concluyó que la opción ambiental, social y económicamente sostenible en la región es la construcción de comunidades energéticas. Por esta razón, se descartó la construcción de la hidroeléctrica.</w:t>
      </w:r>
    </w:p>
    <w:p w:rsidRPr="00C140A0" w:rsidR="004B657C" w:rsidP="00D94015" w:rsidRDefault="004B657C" w14:paraId="76F37C14" w14:textId="77777777">
      <w:pPr>
        <w:spacing w:after="0" w:line="360" w:lineRule="auto"/>
        <w:rPr>
          <w:rFonts w:ascii="Verdana" w:hAnsi="Verdana" w:cs="Arial"/>
          <w:sz w:val="24"/>
          <w:szCs w:val="24"/>
        </w:rPr>
      </w:pPr>
    </w:p>
    <w:p w:rsidR="00CD6C14" w:rsidP="00D94015" w:rsidRDefault="00CD6C14" w14:paraId="75EBF43D" w14:textId="77777777">
      <w:pPr>
        <w:spacing w:after="0" w:line="360" w:lineRule="auto"/>
        <w:rPr>
          <w:rFonts w:ascii="Verdana" w:hAnsi="Verdana" w:cs="Arial"/>
          <w:b/>
          <w:bCs/>
          <w:sz w:val="24"/>
          <w:szCs w:val="24"/>
        </w:rPr>
      </w:pPr>
      <w:r w:rsidRPr="00C140A0">
        <w:rPr>
          <w:rFonts w:ascii="Verdana" w:hAnsi="Verdana" w:cs="Arial"/>
          <w:b/>
          <w:bCs/>
          <w:sz w:val="24"/>
          <w:szCs w:val="24"/>
        </w:rPr>
        <w:t>Electromovilidad</w:t>
      </w:r>
    </w:p>
    <w:p w:rsidRPr="00C140A0" w:rsidR="00C10197" w:rsidP="00D94015" w:rsidRDefault="00C10197" w14:paraId="7805B46E" w14:textId="77777777">
      <w:pPr>
        <w:spacing w:after="0" w:line="360" w:lineRule="auto"/>
        <w:rPr>
          <w:rFonts w:ascii="Verdana" w:hAnsi="Verdana" w:cs="Arial"/>
          <w:b/>
          <w:bCs/>
          <w:sz w:val="24"/>
          <w:szCs w:val="24"/>
        </w:rPr>
      </w:pPr>
    </w:p>
    <w:p w:rsidRPr="0081023B" w:rsidR="00C10197" w:rsidP="0081023B" w:rsidRDefault="00CD6C14" w14:paraId="0DE7CBF0" w14:textId="77777777">
      <w:pPr>
        <w:pStyle w:val="Descripcin"/>
        <w:spacing w:after="0"/>
        <w:jc w:val="center"/>
        <w:rPr>
          <w:rFonts w:ascii="Verdana" w:hAnsi="Verdana"/>
          <w:i w:val="0"/>
          <w:iCs w:val="0"/>
          <w:color w:val="auto"/>
        </w:rPr>
      </w:pPr>
      <w:r w:rsidRPr="00C10197">
        <w:rPr>
          <w:rFonts w:ascii="Verdana" w:hAnsi="Verdana"/>
          <w:i w:val="0"/>
          <w:iCs w:val="0"/>
          <w:color w:val="auto"/>
        </w:rPr>
        <w:t>Tabla</w:t>
      </w:r>
      <w:r w:rsidR="00280F0A">
        <w:rPr>
          <w:rFonts w:ascii="Verdana" w:hAnsi="Verdana"/>
          <w:i w:val="0"/>
          <w:iCs w:val="0"/>
          <w:color w:val="auto"/>
        </w:rPr>
        <w:t xml:space="preserve"> No. 5</w:t>
      </w:r>
      <w:r w:rsidRPr="00C10197">
        <w:rPr>
          <w:rFonts w:ascii="Verdana" w:hAnsi="Verdana"/>
          <w:i w:val="0"/>
          <w:iCs w:val="0"/>
          <w:color w:val="auto"/>
        </w:rPr>
        <w:t xml:space="preserve">. Avances </w:t>
      </w:r>
      <w:r w:rsidRPr="00C10197">
        <w:rPr>
          <w:rFonts w:ascii="Verdana" w:hAnsi="Verdana" w:cs="Arial"/>
          <w:i w:val="0"/>
          <w:iCs w:val="0"/>
          <w:color w:val="auto"/>
        </w:rPr>
        <w:t>Electromovilidad</w:t>
      </w:r>
      <w:r w:rsidRPr="00C10197">
        <w:rPr>
          <w:rFonts w:ascii="Verdana" w:hAnsi="Verdana"/>
          <w:i w:val="0"/>
          <w:iCs w:val="0"/>
          <w:color w:val="auto"/>
        </w:rPr>
        <w:t xml:space="preserve"> PES 2024-2026</w:t>
      </w:r>
    </w:p>
    <w:tbl>
      <w:tblPr>
        <w:tblStyle w:val="Tablaconcuadrcula"/>
        <w:tblW w:w="0" w:type="auto"/>
        <w:tblLook w:val="04A0" w:firstRow="1" w:lastRow="0" w:firstColumn="1" w:lastColumn="0" w:noHBand="0" w:noVBand="1"/>
      </w:tblPr>
      <w:tblGrid>
        <w:gridCol w:w="1844"/>
        <w:gridCol w:w="1844"/>
        <w:gridCol w:w="1548"/>
        <w:gridCol w:w="1135"/>
        <w:gridCol w:w="934"/>
        <w:gridCol w:w="1523"/>
      </w:tblGrid>
      <w:tr w:rsidRPr="00C10197" w:rsidR="00621E00" w:rsidTr="30CF4445" w14:paraId="764A1EC0" w14:textId="77777777">
        <w:tc>
          <w:tcPr>
            <w:tcW w:w="1844" w:type="dxa"/>
            <w:shd w:val="clear" w:color="auto" w:fill="A6A6A6" w:themeFill="background1" w:themeFillShade="A6"/>
            <w:tcMar/>
            <w:vAlign w:val="center"/>
          </w:tcPr>
          <w:p w:rsidRPr="00C10197" w:rsidR="00621E00" w:rsidP="004C1932" w:rsidRDefault="00621E00" w14:paraId="10875FED" w14:textId="77777777">
            <w:pPr>
              <w:jc w:val="center"/>
              <w:rPr>
                <w:rFonts w:ascii="Verdana" w:hAnsi="Verdana" w:cs="Arial"/>
                <w:b/>
                <w:bCs/>
                <w:sz w:val="18"/>
                <w:szCs w:val="18"/>
              </w:rPr>
            </w:pPr>
            <w:r w:rsidRPr="00C10197">
              <w:rPr>
                <w:rFonts w:ascii="Verdana" w:hAnsi="Verdana" w:cs="Arial"/>
                <w:b/>
                <w:bCs/>
                <w:sz w:val="18"/>
                <w:szCs w:val="18"/>
              </w:rPr>
              <w:t>Indicador</w:t>
            </w:r>
          </w:p>
        </w:tc>
        <w:tc>
          <w:tcPr>
            <w:tcW w:w="1844" w:type="dxa"/>
            <w:shd w:val="clear" w:color="auto" w:fill="A6A6A6" w:themeFill="background1" w:themeFillShade="A6"/>
            <w:tcMar/>
            <w:vAlign w:val="center"/>
          </w:tcPr>
          <w:p w:rsidRPr="00C10197" w:rsidR="00621E00" w:rsidP="004C1932" w:rsidRDefault="00621E00" w14:paraId="3477C13E" w14:textId="329F1753">
            <w:pPr>
              <w:jc w:val="center"/>
              <w:rPr>
                <w:rFonts w:ascii="Verdana" w:hAnsi="Verdana" w:cs="Arial"/>
                <w:b w:val="1"/>
                <w:bCs w:val="1"/>
                <w:sz w:val="18"/>
                <w:szCs w:val="18"/>
              </w:rPr>
            </w:pPr>
            <w:r w:rsidRPr="30CF4445" w:rsidR="61E79107">
              <w:rPr>
                <w:rFonts w:ascii="Verdana" w:hAnsi="Verdana" w:cs="Arial"/>
                <w:b w:val="1"/>
                <w:bCs w:val="1"/>
                <w:sz w:val="18"/>
                <w:szCs w:val="18"/>
              </w:rPr>
              <w:t>F</w:t>
            </w:r>
            <w:r w:rsidRPr="30CF4445" w:rsidR="36CE3975">
              <w:rPr>
                <w:rFonts w:ascii="Verdana" w:hAnsi="Verdana" w:cs="Arial"/>
                <w:b w:val="1"/>
                <w:bCs w:val="1"/>
                <w:sz w:val="18"/>
                <w:szCs w:val="18"/>
              </w:rPr>
              <w:t>ó</w:t>
            </w:r>
            <w:r w:rsidRPr="30CF4445" w:rsidR="61E79107">
              <w:rPr>
                <w:rFonts w:ascii="Verdana" w:hAnsi="Verdana" w:cs="Arial"/>
                <w:b w:val="1"/>
                <w:bCs w:val="1"/>
                <w:sz w:val="18"/>
                <w:szCs w:val="18"/>
              </w:rPr>
              <w:t>rmula</w:t>
            </w:r>
          </w:p>
        </w:tc>
        <w:tc>
          <w:tcPr>
            <w:tcW w:w="1548" w:type="dxa"/>
            <w:shd w:val="clear" w:color="auto" w:fill="A6A6A6" w:themeFill="background1" w:themeFillShade="A6"/>
            <w:tcMar/>
            <w:vAlign w:val="center"/>
          </w:tcPr>
          <w:p w:rsidRPr="00C10197" w:rsidR="00621E00" w:rsidP="004C1932" w:rsidRDefault="00621E00" w14:paraId="713D3F90" w14:textId="77777777">
            <w:pPr>
              <w:jc w:val="center"/>
              <w:rPr>
                <w:rFonts w:ascii="Verdana" w:hAnsi="Verdana" w:cs="Arial"/>
                <w:b/>
                <w:bCs/>
                <w:sz w:val="18"/>
                <w:szCs w:val="18"/>
              </w:rPr>
            </w:pPr>
            <w:r w:rsidRPr="00C10197">
              <w:rPr>
                <w:rFonts w:ascii="Verdana" w:hAnsi="Verdana" w:cs="Arial"/>
                <w:b/>
                <w:bCs/>
                <w:sz w:val="18"/>
                <w:szCs w:val="18"/>
              </w:rPr>
              <w:t>Meta Cuatrienio</w:t>
            </w:r>
          </w:p>
        </w:tc>
        <w:tc>
          <w:tcPr>
            <w:tcW w:w="1135" w:type="dxa"/>
            <w:shd w:val="clear" w:color="auto" w:fill="A6A6A6" w:themeFill="background1" w:themeFillShade="A6"/>
            <w:tcMar/>
            <w:vAlign w:val="center"/>
          </w:tcPr>
          <w:p w:rsidRPr="00C10197" w:rsidR="00621E00" w:rsidP="004C1932" w:rsidRDefault="00621E00" w14:paraId="55BC618F" w14:textId="77777777">
            <w:pPr>
              <w:jc w:val="center"/>
              <w:rPr>
                <w:rFonts w:ascii="Verdana" w:hAnsi="Verdana" w:cs="Arial"/>
                <w:b/>
                <w:bCs/>
                <w:sz w:val="18"/>
                <w:szCs w:val="18"/>
              </w:rPr>
            </w:pPr>
            <w:r w:rsidRPr="00C10197">
              <w:rPr>
                <w:rFonts w:ascii="Verdana" w:hAnsi="Verdana" w:cs="Arial"/>
                <w:b/>
                <w:bCs/>
                <w:sz w:val="18"/>
                <w:szCs w:val="18"/>
              </w:rPr>
              <w:t>Meta 2024</w:t>
            </w:r>
          </w:p>
        </w:tc>
        <w:tc>
          <w:tcPr>
            <w:tcW w:w="934" w:type="dxa"/>
            <w:shd w:val="clear" w:color="auto" w:fill="A6A6A6" w:themeFill="background1" w:themeFillShade="A6"/>
            <w:tcMar/>
            <w:vAlign w:val="center"/>
          </w:tcPr>
          <w:p w:rsidRPr="00C10197" w:rsidR="00621E00" w:rsidP="004C1932" w:rsidRDefault="00621E00" w14:paraId="36F79AAB" w14:textId="77777777">
            <w:pPr>
              <w:jc w:val="center"/>
              <w:rPr>
                <w:rFonts w:ascii="Verdana" w:hAnsi="Verdana" w:cs="Arial"/>
                <w:b/>
                <w:bCs/>
                <w:sz w:val="18"/>
                <w:szCs w:val="18"/>
              </w:rPr>
            </w:pPr>
            <w:r w:rsidRPr="00C10197">
              <w:rPr>
                <w:rFonts w:ascii="Verdana" w:hAnsi="Verdana" w:cs="Arial"/>
                <w:b/>
                <w:bCs/>
                <w:sz w:val="18"/>
                <w:szCs w:val="18"/>
              </w:rPr>
              <w:t>Meta 2025</w:t>
            </w:r>
          </w:p>
        </w:tc>
        <w:tc>
          <w:tcPr>
            <w:tcW w:w="1523" w:type="dxa"/>
            <w:shd w:val="clear" w:color="auto" w:fill="A6A6A6" w:themeFill="background1" w:themeFillShade="A6"/>
            <w:tcMar/>
            <w:vAlign w:val="center"/>
          </w:tcPr>
          <w:p w:rsidRPr="00C10197" w:rsidR="00621E00" w:rsidP="004C1932" w:rsidRDefault="00621E00" w14:paraId="53F5654A" w14:textId="77777777">
            <w:pPr>
              <w:jc w:val="center"/>
              <w:rPr>
                <w:rFonts w:ascii="Verdana" w:hAnsi="Verdana" w:cs="Arial"/>
                <w:b/>
                <w:bCs/>
                <w:sz w:val="18"/>
                <w:szCs w:val="18"/>
              </w:rPr>
            </w:pPr>
            <w:r w:rsidRPr="00C10197">
              <w:rPr>
                <w:rFonts w:ascii="Verdana" w:hAnsi="Verdana" w:cs="Arial"/>
                <w:b/>
                <w:bCs/>
                <w:sz w:val="18"/>
                <w:szCs w:val="18"/>
              </w:rPr>
              <w:t>Avance Acumulado</w:t>
            </w:r>
          </w:p>
          <w:p w:rsidRPr="00C10197" w:rsidR="00621E00" w:rsidP="004C1932" w:rsidRDefault="00621E00" w14:paraId="083BB98E" w14:textId="77777777">
            <w:pPr>
              <w:jc w:val="center"/>
              <w:rPr>
                <w:rFonts w:ascii="Verdana" w:hAnsi="Verdana" w:cs="Arial"/>
                <w:b/>
                <w:bCs/>
                <w:sz w:val="18"/>
                <w:szCs w:val="18"/>
              </w:rPr>
            </w:pPr>
            <w:r w:rsidRPr="00C10197">
              <w:rPr>
                <w:rFonts w:ascii="Verdana" w:hAnsi="Verdana" w:cs="Arial"/>
                <w:b/>
                <w:bCs/>
                <w:sz w:val="18"/>
                <w:szCs w:val="18"/>
              </w:rPr>
              <w:t>1° TRIM 2026</w:t>
            </w:r>
          </w:p>
        </w:tc>
      </w:tr>
      <w:tr w:rsidRPr="00C10197" w:rsidR="00621E00" w:rsidTr="30CF4445" w14:paraId="0662B248" w14:textId="77777777">
        <w:tc>
          <w:tcPr>
            <w:tcW w:w="1844" w:type="dxa"/>
            <w:tcMar/>
            <w:vAlign w:val="center"/>
          </w:tcPr>
          <w:p w:rsidRPr="00C10197" w:rsidR="00621E00" w:rsidP="004C1932" w:rsidRDefault="00621E00" w14:paraId="148AA55D" w14:textId="77777777">
            <w:pPr>
              <w:rPr>
                <w:rFonts w:ascii="Verdana" w:hAnsi="Verdana" w:cs="Arial"/>
                <w:sz w:val="18"/>
                <w:szCs w:val="18"/>
              </w:rPr>
            </w:pPr>
            <w:r w:rsidRPr="00C10197">
              <w:rPr>
                <w:rFonts w:ascii="Verdana" w:hAnsi="Verdana" w:cs="Arial"/>
                <w:sz w:val="18"/>
                <w:szCs w:val="18"/>
              </w:rPr>
              <w:t>Número de vehículos eléctricos implementados de diferentes categorías, de bajas y cero emisiones</w:t>
            </w:r>
          </w:p>
        </w:tc>
        <w:tc>
          <w:tcPr>
            <w:tcW w:w="1844" w:type="dxa"/>
            <w:tcMar/>
            <w:vAlign w:val="center"/>
          </w:tcPr>
          <w:p w:rsidRPr="00C10197" w:rsidR="00621E00" w:rsidP="004C1932" w:rsidRDefault="00621E00" w14:paraId="25F68CC5" w14:textId="77777777">
            <w:pPr>
              <w:rPr>
                <w:rFonts w:ascii="Verdana" w:hAnsi="Verdana" w:cs="Arial"/>
                <w:sz w:val="18"/>
                <w:szCs w:val="18"/>
              </w:rPr>
            </w:pPr>
            <w:r w:rsidRPr="00C10197">
              <w:rPr>
                <w:rFonts w:ascii="Verdana" w:hAnsi="Verdana" w:cs="Arial"/>
                <w:sz w:val="18"/>
                <w:szCs w:val="18"/>
              </w:rPr>
              <w:t>Número de vehículos eléctricos implementados de diferentes categorías, de bajas y cero emisiones</w:t>
            </w:r>
          </w:p>
        </w:tc>
        <w:tc>
          <w:tcPr>
            <w:tcW w:w="1548" w:type="dxa"/>
            <w:tcMar/>
            <w:vAlign w:val="center"/>
          </w:tcPr>
          <w:p w:rsidRPr="00C10197" w:rsidR="00621E00" w:rsidP="004C1932" w:rsidRDefault="00621E00" w14:paraId="7E832CF1" w14:textId="77777777">
            <w:pPr>
              <w:jc w:val="center"/>
              <w:rPr>
                <w:rFonts w:ascii="Verdana" w:hAnsi="Verdana" w:cs="Arial"/>
                <w:sz w:val="18"/>
                <w:szCs w:val="18"/>
              </w:rPr>
            </w:pPr>
            <w:r w:rsidRPr="00C10197">
              <w:rPr>
                <w:rFonts w:ascii="Verdana" w:hAnsi="Verdana" w:cs="Arial"/>
                <w:sz w:val="18"/>
                <w:szCs w:val="18"/>
              </w:rPr>
              <w:t>2000</w:t>
            </w:r>
          </w:p>
        </w:tc>
        <w:tc>
          <w:tcPr>
            <w:tcW w:w="1135" w:type="dxa"/>
            <w:tcMar/>
            <w:vAlign w:val="center"/>
          </w:tcPr>
          <w:p w:rsidRPr="00C10197" w:rsidR="00621E00" w:rsidP="004C1932" w:rsidRDefault="00621E00" w14:paraId="09600F6B" w14:textId="77777777">
            <w:pPr>
              <w:jc w:val="center"/>
              <w:rPr>
                <w:rFonts w:ascii="Verdana" w:hAnsi="Verdana" w:cs="Arial"/>
                <w:sz w:val="18"/>
                <w:szCs w:val="18"/>
              </w:rPr>
            </w:pPr>
            <w:r w:rsidRPr="00C10197">
              <w:rPr>
                <w:rFonts w:ascii="Verdana" w:hAnsi="Verdana" w:cs="Arial"/>
                <w:sz w:val="18"/>
                <w:szCs w:val="18"/>
              </w:rPr>
              <w:t>100</w:t>
            </w:r>
          </w:p>
        </w:tc>
        <w:tc>
          <w:tcPr>
            <w:tcW w:w="934" w:type="dxa"/>
            <w:tcMar/>
            <w:vAlign w:val="center"/>
          </w:tcPr>
          <w:p w:rsidRPr="00C10197" w:rsidR="00621E00" w:rsidP="004C1932" w:rsidRDefault="00621E00" w14:paraId="453C24B5" w14:textId="77777777">
            <w:pPr>
              <w:jc w:val="center"/>
              <w:rPr>
                <w:rFonts w:ascii="Verdana" w:hAnsi="Verdana" w:cs="Arial"/>
                <w:sz w:val="18"/>
                <w:szCs w:val="18"/>
              </w:rPr>
            </w:pPr>
            <w:r w:rsidRPr="00C10197">
              <w:rPr>
                <w:rFonts w:ascii="Verdana" w:hAnsi="Verdana" w:cs="Arial"/>
                <w:sz w:val="18"/>
                <w:szCs w:val="18"/>
              </w:rPr>
              <w:t>1000</w:t>
            </w:r>
          </w:p>
        </w:tc>
        <w:tc>
          <w:tcPr>
            <w:tcW w:w="1523" w:type="dxa"/>
            <w:tcMar/>
            <w:vAlign w:val="center"/>
          </w:tcPr>
          <w:p w:rsidRPr="00C10197" w:rsidR="00621E00" w:rsidP="004C1932" w:rsidRDefault="00621E00" w14:paraId="2F590D5F" w14:textId="77777777">
            <w:pPr>
              <w:jc w:val="center"/>
              <w:rPr>
                <w:rFonts w:ascii="Verdana" w:hAnsi="Verdana" w:cs="Arial"/>
                <w:sz w:val="18"/>
                <w:szCs w:val="18"/>
              </w:rPr>
            </w:pPr>
            <w:r w:rsidRPr="00C10197">
              <w:rPr>
                <w:rFonts w:ascii="Verdana" w:hAnsi="Verdana" w:cs="Arial"/>
                <w:sz w:val="18"/>
                <w:szCs w:val="18"/>
              </w:rPr>
              <w:t>107</w:t>
            </w:r>
          </w:p>
        </w:tc>
      </w:tr>
      <w:tr w:rsidRPr="00C10197" w:rsidR="00621E00" w:rsidTr="30CF4445" w14:paraId="3145DFA0" w14:textId="77777777">
        <w:tc>
          <w:tcPr>
            <w:tcW w:w="1844" w:type="dxa"/>
            <w:tcMar/>
            <w:vAlign w:val="center"/>
          </w:tcPr>
          <w:p w:rsidRPr="00C10197" w:rsidR="00621E00" w:rsidP="004C1932" w:rsidRDefault="00621E00" w14:paraId="135E338C" w14:textId="77777777">
            <w:pPr>
              <w:rPr>
                <w:rFonts w:ascii="Verdana" w:hAnsi="Verdana" w:cs="Arial"/>
                <w:sz w:val="18"/>
                <w:szCs w:val="18"/>
              </w:rPr>
            </w:pPr>
            <w:r w:rsidRPr="00C10197">
              <w:rPr>
                <w:rFonts w:ascii="Verdana" w:hAnsi="Verdana" w:cs="Arial"/>
                <w:sz w:val="18"/>
                <w:szCs w:val="18"/>
              </w:rPr>
              <w:t xml:space="preserve">Nuevas estaciones de </w:t>
            </w:r>
            <w:r w:rsidRPr="00C10197">
              <w:rPr>
                <w:rFonts w:ascii="Verdana" w:hAnsi="Verdana" w:cs="Arial"/>
                <w:sz w:val="18"/>
                <w:szCs w:val="18"/>
              </w:rPr>
              <w:t>carga eléctrica (conectores) y electrolineras</w:t>
            </w:r>
          </w:p>
        </w:tc>
        <w:tc>
          <w:tcPr>
            <w:tcW w:w="1844" w:type="dxa"/>
            <w:tcMar/>
            <w:vAlign w:val="center"/>
          </w:tcPr>
          <w:p w:rsidRPr="00C10197" w:rsidR="00621E00" w:rsidP="004C1932" w:rsidRDefault="00621E00" w14:paraId="1FEC4EF6" w14:textId="77777777">
            <w:pPr>
              <w:rPr>
                <w:rFonts w:ascii="Verdana" w:hAnsi="Verdana" w:cs="Arial"/>
                <w:sz w:val="18"/>
                <w:szCs w:val="18"/>
              </w:rPr>
            </w:pPr>
            <w:r w:rsidRPr="00C10197">
              <w:rPr>
                <w:rFonts w:ascii="Verdana" w:hAnsi="Verdana" w:cs="Arial"/>
                <w:sz w:val="18"/>
                <w:szCs w:val="18"/>
              </w:rPr>
              <w:t xml:space="preserve">Número de nuevas </w:t>
            </w:r>
            <w:r w:rsidRPr="00C10197">
              <w:rPr>
                <w:rFonts w:ascii="Verdana" w:hAnsi="Verdana" w:cs="Arial"/>
                <w:sz w:val="18"/>
                <w:szCs w:val="18"/>
              </w:rPr>
              <w:t>estaciones de carga eléctrica (conectores) y electrolineras</w:t>
            </w:r>
          </w:p>
        </w:tc>
        <w:tc>
          <w:tcPr>
            <w:tcW w:w="1548" w:type="dxa"/>
            <w:tcMar/>
            <w:vAlign w:val="center"/>
          </w:tcPr>
          <w:p w:rsidRPr="00C10197" w:rsidR="00621E00" w:rsidP="004C1932" w:rsidRDefault="00621E00" w14:paraId="479E09AF" w14:textId="77777777">
            <w:pPr>
              <w:jc w:val="center"/>
              <w:rPr>
                <w:rFonts w:ascii="Verdana" w:hAnsi="Verdana" w:cs="Arial"/>
                <w:sz w:val="18"/>
                <w:szCs w:val="18"/>
              </w:rPr>
            </w:pPr>
            <w:r w:rsidRPr="00C10197">
              <w:rPr>
                <w:rFonts w:ascii="Verdana" w:hAnsi="Verdana" w:cs="Arial"/>
                <w:sz w:val="18"/>
                <w:szCs w:val="18"/>
              </w:rPr>
              <w:t>100</w:t>
            </w:r>
          </w:p>
        </w:tc>
        <w:tc>
          <w:tcPr>
            <w:tcW w:w="1135" w:type="dxa"/>
            <w:tcMar/>
            <w:vAlign w:val="center"/>
          </w:tcPr>
          <w:p w:rsidRPr="00C10197" w:rsidR="00621E00" w:rsidP="004C1932" w:rsidRDefault="00621E00" w14:paraId="14E66202" w14:textId="77777777">
            <w:pPr>
              <w:jc w:val="center"/>
              <w:rPr>
                <w:rFonts w:ascii="Verdana" w:hAnsi="Verdana" w:cs="Arial"/>
                <w:sz w:val="18"/>
                <w:szCs w:val="18"/>
              </w:rPr>
            </w:pPr>
            <w:r w:rsidRPr="00C10197">
              <w:rPr>
                <w:rFonts w:ascii="Verdana" w:hAnsi="Verdana" w:cs="Arial"/>
                <w:sz w:val="18"/>
                <w:szCs w:val="18"/>
              </w:rPr>
              <w:t>10</w:t>
            </w:r>
          </w:p>
        </w:tc>
        <w:tc>
          <w:tcPr>
            <w:tcW w:w="934" w:type="dxa"/>
            <w:tcMar/>
            <w:vAlign w:val="center"/>
          </w:tcPr>
          <w:p w:rsidRPr="00C10197" w:rsidR="00621E00" w:rsidP="004C1932" w:rsidRDefault="00621E00" w14:paraId="654A9BA0" w14:textId="77777777">
            <w:pPr>
              <w:jc w:val="center"/>
              <w:rPr>
                <w:rFonts w:ascii="Verdana" w:hAnsi="Verdana" w:cs="Arial"/>
                <w:sz w:val="18"/>
                <w:szCs w:val="18"/>
              </w:rPr>
            </w:pPr>
            <w:r w:rsidRPr="00C10197">
              <w:rPr>
                <w:rFonts w:ascii="Verdana" w:hAnsi="Verdana" w:cs="Arial"/>
                <w:sz w:val="18"/>
                <w:szCs w:val="18"/>
              </w:rPr>
              <w:t>50</w:t>
            </w:r>
          </w:p>
        </w:tc>
        <w:tc>
          <w:tcPr>
            <w:tcW w:w="1523" w:type="dxa"/>
            <w:tcMar/>
            <w:vAlign w:val="center"/>
          </w:tcPr>
          <w:p w:rsidRPr="00C10197" w:rsidR="00621E00" w:rsidP="004C1932" w:rsidRDefault="00621E00" w14:paraId="7A412C1A" w14:textId="77777777">
            <w:pPr>
              <w:jc w:val="center"/>
              <w:rPr>
                <w:rFonts w:ascii="Verdana" w:hAnsi="Verdana" w:cs="Arial"/>
                <w:sz w:val="18"/>
                <w:szCs w:val="18"/>
              </w:rPr>
            </w:pPr>
            <w:r w:rsidRPr="00C10197">
              <w:rPr>
                <w:rFonts w:ascii="Verdana" w:hAnsi="Verdana" w:cs="Arial"/>
                <w:sz w:val="18"/>
                <w:szCs w:val="18"/>
              </w:rPr>
              <w:t>14</w:t>
            </w:r>
          </w:p>
        </w:tc>
      </w:tr>
    </w:tbl>
    <w:p w:rsidRPr="00C10197" w:rsidR="00E207DD" w:rsidP="004C1932" w:rsidRDefault="6B43526F" w14:paraId="60A0D277" w14:textId="77777777">
      <w:pPr>
        <w:spacing w:after="0" w:line="240" w:lineRule="auto"/>
        <w:jc w:val="center"/>
        <w:rPr>
          <w:rFonts w:ascii="Verdana" w:hAnsi="Verdana" w:cs="Arial"/>
          <w:sz w:val="18"/>
          <w:szCs w:val="18"/>
        </w:rPr>
      </w:pPr>
      <w:r w:rsidRPr="180099B3">
        <w:rPr>
          <w:rFonts w:ascii="Verdana" w:hAnsi="Verdana" w:cs="Arial"/>
          <w:sz w:val="18"/>
          <w:szCs w:val="18"/>
        </w:rPr>
        <w:t xml:space="preserve">Fuente: Elaboración propia </w:t>
      </w:r>
      <w:r w:rsidRPr="180099B3" w:rsidR="45C2592D">
        <w:rPr>
          <w:rFonts w:ascii="Verdana" w:hAnsi="Verdana" w:cs="Arial"/>
          <w:sz w:val="18"/>
          <w:szCs w:val="18"/>
        </w:rPr>
        <w:t xml:space="preserve">OPGI - </w:t>
      </w:r>
      <w:r w:rsidRPr="180099B3">
        <w:rPr>
          <w:rFonts w:ascii="Verdana" w:hAnsi="Verdana" w:cs="Arial"/>
          <w:sz w:val="18"/>
          <w:szCs w:val="18"/>
        </w:rPr>
        <w:t>MME, 31 de marzo 2026.</w:t>
      </w:r>
    </w:p>
    <w:p w:rsidRPr="00C140A0" w:rsidR="00426551" w:rsidP="00D94015" w:rsidRDefault="00426551" w14:paraId="14B71B2A" w14:textId="77777777">
      <w:pPr>
        <w:spacing w:after="0" w:line="360" w:lineRule="auto"/>
        <w:rPr>
          <w:rFonts w:ascii="Verdana" w:hAnsi="Verdana" w:cs="Arial"/>
        </w:rPr>
      </w:pPr>
    </w:p>
    <w:p w:rsidR="009F01D9" w:rsidP="00D94015" w:rsidRDefault="009F01D9" w14:paraId="4F99DE5E" w14:textId="77777777">
      <w:pPr>
        <w:spacing w:after="0" w:line="360" w:lineRule="auto"/>
        <w:jc w:val="both"/>
        <w:rPr>
          <w:rFonts w:ascii="Verdana" w:hAnsi="Verdana" w:cs="Arial"/>
          <w:sz w:val="24"/>
          <w:szCs w:val="24"/>
        </w:rPr>
      </w:pPr>
      <w:r w:rsidRPr="00C140A0">
        <w:rPr>
          <w:rFonts w:ascii="Verdana" w:hAnsi="Verdana" w:cs="Arial"/>
          <w:sz w:val="24"/>
          <w:szCs w:val="24"/>
        </w:rPr>
        <w:t xml:space="preserve">Frente a los principales logros realizados durante este periodo de tiempo, se contemplan los siguientes: </w:t>
      </w:r>
    </w:p>
    <w:p w:rsidRPr="00C140A0" w:rsidR="00C10197" w:rsidP="00D94015" w:rsidRDefault="00C10197" w14:paraId="5CF49A42" w14:textId="77777777">
      <w:pPr>
        <w:spacing w:after="0" w:line="360" w:lineRule="auto"/>
        <w:jc w:val="both"/>
        <w:rPr>
          <w:rFonts w:ascii="Verdana" w:hAnsi="Verdana" w:cs="Arial"/>
          <w:sz w:val="24"/>
          <w:szCs w:val="24"/>
        </w:rPr>
      </w:pPr>
    </w:p>
    <w:p w:rsidRPr="00C140A0" w:rsidR="009F01D9" w:rsidP="00D94015" w:rsidRDefault="009F01D9" w14:paraId="2ECEB536" w14:textId="77777777">
      <w:pPr>
        <w:spacing w:after="0" w:line="360" w:lineRule="auto"/>
        <w:jc w:val="both"/>
        <w:rPr>
          <w:rFonts w:ascii="Verdana" w:hAnsi="Verdana" w:cs="Arial"/>
          <w:b/>
          <w:bCs/>
          <w:sz w:val="24"/>
          <w:szCs w:val="24"/>
        </w:rPr>
      </w:pPr>
      <w:r w:rsidRPr="00C140A0">
        <w:rPr>
          <w:rFonts w:ascii="Verdana" w:hAnsi="Verdana" w:cs="Arial"/>
          <w:b/>
          <w:bCs/>
          <w:sz w:val="24"/>
          <w:szCs w:val="24"/>
        </w:rPr>
        <w:t>E-Buses</w:t>
      </w:r>
      <w:r w:rsidRPr="00C140A0">
        <w:rPr>
          <w:rFonts w:ascii="Arial" w:hAnsi="Arial" w:cs="Arial"/>
          <w:b/>
          <w:bCs/>
          <w:sz w:val="24"/>
          <w:szCs w:val="24"/>
        </w:rPr>
        <w:t>​</w:t>
      </w:r>
    </w:p>
    <w:p w:rsidRPr="00C140A0" w:rsidR="009F01D9" w:rsidRDefault="009F01D9" w14:paraId="4B0AAD49" w14:textId="77777777">
      <w:pPr>
        <w:pStyle w:val="Prrafodelista"/>
        <w:numPr>
          <w:ilvl w:val="0"/>
          <w:numId w:val="58"/>
        </w:numPr>
        <w:spacing w:after="0" w:line="360" w:lineRule="auto"/>
        <w:jc w:val="both"/>
        <w:rPr>
          <w:rFonts w:ascii="Verdana" w:hAnsi="Verdana" w:cs="Arial"/>
          <w:sz w:val="24"/>
          <w:szCs w:val="24"/>
        </w:rPr>
      </w:pPr>
      <w:r w:rsidRPr="00C140A0">
        <w:rPr>
          <w:rFonts w:ascii="Verdana" w:hAnsi="Verdana" w:cs="Arial"/>
          <w:sz w:val="24"/>
          <w:szCs w:val="24"/>
        </w:rPr>
        <w:t xml:space="preserve">Se dio asistencia técnica mediante un curso para dos empresas con el objetivo </w:t>
      </w:r>
      <w:r w:rsidRPr="00C140A0" w:rsidR="00C10197">
        <w:rPr>
          <w:rFonts w:ascii="Verdana" w:hAnsi="Verdana" w:cs="Arial"/>
          <w:sz w:val="24"/>
          <w:szCs w:val="24"/>
        </w:rPr>
        <w:t>de electrificar</w:t>
      </w:r>
      <w:r w:rsidRPr="00C140A0">
        <w:rPr>
          <w:rFonts w:ascii="Verdana" w:hAnsi="Verdana" w:cs="Arial"/>
          <w:sz w:val="24"/>
          <w:szCs w:val="24"/>
        </w:rPr>
        <w:t xml:space="preserve"> transporte especial (buses de turismo, buses intermunicipales y buses escolares). </w:t>
      </w:r>
      <w:r w:rsidRPr="00C140A0">
        <w:rPr>
          <w:rFonts w:ascii="Arial" w:hAnsi="Arial" w:cs="Arial"/>
          <w:sz w:val="24"/>
          <w:szCs w:val="24"/>
        </w:rPr>
        <w:t>​</w:t>
      </w:r>
    </w:p>
    <w:p w:rsidRPr="00C140A0" w:rsidR="009F01D9" w:rsidP="00D94015" w:rsidRDefault="009F01D9" w14:paraId="73A6AD19" w14:textId="77777777">
      <w:pPr>
        <w:spacing w:after="0" w:line="360" w:lineRule="auto"/>
        <w:jc w:val="both"/>
        <w:rPr>
          <w:rFonts w:ascii="Verdana" w:hAnsi="Verdana" w:cs="Arial"/>
          <w:sz w:val="24"/>
          <w:szCs w:val="24"/>
        </w:rPr>
      </w:pPr>
    </w:p>
    <w:p w:rsidRPr="00C140A0" w:rsidR="009F01D9" w:rsidP="00D94015" w:rsidRDefault="009F01D9" w14:paraId="5C4B8148" w14:textId="77777777">
      <w:pPr>
        <w:spacing w:after="0" w:line="360" w:lineRule="auto"/>
        <w:jc w:val="both"/>
        <w:rPr>
          <w:rFonts w:ascii="Verdana" w:hAnsi="Verdana" w:cs="Arial"/>
          <w:b/>
          <w:bCs/>
          <w:sz w:val="24"/>
          <w:szCs w:val="24"/>
        </w:rPr>
      </w:pPr>
      <w:r w:rsidRPr="00C140A0">
        <w:rPr>
          <w:rFonts w:ascii="Verdana" w:hAnsi="Verdana" w:cs="Arial"/>
          <w:b/>
          <w:bCs/>
          <w:sz w:val="24"/>
          <w:szCs w:val="24"/>
        </w:rPr>
        <w:t>E-Movilidad</w:t>
      </w:r>
    </w:p>
    <w:p w:rsidRPr="00C140A0" w:rsidR="009F01D9" w:rsidRDefault="009F01D9" w14:paraId="57AB81E5" w14:textId="317A31C5">
      <w:pPr>
        <w:pStyle w:val="Prrafodelista"/>
        <w:numPr>
          <w:ilvl w:val="0"/>
          <w:numId w:val="58"/>
        </w:numPr>
        <w:spacing w:after="0" w:line="360" w:lineRule="auto"/>
        <w:ind w:hanging="436"/>
        <w:jc w:val="both"/>
        <w:rPr>
          <w:rFonts w:ascii="Verdana" w:hAnsi="Verdana" w:cs="Arial"/>
          <w:sz w:val="24"/>
          <w:szCs w:val="24"/>
        </w:rPr>
      </w:pPr>
      <w:r w:rsidRPr="30CF4445" w:rsidR="6B193808">
        <w:rPr>
          <w:rFonts w:ascii="Verdana" w:hAnsi="Verdana" w:cs="Arial"/>
          <w:sz w:val="24"/>
          <w:szCs w:val="24"/>
        </w:rPr>
        <w:t>Se estableció mesa de trabajo con la Financiera Nacional de Desarrollo (FDN) para identificar la potencial financiación de infraestructura de carga.</w:t>
      </w:r>
      <w:r w:rsidRPr="30CF4445" w:rsidR="6B193808">
        <w:rPr>
          <w:rFonts w:ascii="Arial" w:hAnsi="Arial" w:cs="Arial"/>
          <w:sz w:val="24"/>
          <w:szCs w:val="24"/>
        </w:rPr>
        <w:t>​</w:t>
      </w:r>
      <w:commentRangeStart w:id="155830457"/>
      <w:r w:rsidRPr="30CF4445" w:rsidR="6B193808">
        <w:rPr>
          <w:rFonts w:ascii="Verdana" w:hAnsi="Verdana"/>
          <w:sz w:val="24"/>
          <w:szCs w:val="24"/>
        </w:rPr>
        <w:t xml:space="preserve"> </w:t>
      </w:r>
      <w:r w:rsidRPr="30CF4445" w:rsidR="6B193808">
        <w:rPr>
          <w:rFonts w:ascii="Verdana" w:hAnsi="Verdana" w:cs="Arial"/>
          <w:sz w:val="24"/>
          <w:szCs w:val="24"/>
        </w:rPr>
        <w:t>"</w:t>
      </w:r>
      <w:r w:rsidRPr="30CF4445" w:rsidR="6B193808">
        <w:rPr>
          <w:rFonts w:ascii="Segoe UI Symbol" w:hAnsi="Segoe UI Symbol" w:cs="Segoe UI Symbol"/>
          <w:sz w:val="24"/>
          <w:szCs w:val="24"/>
        </w:rPr>
        <w:t>✓</w:t>
      </w:r>
      <w:r w:rsidRPr="30CF4445" w:rsidR="6B193808">
        <w:rPr>
          <w:rFonts w:ascii="Verdana" w:hAnsi="Verdana" w:cs="Arial"/>
          <w:sz w:val="24"/>
          <w:szCs w:val="24"/>
        </w:rPr>
        <w:t xml:space="preserve"> </w:t>
      </w:r>
      <w:commentRangeEnd w:id="155830457"/>
      <w:r>
        <w:rPr>
          <w:rStyle w:val="CommentReference"/>
        </w:rPr>
        <w:commentReference w:id="155830457"/>
      </w:r>
      <w:r w:rsidRPr="30CF4445" w:rsidR="6B193808">
        <w:rPr>
          <w:rFonts w:ascii="Verdana" w:hAnsi="Verdana" w:cs="Arial"/>
          <w:sz w:val="24"/>
          <w:szCs w:val="24"/>
        </w:rPr>
        <w:t>FENOGE, mediante el proyecto “SIP-001-2026 – Vehículos eficientes: Movilidad limpia y sostenible”, cuyo objeto es contratar la sustitución de vehículos de carga y/o turismo por vehículos eléctricos, así como la construcción e instalación de estaciones de carga alimentadas mediante Sistemas Solares Fotovoltaicos (SSFV), en los municipios de Valledupar (Cesar), Santa Ana (Magdalena), Sogamoso (Boyacá), Puerto Tejada (Cauca) y San Juan Nepomuceno (Bolívar)</w:t>
      </w:r>
      <w:r w:rsidRPr="30CF4445" w:rsidR="72A28210">
        <w:rPr>
          <w:rFonts w:ascii="Verdana" w:hAnsi="Verdana" w:cs="Arial"/>
          <w:sz w:val="24"/>
          <w:szCs w:val="24"/>
        </w:rPr>
        <w:t>;</w:t>
      </w:r>
      <w:r w:rsidRPr="30CF4445" w:rsidR="6B193808">
        <w:rPr>
          <w:rFonts w:ascii="Verdana" w:hAnsi="Verdana" w:cs="Arial"/>
          <w:sz w:val="24"/>
          <w:szCs w:val="24"/>
        </w:rPr>
        <w:t xml:space="preserve"> se encuentra actualmente en etapa de sondeo de mercado.</w:t>
      </w:r>
    </w:p>
    <w:p w:rsidRPr="00C140A0" w:rsidR="009F01D9" w:rsidP="00D94015" w:rsidRDefault="009F01D9" w14:paraId="69A306C1" w14:textId="77777777">
      <w:pPr>
        <w:spacing w:after="0" w:line="360" w:lineRule="auto"/>
        <w:jc w:val="both"/>
        <w:rPr>
          <w:rFonts w:ascii="Verdana" w:hAnsi="Verdana" w:cs="Arial"/>
          <w:sz w:val="24"/>
          <w:szCs w:val="24"/>
        </w:rPr>
      </w:pPr>
    </w:p>
    <w:p w:rsidR="009F01D9" w:rsidP="00D94015" w:rsidRDefault="009F01D9" w14:paraId="2E470EC7" w14:textId="77777777">
      <w:pPr>
        <w:spacing w:after="0" w:line="360" w:lineRule="auto"/>
        <w:jc w:val="both"/>
        <w:rPr>
          <w:rFonts w:ascii="Verdana" w:hAnsi="Verdana" w:cs="Arial"/>
          <w:b/>
          <w:bCs/>
          <w:sz w:val="24"/>
          <w:szCs w:val="24"/>
        </w:rPr>
      </w:pPr>
      <w:r w:rsidRPr="00C140A0">
        <w:rPr>
          <w:rFonts w:ascii="Verdana" w:hAnsi="Verdana" w:cs="Arial"/>
          <w:b/>
          <w:bCs/>
          <w:sz w:val="24"/>
          <w:szCs w:val="24"/>
        </w:rPr>
        <w:t>Infraestructura de carga</w:t>
      </w:r>
    </w:p>
    <w:p w:rsidR="0081023B" w:rsidP="00D94015" w:rsidRDefault="0081023B" w14:paraId="770EBB03" w14:textId="77777777">
      <w:pPr>
        <w:spacing w:after="0" w:line="360" w:lineRule="auto"/>
        <w:jc w:val="both"/>
        <w:rPr>
          <w:rFonts w:ascii="Verdana" w:hAnsi="Verdana" w:cs="Arial"/>
          <w:b/>
          <w:bCs/>
          <w:sz w:val="24"/>
          <w:szCs w:val="24"/>
        </w:rPr>
      </w:pPr>
    </w:p>
    <w:p w:rsidRPr="00C140A0" w:rsidR="009F01D9" w:rsidRDefault="009F01D9" w14:paraId="0B295050" w14:textId="77777777">
      <w:pPr>
        <w:pStyle w:val="Prrafodelista"/>
        <w:numPr>
          <w:ilvl w:val="0"/>
          <w:numId w:val="58"/>
        </w:numPr>
        <w:spacing w:after="0" w:line="360" w:lineRule="auto"/>
        <w:jc w:val="both"/>
        <w:rPr>
          <w:rFonts w:ascii="Verdana" w:hAnsi="Verdana" w:cs="Arial"/>
          <w:sz w:val="24"/>
          <w:szCs w:val="24"/>
        </w:rPr>
      </w:pPr>
      <w:r w:rsidRPr="00C140A0">
        <w:rPr>
          <w:rFonts w:ascii="Verdana" w:hAnsi="Verdana" w:cs="Arial"/>
          <w:sz w:val="24"/>
          <w:szCs w:val="24"/>
        </w:rPr>
        <w:t xml:space="preserve">Se realizó la formulación de la política pública para acelerar la estandarización y </w:t>
      </w:r>
      <w:r w:rsidRPr="00C140A0" w:rsidR="00C10197">
        <w:rPr>
          <w:rFonts w:ascii="Verdana" w:hAnsi="Verdana" w:cs="Arial"/>
          <w:sz w:val="24"/>
          <w:szCs w:val="24"/>
        </w:rPr>
        <w:t>el despliegue</w:t>
      </w:r>
      <w:r w:rsidRPr="00C140A0">
        <w:rPr>
          <w:rFonts w:ascii="Verdana" w:hAnsi="Verdana" w:cs="Arial"/>
          <w:sz w:val="24"/>
          <w:szCs w:val="24"/>
        </w:rPr>
        <w:t xml:space="preserve"> de la infraestructura de carga eléctrica. </w:t>
      </w:r>
    </w:p>
    <w:p w:rsidRPr="00C140A0" w:rsidR="009F01D9" w:rsidRDefault="6B38A720" w14:paraId="4AFAC808" w14:textId="63868E1A">
      <w:pPr>
        <w:pStyle w:val="Prrafodelista"/>
        <w:numPr>
          <w:ilvl w:val="0"/>
          <w:numId w:val="58"/>
        </w:numPr>
        <w:spacing w:after="0" w:line="360" w:lineRule="auto"/>
        <w:jc w:val="both"/>
        <w:rPr>
          <w:rFonts w:ascii="Verdana" w:hAnsi="Verdana" w:cs="Arial"/>
          <w:sz w:val="24"/>
          <w:szCs w:val="24"/>
        </w:rPr>
      </w:pPr>
      <w:r w:rsidRPr="30CF4445" w:rsidR="2BCB3B47">
        <w:rPr>
          <w:rFonts w:ascii="Verdana" w:hAnsi="Verdana" w:cs="Arial"/>
          <w:sz w:val="24"/>
          <w:szCs w:val="24"/>
        </w:rPr>
        <w:t xml:space="preserve">Se inauguró la primera ruta de larga distancia Bogotá-Cali para movilidad eléctrica en el marco de la COP16, </w:t>
      </w:r>
      <w:commentRangeStart w:id="2083449248"/>
      <w:r w:rsidRPr="30CF4445" w:rsidR="2BCB3B47">
        <w:rPr>
          <w:rFonts w:ascii="Verdana" w:hAnsi="Verdana" w:cs="Arial"/>
          <w:sz w:val="24"/>
          <w:szCs w:val="24"/>
        </w:rPr>
        <w:t xml:space="preserve">con 2 estaciones de en estaciones de servicio </w:t>
      </w:r>
      <w:commentRangeEnd w:id="2083449248"/>
      <w:r>
        <w:rPr>
          <w:rStyle w:val="CommentReference"/>
        </w:rPr>
        <w:commentReference w:id="2083449248"/>
      </w:r>
      <w:r w:rsidRPr="30CF4445" w:rsidR="2BCB3B47">
        <w:rPr>
          <w:rFonts w:ascii="Verdana" w:hAnsi="Verdana" w:cs="Arial"/>
          <w:sz w:val="24"/>
          <w:szCs w:val="24"/>
        </w:rPr>
        <w:t xml:space="preserve">de combustibles, como parte de la transición energética de los hidrocarburos, una en Cajamarca </w:t>
      </w:r>
      <w:r w:rsidRPr="30CF4445" w:rsidR="1E351F88">
        <w:rPr>
          <w:rFonts w:ascii="Verdana" w:hAnsi="Verdana" w:cs="Arial"/>
          <w:sz w:val="24"/>
          <w:szCs w:val="24"/>
        </w:rPr>
        <w:t>y otra</w:t>
      </w:r>
      <w:r w:rsidRPr="30CF4445" w:rsidR="2BCB3B47">
        <w:rPr>
          <w:rFonts w:ascii="Verdana" w:hAnsi="Verdana" w:cs="Arial"/>
          <w:sz w:val="24"/>
          <w:szCs w:val="24"/>
        </w:rPr>
        <w:t xml:space="preserve"> en Buga, Valle. </w:t>
      </w:r>
    </w:p>
    <w:p w:rsidRPr="00C140A0" w:rsidR="009F01D9" w:rsidRDefault="009F01D9" w14:paraId="11D8B2E0" w14:textId="77777777">
      <w:pPr>
        <w:pStyle w:val="Prrafodelista"/>
        <w:numPr>
          <w:ilvl w:val="0"/>
          <w:numId w:val="58"/>
        </w:numPr>
        <w:spacing w:after="0" w:line="360" w:lineRule="auto"/>
        <w:jc w:val="both"/>
        <w:rPr>
          <w:rFonts w:ascii="Verdana" w:hAnsi="Verdana" w:cs="Arial"/>
          <w:sz w:val="24"/>
          <w:szCs w:val="24"/>
        </w:rPr>
      </w:pPr>
      <w:r w:rsidRPr="00C140A0">
        <w:rPr>
          <w:rFonts w:ascii="Verdana" w:hAnsi="Verdana" w:cs="Arial"/>
          <w:sz w:val="24"/>
          <w:szCs w:val="24"/>
        </w:rPr>
        <w:t>Se inauguró el proyecto de Comunidades Energéticas para la movilidad en Mingueo, La Guajira, la primera estación de carga comunitaria para motos eléctricas y retrofit.</w:t>
      </w:r>
    </w:p>
    <w:p w:rsidRPr="00C140A0" w:rsidR="009F01D9" w:rsidRDefault="534628FD" w14:paraId="4152F84B" w14:textId="49966FCA">
      <w:pPr>
        <w:pStyle w:val="Prrafodelista"/>
        <w:numPr>
          <w:ilvl w:val="0"/>
          <w:numId w:val="58"/>
        </w:numPr>
        <w:spacing w:after="0" w:line="360" w:lineRule="auto"/>
        <w:jc w:val="both"/>
        <w:rPr>
          <w:rFonts w:ascii="Verdana" w:hAnsi="Verdana" w:cs="Arial"/>
          <w:sz w:val="24"/>
          <w:szCs w:val="24"/>
        </w:rPr>
      </w:pPr>
      <w:r w:rsidRPr="30CF4445" w:rsidR="16E50659">
        <w:rPr>
          <w:rFonts w:ascii="Verdana" w:hAnsi="Verdana" w:cs="Arial"/>
          <w:sz w:val="24"/>
          <w:szCs w:val="24"/>
        </w:rPr>
        <w:t>Se lanz</w:t>
      </w:r>
      <w:r w:rsidRPr="30CF4445" w:rsidR="03527579">
        <w:rPr>
          <w:rFonts w:ascii="Verdana" w:hAnsi="Verdana" w:cs="Arial"/>
          <w:sz w:val="24"/>
          <w:szCs w:val="24"/>
        </w:rPr>
        <w:t>ó</w:t>
      </w:r>
      <w:r w:rsidRPr="30CF4445" w:rsidR="16E50659">
        <w:rPr>
          <w:rFonts w:ascii="Verdana" w:hAnsi="Verdana" w:cs="Arial"/>
          <w:sz w:val="24"/>
          <w:szCs w:val="24"/>
        </w:rPr>
        <w:t xml:space="preserve"> y publicó </w:t>
      </w:r>
      <w:r w:rsidRPr="30CF4445" w:rsidR="15D30558">
        <w:rPr>
          <w:rFonts w:ascii="Verdana" w:hAnsi="Verdana" w:cs="Arial"/>
          <w:sz w:val="24"/>
          <w:szCs w:val="24"/>
        </w:rPr>
        <w:t>la “Estrategia</w:t>
      </w:r>
      <w:r w:rsidRPr="30CF4445" w:rsidR="16E50659">
        <w:rPr>
          <w:rFonts w:ascii="Verdana" w:hAnsi="Verdana" w:cs="Arial"/>
          <w:sz w:val="24"/>
          <w:szCs w:val="24"/>
        </w:rPr>
        <w:t xml:space="preserve"> Nacional de Infraestructura de Carga” en la Feria de Economías para la vida -FEV.</w:t>
      </w:r>
    </w:p>
    <w:p w:rsidRPr="00C140A0" w:rsidR="009F01D9" w:rsidRDefault="009F01D9" w14:paraId="270C2293" w14:textId="77777777">
      <w:pPr>
        <w:pStyle w:val="Prrafodelista"/>
        <w:numPr>
          <w:ilvl w:val="0"/>
          <w:numId w:val="58"/>
        </w:numPr>
        <w:spacing w:after="0" w:line="360" w:lineRule="auto"/>
        <w:jc w:val="both"/>
        <w:rPr>
          <w:rFonts w:ascii="Verdana" w:hAnsi="Verdana" w:cs="Arial"/>
          <w:sz w:val="24"/>
          <w:szCs w:val="24"/>
        </w:rPr>
      </w:pPr>
      <w:r w:rsidRPr="00C140A0">
        <w:rPr>
          <w:rFonts w:ascii="Verdana" w:hAnsi="Verdana" w:cs="Segoe UI Symbol"/>
          <w:sz w:val="24"/>
          <w:szCs w:val="24"/>
        </w:rPr>
        <w:t xml:space="preserve">Se </w:t>
      </w:r>
      <w:r w:rsidRPr="00C140A0">
        <w:rPr>
          <w:rFonts w:ascii="Verdana" w:hAnsi="Verdana" w:cs="Arial"/>
          <w:sz w:val="24"/>
          <w:szCs w:val="24"/>
        </w:rPr>
        <w:t>publicó la resolución No. 40123 de 2024 que establece condiciones de interoperabilidad para las estaciones de carga públicas.</w:t>
      </w:r>
    </w:p>
    <w:p w:rsidRPr="00C140A0" w:rsidR="009F01D9" w:rsidRDefault="009F01D9" w14:paraId="17972644" w14:textId="77777777">
      <w:pPr>
        <w:pStyle w:val="Prrafodelista"/>
        <w:numPr>
          <w:ilvl w:val="0"/>
          <w:numId w:val="58"/>
        </w:numPr>
        <w:spacing w:after="0" w:line="360" w:lineRule="auto"/>
        <w:jc w:val="both"/>
        <w:rPr>
          <w:rFonts w:ascii="Verdana" w:hAnsi="Verdana" w:cs="Arial"/>
          <w:sz w:val="24"/>
          <w:szCs w:val="24"/>
        </w:rPr>
      </w:pPr>
      <w:r w:rsidRPr="00C140A0">
        <w:rPr>
          <w:rFonts w:ascii="Verdana" w:hAnsi="Verdana" w:cs="Arial"/>
          <w:sz w:val="24"/>
          <w:szCs w:val="24"/>
        </w:rPr>
        <w:t xml:space="preserve">Bajo el marco de la Resolución 40123 de 2024, se consolidó la interoperabilidad del sistema nacional mediante la estandarización de protocolos </w:t>
      </w:r>
      <w:r w:rsidRPr="00C140A0" w:rsidR="00C10197">
        <w:rPr>
          <w:rFonts w:ascii="Verdana" w:hAnsi="Verdana" w:cs="Arial"/>
          <w:sz w:val="24"/>
          <w:szCs w:val="24"/>
        </w:rPr>
        <w:t>OCPP y</w:t>
      </w:r>
      <w:r w:rsidRPr="00C140A0">
        <w:rPr>
          <w:rFonts w:ascii="Verdana" w:hAnsi="Verdana" w:cs="Arial"/>
          <w:sz w:val="24"/>
          <w:szCs w:val="24"/>
        </w:rPr>
        <w:t xml:space="preserve"> la implementación de directrices para carga inteligente y ciberseguridad.</w:t>
      </w:r>
    </w:p>
    <w:p w:rsidRPr="00C140A0" w:rsidR="009F01D9" w:rsidRDefault="009F01D9" w14:paraId="1CA3AF69" w14:textId="77777777">
      <w:pPr>
        <w:pStyle w:val="Prrafodelista"/>
        <w:numPr>
          <w:ilvl w:val="0"/>
          <w:numId w:val="58"/>
        </w:numPr>
        <w:spacing w:after="0" w:line="360" w:lineRule="auto"/>
        <w:jc w:val="both"/>
        <w:rPr>
          <w:rFonts w:ascii="Verdana" w:hAnsi="Verdana" w:cs="Arial"/>
          <w:sz w:val="24"/>
          <w:szCs w:val="24"/>
        </w:rPr>
      </w:pPr>
      <w:r w:rsidRPr="00C140A0">
        <w:rPr>
          <w:rFonts w:ascii="Verdana" w:hAnsi="Verdana" w:cs="Arial"/>
          <w:sz w:val="24"/>
          <w:szCs w:val="24"/>
        </w:rPr>
        <w:t>Complementariamente, se avanza en el desarrollo de la APP oficial integrada al portal Cárgame, la cual centralizará el reporte de datos estandarizados para ofrecer al ciudadano información en tiempo real sobre la localización y disponibilidad de conectores. Esta sinergia técnica y digital garantiza una red de carga abierta, segura y eficiente en todo el territorio colombiano.</w:t>
      </w:r>
    </w:p>
    <w:p w:rsidRPr="00C140A0" w:rsidR="009F01D9" w:rsidP="00D94015" w:rsidRDefault="009F01D9" w14:paraId="4E8D052B" w14:textId="77777777">
      <w:pPr>
        <w:spacing w:after="0" w:line="360" w:lineRule="auto"/>
        <w:jc w:val="both"/>
        <w:rPr>
          <w:rFonts w:ascii="Verdana" w:hAnsi="Verdana" w:cs="Arial"/>
          <w:sz w:val="24"/>
          <w:szCs w:val="24"/>
        </w:rPr>
      </w:pPr>
    </w:p>
    <w:p w:rsidRPr="00C140A0" w:rsidR="009F01D9" w:rsidP="00D94015" w:rsidRDefault="009F01D9" w14:paraId="130C1B0A" w14:textId="2A6D359C">
      <w:pPr>
        <w:spacing w:after="0" w:line="360" w:lineRule="auto"/>
        <w:jc w:val="both"/>
        <w:rPr>
          <w:rFonts w:ascii="Verdana" w:hAnsi="Verdana" w:cs="Arial"/>
          <w:sz w:val="24"/>
          <w:szCs w:val="24"/>
        </w:rPr>
      </w:pPr>
      <w:r w:rsidRPr="0081023B">
        <w:rPr>
          <w:rFonts w:ascii="Verdana" w:hAnsi="Verdana" w:cs="Arial"/>
          <w:sz w:val="24"/>
          <w:szCs w:val="24"/>
        </w:rPr>
        <w:t>Por otro lado, se encuentra el pivote de minería que</w:t>
      </w:r>
      <w:r w:rsidRPr="00C140A0">
        <w:rPr>
          <w:rFonts w:ascii="Verdana" w:hAnsi="Verdana" w:cs="Arial"/>
          <w:sz w:val="24"/>
          <w:szCs w:val="24"/>
        </w:rPr>
        <w:t xml:space="preserve"> incluye la política minera para el cambio, en donde está contemplado todo el proceso de nuevo marco regulatorio, empresa pública para el sector minero y la formulación e implementación del Plan Nacional de </w:t>
      </w:r>
      <w:r w:rsidR="00471A01">
        <w:rPr>
          <w:rFonts w:ascii="Verdana" w:hAnsi="Verdana" w:cs="Arial"/>
          <w:sz w:val="24"/>
          <w:szCs w:val="24"/>
        </w:rPr>
        <w:t>C</w:t>
      </w:r>
      <w:r w:rsidRPr="00C140A0">
        <w:rPr>
          <w:rFonts w:ascii="Verdana" w:hAnsi="Verdana" w:cs="Arial"/>
          <w:sz w:val="24"/>
          <w:szCs w:val="24"/>
        </w:rPr>
        <w:t xml:space="preserve">onocimiento </w:t>
      </w:r>
      <w:r w:rsidR="00471A01">
        <w:rPr>
          <w:rFonts w:ascii="Verdana" w:hAnsi="Verdana" w:cs="Arial"/>
          <w:sz w:val="24"/>
          <w:szCs w:val="24"/>
        </w:rPr>
        <w:t>G</w:t>
      </w:r>
      <w:r w:rsidRPr="00C140A0">
        <w:rPr>
          <w:rFonts w:ascii="Verdana" w:hAnsi="Verdana" w:cs="Arial"/>
          <w:sz w:val="24"/>
          <w:szCs w:val="24"/>
        </w:rPr>
        <w:t xml:space="preserve">eocientífico. De igual manera, se incluye todo el proceso de reconversión laboral y productiva, así como las apuestas por la reindustrialización, en </w:t>
      </w:r>
      <w:r w:rsidRPr="00C140A0">
        <w:rPr>
          <w:rFonts w:ascii="Verdana" w:hAnsi="Verdana" w:cs="Arial"/>
          <w:sz w:val="24"/>
          <w:szCs w:val="24"/>
        </w:rPr>
        <w:t>lo que se ha denominado minería productiva y sostenible. En esta línea se contemplaron acciones en torno a distritos mineros, corredor de vida del Cesar y minerales estratégicos.</w:t>
      </w:r>
    </w:p>
    <w:p w:rsidR="004C1932" w:rsidP="00D94015" w:rsidRDefault="004C1932" w14:paraId="52760EFF" w14:textId="77777777">
      <w:pPr>
        <w:spacing w:after="0" w:line="360" w:lineRule="auto"/>
        <w:jc w:val="both"/>
        <w:rPr>
          <w:rFonts w:ascii="Verdana" w:hAnsi="Verdana" w:cs="Arial"/>
          <w:b/>
          <w:bCs/>
          <w:sz w:val="24"/>
          <w:szCs w:val="24"/>
        </w:rPr>
      </w:pPr>
    </w:p>
    <w:p w:rsidRPr="00C140A0" w:rsidR="009F01D9" w:rsidP="00D94015" w:rsidRDefault="009F01D9" w14:paraId="162A279A" w14:textId="77777777">
      <w:pPr>
        <w:spacing w:after="0" w:line="360" w:lineRule="auto"/>
        <w:jc w:val="both"/>
        <w:rPr>
          <w:rFonts w:ascii="Verdana" w:hAnsi="Verdana" w:cs="Arial"/>
          <w:b/>
          <w:bCs/>
          <w:sz w:val="24"/>
          <w:szCs w:val="24"/>
        </w:rPr>
      </w:pPr>
      <w:r w:rsidRPr="00C140A0">
        <w:rPr>
          <w:rFonts w:ascii="Verdana" w:hAnsi="Verdana" w:cs="Arial"/>
          <w:b/>
          <w:bCs/>
          <w:sz w:val="24"/>
          <w:szCs w:val="24"/>
        </w:rPr>
        <w:t>Nuevo Marco Regulatorio para la Minería</w:t>
      </w:r>
    </w:p>
    <w:p w:rsidRPr="00C140A0" w:rsidR="009F01D9" w:rsidP="00D94015" w:rsidRDefault="009F01D9" w14:paraId="6A3E060D" w14:textId="77777777">
      <w:pPr>
        <w:spacing w:after="0" w:line="360" w:lineRule="auto"/>
        <w:jc w:val="both"/>
        <w:rPr>
          <w:rFonts w:ascii="Verdana" w:hAnsi="Verdana" w:cs="Arial"/>
          <w:b/>
          <w:bCs/>
          <w:sz w:val="24"/>
          <w:szCs w:val="24"/>
        </w:rPr>
      </w:pPr>
    </w:p>
    <w:p w:rsidRPr="0081023B" w:rsidR="00C10197" w:rsidP="0081023B" w:rsidRDefault="009F01D9" w14:paraId="687B0905" w14:textId="77777777">
      <w:pPr>
        <w:pStyle w:val="Descripcin"/>
        <w:spacing w:after="0"/>
        <w:jc w:val="center"/>
        <w:rPr>
          <w:rFonts w:ascii="Verdana" w:hAnsi="Verdana"/>
          <w:i w:val="0"/>
          <w:iCs w:val="0"/>
          <w:color w:val="auto"/>
        </w:rPr>
      </w:pPr>
      <w:r w:rsidRPr="00C10197">
        <w:rPr>
          <w:rFonts w:ascii="Verdana" w:hAnsi="Verdana"/>
          <w:i w:val="0"/>
          <w:iCs w:val="0"/>
          <w:color w:val="auto"/>
        </w:rPr>
        <w:t xml:space="preserve">Tabla </w:t>
      </w:r>
      <w:r w:rsidR="00280F0A">
        <w:rPr>
          <w:rFonts w:ascii="Verdana" w:hAnsi="Verdana"/>
          <w:i w:val="0"/>
          <w:iCs w:val="0"/>
          <w:color w:val="auto"/>
        </w:rPr>
        <w:t>No. 6</w:t>
      </w:r>
      <w:r w:rsidRPr="00C10197">
        <w:rPr>
          <w:rFonts w:ascii="Verdana" w:hAnsi="Verdana"/>
          <w:i w:val="0"/>
          <w:iCs w:val="0"/>
          <w:color w:val="auto"/>
        </w:rPr>
        <w:t>. Nuevo marco regulatorio PES 2024-2026</w:t>
      </w:r>
    </w:p>
    <w:tbl>
      <w:tblPr>
        <w:tblStyle w:val="Tablaconcuadrcula"/>
        <w:tblW w:w="0" w:type="auto"/>
        <w:tblLook w:val="04A0" w:firstRow="1" w:lastRow="0" w:firstColumn="1" w:lastColumn="0" w:noHBand="0" w:noVBand="1"/>
      </w:tblPr>
      <w:tblGrid>
        <w:gridCol w:w="1913"/>
        <w:gridCol w:w="1912"/>
        <w:gridCol w:w="1525"/>
        <w:gridCol w:w="996"/>
        <w:gridCol w:w="892"/>
        <w:gridCol w:w="1590"/>
      </w:tblGrid>
      <w:tr w:rsidRPr="00C10197" w:rsidR="00F61259" w:rsidTr="30CF4445" w14:paraId="529CE42F" w14:textId="77777777">
        <w:tc>
          <w:tcPr>
            <w:tcW w:w="1913" w:type="dxa"/>
            <w:shd w:val="clear" w:color="auto" w:fill="A6A6A6" w:themeFill="background1" w:themeFillShade="A6"/>
            <w:tcMar/>
            <w:vAlign w:val="center"/>
          </w:tcPr>
          <w:p w:rsidRPr="00C10197" w:rsidR="00F61259" w:rsidP="004C1932" w:rsidRDefault="00F61259" w14:paraId="5315FF06" w14:textId="77777777">
            <w:pPr>
              <w:jc w:val="center"/>
              <w:rPr>
                <w:rFonts w:ascii="Verdana" w:hAnsi="Verdana" w:cs="Arial"/>
                <w:b/>
                <w:bCs/>
                <w:sz w:val="18"/>
                <w:szCs w:val="18"/>
              </w:rPr>
            </w:pPr>
            <w:r w:rsidRPr="00C10197">
              <w:rPr>
                <w:rFonts w:ascii="Verdana" w:hAnsi="Verdana" w:cs="Arial"/>
                <w:b/>
                <w:bCs/>
                <w:sz w:val="18"/>
                <w:szCs w:val="18"/>
              </w:rPr>
              <w:t>Indicador</w:t>
            </w:r>
          </w:p>
        </w:tc>
        <w:tc>
          <w:tcPr>
            <w:tcW w:w="1912" w:type="dxa"/>
            <w:shd w:val="clear" w:color="auto" w:fill="A6A6A6" w:themeFill="background1" w:themeFillShade="A6"/>
            <w:tcMar/>
            <w:vAlign w:val="center"/>
          </w:tcPr>
          <w:p w:rsidRPr="00C10197" w:rsidR="00F61259" w:rsidP="004C1932" w:rsidRDefault="00F61259" w14:paraId="0DE56CD6" w14:textId="0DC231BA">
            <w:pPr>
              <w:jc w:val="center"/>
              <w:rPr>
                <w:rFonts w:ascii="Verdana" w:hAnsi="Verdana" w:cs="Arial"/>
                <w:b w:val="1"/>
                <w:bCs w:val="1"/>
                <w:sz w:val="18"/>
                <w:szCs w:val="18"/>
              </w:rPr>
            </w:pPr>
            <w:r w:rsidRPr="30CF4445" w:rsidR="251D72D5">
              <w:rPr>
                <w:rFonts w:ascii="Verdana" w:hAnsi="Verdana" w:cs="Arial"/>
                <w:b w:val="1"/>
                <w:bCs w:val="1"/>
                <w:sz w:val="18"/>
                <w:szCs w:val="18"/>
              </w:rPr>
              <w:t>F</w:t>
            </w:r>
            <w:r w:rsidRPr="30CF4445" w:rsidR="5995F881">
              <w:rPr>
                <w:rFonts w:ascii="Verdana" w:hAnsi="Verdana" w:cs="Arial"/>
                <w:b w:val="1"/>
                <w:bCs w:val="1"/>
                <w:sz w:val="18"/>
                <w:szCs w:val="18"/>
              </w:rPr>
              <w:t>ó</w:t>
            </w:r>
            <w:r w:rsidRPr="30CF4445" w:rsidR="251D72D5">
              <w:rPr>
                <w:rFonts w:ascii="Verdana" w:hAnsi="Verdana" w:cs="Arial"/>
                <w:b w:val="1"/>
                <w:bCs w:val="1"/>
                <w:sz w:val="18"/>
                <w:szCs w:val="18"/>
              </w:rPr>
              <w:t>rmula</w:t>
            </w:r>
          </w:p>
        </w:tc>
        <w:tc>
          <w:tcPr>
            <w:tcW w:w="1525" w:type="dxa"/>
            <w:shd w:val="clear" w:color="auto" w:fill="A6A6A6" w:themeFill="background1" w:themeFillShade="A6"/>
            <w:tcMar/>
            <w:vAlign w:val="center"/>
          </w:tcPr>
          <w:p w:rsidRPr="00C10197" w:rsidR="00F61259" w:rsidP="004C1932" w:rsidRDefault="00F61259" w14:paraId="358D178C" w14:textId="77777777">
            <w:pPr>
              <w:jc w:val="center"/>
              <w:rPr>
                <w:rFonts w:ascii="Verdana" w:hAnsi="Verdana" w:cs="Arial"/>
                <w:b/>
                <w:bCs/>
                <w:sz w:val="18"/>
                <w:szCs w:val="18"/>
              </w:rPr>
            </w:pPr>
            <w:r w:rsidRPr="00C10197">
              <w:rPr>
                <w:rFonts w:ascii="Verdana" w:hAnsi="Verdana" w:cs="Arial"/>
                <w:b/>
                <w:bCs/>
                <w:sz w:val="18"/>
                <w:szCs w:val="18"/>
              </w:rPr>
              <w:t>Meta Cuatrienio</w:t>
            </w:r>
          </w:p>
        </w:tc>
        <w:tc>
          <w:tcPr>
            <w:tcW w:w="996" w:type="dxa"/>
            <w:shd w:val="clear" w:color="auto" w:fill="A6A6A6" w:themeFill="background1" w:themeFillShade="A6"/>
            <w:tcMar/>
            <w:vAlign w:val="center"/>
          </w:tcPr>
          <w:p w:rsidRPr="00C10197" w:rsidR="00F61259" w:rsidP="004C1932" w:rsidRDefault="00F61259" w14:paraId="00CD2C7B" w14:textId="77777777">
            <w:pPr>
              <w:jc w:val="center"/>
              <w:rPr>
                <w:rFonts w:ascii="Verdana" w:hAnsi="Verdana" w:cs="Arial"/>
                <w:b/>
                <w:bCs/>
                <w:sz w:val="18"/>
                <w:szCs w:val="18"/>
              </w:rPr>
            </w:pPr>
            <w:r w:rsidRPr="00C10197">
              <w:rPr>
                <w:rFonts w:ascii="Verdana" w:hAnsi="Verdana" w:cs="Arial"/>
                <w:b/>
                <w:bCs/>
                <w:sz w:val="18"/>
                <w:szCs w:val="18"/>
              </w:rPr>
              <w:t>Meta 2024</w:t>
            </w:r>
          </w:p>
        </w:tc>
        <w:tc>
          <w:tcPr>
            <w:tcW w:w="892" w:type="dxa"/>
            <w:shd w:val="clear" w:color="auto" w:fill="A6A6A6" w:themeFill="background1" w:themeFillShade="A6"/>
            <w:tcMar/>
            <w:vAlign w:val="center"/>
          </w:tcPr>
          <w:p w:rsidRPr="00C10197" w:rsidR="00F61259" w:rsidP="004C1932" w:rsidRDefault="00F61259" w14:paraId="5A301D42" w14:textId="77777777">
            <w:pPr>
              <w:jc w:val="center"/>
              <w:rPr>
                <w:rFonts w:ascii="Verdana" w:hAnsi="Verdana" w:cs="Arial"/>
                <w:b/>
                <w:bCs/>
                <w:sz w:val="18"/>
                <w:szCs w:val="18"/>
              </w:rPr>
            </w:pPr>
            <w:r w:rsidRPr="00C10197">
              <w:rPr>
                <w:rFonts w:ascii="Verdana" w:hAnsi="Verdana" w:cs="Arial"/>
                <w:b/>
                <w:bCs/>
                <w:sz w:val="18"/>
                <w:szCs w:val="18"/>
              </w:rPr>
              <w:t>Meta 2025</w:t>
            </w:r>
          </w:p>
        </w:tc>
        <w:tc>
          <w:tcPr>
            <w:tcW w:w="1590" w:type="dxa"/>
            <w:shd w:val="clear" w:color="auto" w:fill="A6A6A6" w:themeFill="background1" w:themeFillShade="A6"/>
            <w:tcMar/>
            <w:vAlign w:val="center"/>
          </w:tcPr>
          <w:p w:rsidRPr="00C10197" w:rsidR="00F61259" w:rsidP="004C1932" w:rsidRDefault="00F61259" w14:paraId="02DF5E20" w14:textId="77777777">
            <w:pPr>
              <w:jc w:val="center"/>
              <w:rPr>
                <w:rFonts w:ascii="Verdana" w:hAnsi="Verdana" w:cs="Arial"/>
                <w:b/>
                <w:bCs/>
                <w:sz w:val="18"/>
                <w:szCs w:val="18"/>
              </w:rPr>
            </w:pPr>
            <w:r w:rsidRPr="00C10197">
              <w:rPr>
                <w:rFonts w:ascii="Verdana" w:hAnsi="Verdana" w:cs="Arial"/>
                <w:b/>
                <w:bCs/>
                <w:sz w:val="18"/>
                <w:szCs w:val="18"/>
              </w:rPr>
              <w:t>Avance Acumulado</w:t>
            </w:r>
          </w:p>
          <w:p w:rsidRPr="00C10197" w:rsidR="00F61259" w:rsidP="004C1932" w:rsidRDefault="00F61259" w14:paraId="4E2A94D7" w14:textId="77777777">
            <w:pPr>
              <w:jc w:val="center"/>
              <w:rPr>
                <w:rFonts w:ascii="Verdana" w:hAnsi="Verdana" w:cs="Arial"/>
                <w:b/>
                <w:bCs/>
                <w:sz w:val="18"/>
                <w:szCs w:val="18"/>
              </w:rPr>
            </w:pPr>
            <w:r w:rsidRPr="00C10197">
              <w:rPr>
                <w:rFonts w:ascii="Verdana" w:hAnsi="Verdana" w:cs="Arial"/>
                <w:b/>
                <w:bCs/>
                <w:sz w:val="18"/>
                <w:szCs w:val="18"/>
              </w:rPr>
              <w:t>1° TRIM 2026</w:t>
            </w:r>
          </w:p>
        </w:tc>
      </w:tr>
      <w:tr w:rsidRPr="00C10197" w:rsidR="00F61259" w:rsidTr="30CF4445" w14:paraId="115B0EF0" w14:textId="77777777">
        <w:tc>
          <w:tcPr>
            <w:tcW w:w="1913" w:type="dxa"/>
            <w:tcMar/>
            <w:vAlign w:val="center"/>
          </w:tcPr>
          <w:p w:rsidRPr="00C10197" w:rsidR="00F61259" w:rsidP="004C1932" w:rsidRDefault="00F61259" w14:paraId="67EAB504" w14:textId="77777777">
            <w:pPr>
              <w:rPr>
                <w:rFonts w:ascii="Verdana" w:hAnsi="Verdana" w:cs="Arial"/>
                <w:sz w:val="18"/>
                <w:szCs w:val="18"/>
              </w:rPr>
            </w:pPr>
            <w:r w:rsidRPr="00C10197">
              <w:rPr>
                <w:rFonts w:ascii="Verdana" w:hAnsi="Verdana" w:cs="Arial"/>
                <w:sz w:val="18"/>
                <w:szCs w:val="18"/>
              </w:rPr>
              <w:t>Radicación a Congreso de la Nueva Ley Minera consultada con sujetos étnicos</w:t>
            </w:r>
          </w:p>
        </w:tc>
        <w:tc>
          <w:tcPr>
            <w:tcW w:w="1912" w:type="dxa"/>
            <w:tcMar/>
            <w:vAlign w:val="center"/>
          </w:tcPr>
          <w:p w:rsidRPr="00C10197" w:rsidR="00F61259" w:rsidP="0081023B" w:rsidRDefault="00F61259" w14:paraId="322F4168" w14:textId="77777777">
            <w:pPr>
              <w:jc w:val="both"/>
              <w:rPr>
                <w:rFonts w:ascii="Verdana" w:hAnsi="Verdana" w:cs="Arial"/>
                <w:sz w:val="18"/>
                <w:szCs w:val="18"/>
              </w:rPr>
            </w:pPr>
            <w:r w:rsidRPr="00C10197">
              <w:rPr>
                <w:rFonts w:ascii="Verdana" w:hAnsi="Verdana" w:cs="Arial"/>
                <w:sz w:val="18"/>
                <w:szCs w:val="18"/>
              </w:rPr>
              <w:t>Porcentaje de avance en la radicación a Congreso de la Nueva Ley Minera consultada con sujetos étnicos</w:t>
            </w:r>
          </w:p>
        </w:tc>
        <w:tc>
          <w:tcPr>
            <w:tcW w:w="1525" w:type="dxa"/>
            <w:tcMar/>
            <w:vAlign w:val="center"/>
          </w:tcPr>
          <w:p w:rsidRPr="00C10197" w:rsidR="00F61259" w:rsidP="004C1932" w:rsidRDefault="00F61259" w14:paraId="59ECFC49" w14:textId="77777777">
            <w:pPr>
              <w:jc w:val="center"/>
              <w:rPr>
                <w:rFonts w:ascii="Verdana" w:hAnsi="Verdana" w:cs="Arial"/>
                <w:sz w:val="18"/>
                <w:szCs w:val="18"/>
              </w:rPr>
            </w:pPr>
            <w:r w:rsidRPr="00C10197">
              <w:rPr>
                <w:rFonts w:ascii="Verdana" w:hAnsi="Verdana" w:cs="Arial"/>
                <w:sz w:val="18"/>
                <w:szCs w:val="18"/>
              </w:rPr>
              <w:t>1</w:t>
            </w:r>
          </w:p>
        </w:tc>
        <w:tc>
          <w:tcPr>
            <w:tcW w:w="996" w:type="dxa"/>
            <w:tcMar/>
            <w:vAlign w:val="center"/>
          </w:tcPr>
          <w:p w:rsidRPr="00C10197" w:rsidR="00F61259" w:rsidP="004C1932" w:rsidRDefault="00F61259" w14:paraId="73975DA0" w14:textId="77777777">
            <w:pPr>
              <w:jc w:val="center"/>
              <w:rPr>
                <w:rFonts w:ascii="Verdana" w:hAnsi="Verdana" w:cs="Arial"/>
                <w:sz w:val="18"/>
                <w:szCs w:val="18"/>
              </w:rPr>
            </w:pPr>
            <w:r w:rsidRPr="00C10197">
              <w:rPr>
                <w:rFonts w:ascii="Verdana" w:hAnsi="Verdana" w:cs="Arial"/>
                <w:sz w:val="18"/>
                <w:szCs w:val="18"/>
              </w:rPr>
              <w:t>1</w:t>
            </w:r>
          </w:p>
        </w:tc>
        <w:tc>
          <w:tcPr>
            <w:tcW w:w="892" w:type="dxa"/>
            <w:tcMar/>
            <w:vAlign w:val="center"/>
          </w:tcPr>
          <w:p w:rsidRPr="00C10197" w:rsidR="00F61259" w:rsidP="004C1932" w:rsidRDefault="00F61259" w14:paraId="10EFAC8D" w14:textId="77777777">
            <w:pPr>
              <w:jc w:val="center"/>
              <w:rPr>
                <w:rFonts w:ascii="Verdana" w:hAnsi="Verdana" w:cs="Arial"/>
                <w:sz w:val="18"/>
                <w:szCs w:val="18"/>
              </w:rPr>
            </w:pPr>
            <w:r w:rsidRPr="00C10197">
              <w:rPr>
                <w:rFonts w:ascii="Verdana" w:hAnsi="Verdana" w:cs="Arial"/>
                <w:sz w:val="18"/>
                <w:szCs w:val="18"/>
              </w:rPr>
              <w:t>1</w:t>
            </w:r>
          </w:p>
        </w:tc>
        <w:tc>
          <w:tcPr>
            <w:tcW w:w="1590" w:type="dxa"/>
            <w:tcMar/>
            <w:vAlign w:val="center"/>
          </w:tcPr>
          <w:p w:rsidRPr="00C10197" w:rsidR="00F61259" w:rsidP="004C1932" w:rsidRDefault="00F61259" w14:paraId="55BB6694" w14:textId="77777777">
            <w:pPr>
              <w:jc w:val="center"/>
              <w:rPr>
                <w:rFonts w:ascii="Verdana" w:hAnsi="Verdana" w:cs="Arial"/>
                <w:sz w:val="18"/>
                <w:szCs w:val="18"/>
              </w:rPr>
            </w:pPr>
            <w:r w:rsidRPr="00C10197">
              <w:rPr>
                <w:rFonts w:ascii="Verdana" w:hAnsi="Verdana" w:cs="Arial"/>
                <w:sz w:val="18"/>
                <w:szCs w:val="18"/>
              </w:rPr>
              <w:t>1</w:t>
            </w:r>
          </w:p>
        </w:tc>
      </w:tr>
      <w:tr w:rsidRPr="00C10197" w:rsidR="00F61259" w:rsidTr="30CF4445" w14:paraId="6A20A9F6" w14:textId="77777777">
        <w:tc>
          <w:tcPr>
            <w:tcW w:w="1913" w:type="dxa"/>
            <w:tcMar/>
            <w:vAlign w:val="center"/>
          </w:tcPr>
          <w:p w:rsidRPr="00C10197" w:rsidR="00F61259" w:rsidP="004C1932" w:rsidRDefault="00F61259" w14:paraId="6D58D87D" w14:textId="77777777">
            <w:pPr>
              <w:rPr>
                <w:rFonts w:ascii="Verdana" w:hAnsi="Verdana" w:cs="Arial"/>
                <w:sz w:val="18"/>
                <w:szCs w:val="18"/>
              </w:rPr>
            </w:pPr>
            <w:r w:rsidRPr="00C10197">
              <w:rPr>
                <w:rFonts w:ascii="Verdana" w:hAnsi="Verdana" w:cs="Arial"/>
                <w:sz w:val="18"/>
                <w:szCs w:val="18"/>
              </w:rPr>
              <w:t>Adopción de actos administrativos para la transformación progresiva del sector minero</w:t>
            </w:r>
          </w:p>
        </w:tc>
        <w:tc>
          <w:tcPr>
            <w:tcW w:w="1912" w:type="dxa"/>
            <w:tcMar/>
            <w:vAlign w:val="center"/>
          </w:tcPr>
          <w:p w:rsidRPr="00C10197" w:rsidR="00F61259" w:rsidP="0081023B" w:rsidRDefault="00F61259" w14:paraId="0476224F" w14:textId="77777777">
            <w:pPr>
              <w:jc w:val="both"/>
              <w:rPr>
                <w:rFonts w:ascii="Verdana" w:hAnsi="Verdana" w:cs="Arial"/>
                <w:sz w:val="18"/>
                <w:szCs w:val="18"/>
              </w:rPr>
            </w:pPr>
            <w:r w:rsidRPr="00C10197">
              <w:rPr>
                <w:rFonts w:ascii="Verdana" w:hAnsi="Verdana" w:cs="Arial"/>
                <w:sz w:val="18"/>
                <w:szCs w:val="18"/>
              </w:rPr>
              <w:t>Porcentaje de avance en la adopción de actos administrativos para la transformación progresiva del sector minero</w:t>
            </w:r>
          </w:p>
        </w:tc>
        <w:tc>
          <w:tcPr>
            <w:tcW w:w="1525" w:type="dxa"/>
            <w:tcMar/>
            <w:vAlign w:val="center"/>
          </w:tcPr>
          <w:p w:rsidRPr="00C10197" w:rsidR="00F61259" w:rsidP="004C1932" w:rsidRDefault="00F61259" w14:paraId="430EDD95" w14:textId="77777777">
            <w:pPr>
              <w:jc w:val="center"/>
              <w:rPr>
                <w:rFonts w:ascii="Verdana" w:hAnsi="Verdana" w:cs="Arial"/>
                <w:sz w:val="18"/>
                <w:szCs w:val="18"/>
              </w:rPr>
            </w:pPr>
            <w:r w:rsidRPr="00C10197">
              <w:rPr>
                <w:rFonts w:ascii="Verdana" w:hAnsi="Verdana" w:cs="Arial"/>
                <w:sz w:val="18"/>
                <w:szCs w:val="18"/>
              </w:rPr>
              <w:t>1</w:t>
            </w:r>
          </w:p>
        </w:tc>
        <w:tc>
          <w:tcPr>
            <w:tcW w:w="996" w:type="dxa"/>
            <w:tcMar/>
            <w:vAlign w:val="center"/>
          </w:tcPr>
          <w:p w:rsidRPr="00C10197" w:rsidR="00F61259" w:rsidP="004C1932" w:rsidRDefault="00F61259" w14:paraId="2C576F67" w14:textId="77777777">
            <w:pPr>
              <w:jc w:val="center"/>
              <w:rPr>
                <w:rFonts w:ascii="Verdana" w:hAnsi="Verdana" w:cs="Arial"/>
                <w:sz w:val="18"/>
                <w:szCs w:val="18"/>
              </w:rPr>
            </w:pPr>
            <w:r w:rsidRPr="00C10197">
              <w:rPr>
                <w:rFonts w:ascii="Verdana" w:hAnsi="Verdana" w:cs="Arial"/>
                <w:sz w:val="18"/>
                <w:szCs w:val="18"/>
              </w:rPr>
              <w:t>0,5</w:t>
            </w:r>
          </w:p>
        </w:tc>
        <w:tc>
          <w:tcPr>
            <w:tcW w:w="892" w:type="dxa"/>
            <w:tcMar/>
            <w:vAlign w:val="center"/>
          </w:tcPr>
          <w:p w:rsidRPr="00C10197" w:rsidR="00F61259" w:rsidP="004C1932" w:rsidRDefault="00F61259" w14:paraId="315986D4" w14:textId="77777777">
            <w:pPr>
              <w:jc w:val="center"/>
              <w:rPr>
                <w:rFonts w:ascii="Verdana" w:hAnsi="Verdana" w:cs="Arial"/>
                <w:sz w:val="18"/>
                <w:szCs w:val="18"/>
              </w:rPr>
            </w:pPr>
            <w:r w:rsidRPr="00C10197">
              <w:rPr>
                <w:rFonts w:ascii="Verdana" w:hAnsi="Verdana" w:cs="Arial"/>
                <w:sz w:val="18"/>
                <w:szCs w:val="18"/>
              </w:rPr>
              <w:t>0,8</w:t>
            </w:r>
          </w:p>
        </w:tc>
        <w:tc>
          <w:tcPr>
            <w:tcW w:w="1590" w:type="dxa"/>
            <w:tcMar/>
            <w:vAlign w:val="center"/>
          </w:tcPr>
          <w:p w:rsidRPr="00C10197" w:rsidR="00F61259" w:rsidP="004C1932" w:rsidRDefault="00F61259" w14:paraId="529646A3" w14:textId="77777777">
            <w:pPr>
              <w:jc w:val="center"/>
              <w:rPr>
                <w:rFonts w:ascii="Verdana" w:hAnsi="Verdana" w:cs="Arial"/>
                <w:sz w:val="18"/>
                <w:szCs w:val="18"/>
              </w:rPr>
            </w:pPr>
            <w:r w:rsidRPr="00C10197">
              <w:rPr>
                <w:rFonts w:ascii="Verdana" w:hAnsi="Verdana" w:cs="Arial"/>
                <w:sz w:val="18"/>
                <w:szCs w:val="18"/>
              </w:rPr>
              <w:t>0,11</w:t>
            </w:r>
          </w:p>
        </w:tc>
      </w:tr>
    </w:tbl>
    <w:p w:rsidRPr="00C10197" w:rsidR="00D71F63" w:rsidP="004C1932" w:rsidRDefault="60DFEC2F" w14:paraId="02253EE7" w14:textId="77777777">
      <w:pPr>
        <w:spacing w:after="0" w:line="240" w:lineRule="auto"/>
        <w:jc w:val="center"/>
        <w:rPr>
          <w:rFonts w:ascii="Verdana" w:hAnsi="Verdana" w:cs="Arial"/>
          <w:sz w:val="18"/>
          <w:szCs w:val="18"/>
        </w:rPr>
      </w:pPr>
      <w:r w:rsidRPr="180099B3">
        <w:rPr>
          <w:rFonts w:ascii="Verdana" w:hAnsi="Verdana" w:cs="Arial"/>
          <w:sz w:val="18"/>
          <w:szCs w:val="18"/>
        </w:rPr>
        <w:t xml:space="preserve">Fuente: Elaboración propia </w:t>
      </w:r>
      <w:r w:rsidRPr="180099B3" w:rsidR="12A6D07E">
        <w:rPr>
          <w:rFonts w:ascii="Verdana" w:hAnsi="Verdana" w:cs="Arial"/>
          <w:sz w:val="18"/>
          <w:szCs w:val="18"/>
        </w:rPr>
        <w:t xml:space="preserve">OPGI - </w:t>
      </w:r>
      <w:r w:rsidRPr="180099B3">
        <w:rPr>
          <w:rFonts w:ascii="Verdana" w:hAnsi="Verdana" w:cs="Arial"/>
          <w:sz w:val="18"/>
          <w:szCs w:val="18"/>
        </w:rPr>
        <w:t>MME, 31 de marzo 2026.</w:t>
      </w:r>
    </w:p>
    <w:p w:rsidR="00C10197" w:rsidP="004C1932" w:rsidRDefault="00C10197" w14:paraId="69EAD30C" w14:textId="77777777">
      <w:pPr>
        <w:spacing w:after="0" w:line="360" w:lineRule="auto"/>
        <w:rPr>
          <w:rFonts w:ascii="Verdana" w:hAnsi="Verdana" w:cs="Arial"/>
          <w:sz w:val="24"/>
          <w:szCs w:val="24"/>
        </w:rPr>
      </w:pPr>
    </w:p>
    <w:p w:rsidRPr="00C140A0" w:rsidR="00395236" w:rsidP="00D94015" w:rsidRDefault="00395236" w14:paraId="70AF56DD" w14:textId="77777777">
      <w:pPr>
        <w:spacing w:after="0" w:line="360" w:lineRule="auto"/>
        <w:jc w:val="both"/>
        <w:rPr>
          <w:rFonts w:ascii="Verdana" w:hAnsi="Verdana" w:cs="Arial"/>
          <w:sz w:val="24"/>
          <w:szCs w:val="24"/>
        </w:rPr>
      </w:pPr>
      <w:r w:rsidRPr="00C140A0">
        <w:rPr>
          <w:rFonts w:ascii="Verdana" w:hAnsi="Verdana" w:cs="Arial"/>
          <w:sz w:val="24"/>
          <w:szCs w:val="24"/>
        </w:rPr>
        <w:t xml:space="preserve">Frente a los principales logros realizados durante este periodo de tiempo, se contemplan los siguientes: </w:t>
      </w:r>
    </w:p>
    <w:p w:rsidRPr="00C140A0" w:rsidR="00395236" w:rsidRDefault="00395236" w14:paraId="11A45586" w14:textId="77777777">
      <w:pPr>
        <w:pStyle w:val="Prrafodelista"/>
        <w:numPr>
          <w:ilvl w:val="0"/>
          <w:numId w:val="59"/>
        </w:numPr>
        <w:spacing w:after="0" w:line="360" w:lineRule="auto"/>
        <w:ind w:hanging="436"/>
        <w:jc w:val="both"/>
        <w:rPr>
          <w:rFonts w:ascii="Verdana" w:hAnsi="Verdana" w:cs="Arial"/>
          <w:sz w:val="24"/>
          <w:szCs w:val="24"/>
        </w:rPr>
      </w:pPr>
      <w:r w:rsidRPr="00C140A0">
        <w:rPr>
          <w:rFonts w:ascii="Verdana" w:hAnsi="Verdana" w:cs="Arial"/>
          <w:sz w:val="24"/>
          <w:szCs w:val="24"/>
        </w:rPr>
        <w:t xml:space="preserve">Por primera vez se realiza consulta previa de un proyecto de ley del sector minero con los sujetos étnicos. (NARP, RROM e Indígenas) y se pone en conocimiento de la ciudadanía un proyecto de ley para comentarios.  </w:t>
      </w:r>
      <w:r w:rsidRPr="00C140A0">
        <w:rPr>
          <w:rFonts w:ascii="Arial" w:hAnsi="Arial" w:cs="Arial"/>
          <w:sz w:val="24"/>
          <w:szCs w:val="24"/>
        </w:rPr>
        <w:t>​</w:t>
      </w:r>
    </w:p>
    <w:p w:rsidRPr="00C140A0" w:rsidR="00395236" w:rsidRDefault="00395236" w14:paraId="6871A542" w14:textId="77777777">
      <w:pPr>
        <w:pStyle w:val="Prrafodelista"/>
        <w:numPr>
          <w:ilvl w:val="0"/>
          <w:numId w:val="59"/>
        </w:numPr>
        <w:spacing w:after="0" w:line="360" w:lineRule="auto"/>
        <w:jc w:val="both"/>
        <w:rPr>
          <w:rFonts w:ascii="Verdana" w:hAnsi="Verdana" w:cs="Arial"/>
          <w:sz w:val="24"/>
          <w:szCs w:val="24"/>
        </w:rPr>
      </w:pPr>
      <w:r w:rsidRPr="00C140A0">
        <w:rPr>
          <w:rFonts w:ascii="Arial" w:hAnsi="Arial" w:cs="Arial"/>
          <w:sz w:val="24"/>
          <w:szCs w:val="24"/>
        </w:rPr>
        <w:t>​</w:t>
      </w:r>
      <w:r w:rsidRPr="00C140A0">
        <w:rPr>
          <w:rFonts w:ascii="Verdana" w:hAnsi="Verdana" w:cs="Arial"/>
          <w:sz w:val="24"/>
          <w:szCs w:val="24"/>
        </w:rPr>
        <w:t xml:space="preserve">El artículo 24 (Sistema Nacional de Seguridad Minera), el cual fue firmado en conjunto por los ministros de Salud, Trabajo y Minas y Energía, fue remitido a Presidencia de la República para su firma. No obstante, la Presidencia devolvió el proyecto para realizar ajustes, los cuales ya fueron incorporados. Actualmente, el proyecto se encuentra surtiendo el trámite de firmas por parte de los </w:t>
      </w:r>
      <w:r w:rsidRPr="00C140A0">
        <w:rPr>
          <w:rFonts w:ascii="Verdana" w:hAnsi="Verdana" w:cs="Arial"/>
          <w:sz w:val="24"/>
          <w:szCs w:val="24"/>
        </w:rPr>
        <w:t xml:space="preserve">Ministerios de Salud y Trabajo, para remitir nuevamente a Presidencia de la República.            </w:t>
      </w:r>
    </w:p>
    <w:p w:rsidRPr="00C140A0" w:rsidR="00395236" w:rsidRDefault="00395236" w14:paraId="6ADDBBED" w14:textId="4084CFE6">
      <w:pPr>
        <w:pStyle w:val="Prrafodelista"/>
        <w:numPr>
          <w:ilvl w:val="0"/>
          <w:numId w:val="59"/>
        </w:numPr>
        <w:spacing w:after="0" w:line="360" w:lineRule="auto"/>
        <w:jc w:val="both"/>
        <w:rPr>
          <w:rFonts w:ascii="Verdana" w:hAnsi="Verdana" w:cs="Arial"/>
          <w:sz w:val="24"/>
          <w:szCs w:val="24"/>
        </w:rPr>
      </w:pPr>
      <w:r w:rsidRPr="30CF4445" w:rsidR="6C4B0EFA">
        <w:rPr>
          <w:rFonts w:ascii="Verdana" w:hAnsi="Verdana" w:cs="Arial"/>
          <w:sz w:val="24"/>
          <w:szCs w:val="24"/>
        </w:rPr>
        <w:t xml:space="preserve">El artículo 8 (Fondo de Fomento Minero) fue publicado para comentarios de la ciudadanía entre el 7 y el 22 de febrero de 2025. Actualmente se encuentra surtiendo la etapa de último concepto del Ministerio de Hacienda y Crédito Público, para posteriormente pasar a firmas de </w:t>
      </w:r>
      <w:r w:rsidRPr="30CF4445" w:rsidR="013CA209">
        <w:rPr>
          <w:rFonts w:ascii="Verdana" w:hAnsi="Verdana" w:cs="Arial"/>
          <w:sz w:val="24"/>
          <w:szCs w:val="24"/>
        </w:rPr>
        <w:t xml:space="preserve">los </w:t>
      </w:r>
      <w:r w:rsidRPr="30CF4445" w:rsidR="6C4B0EFA">
        <w:rPr>
          <w:rFonts w:ascii="Verdana" w:hAnsi="Verdana" w:cs="Arial"/>
          <w:sz w:val="24"/>
          <w:szCs w:val="24"/>
        </w:rPr>
        <w:t xml:space="preserve">ministros y presidente de la República.  </w:t>
      </w:r>
    </w:p>
    <w:p w:rsidRPr="00C140A0" w:rsidR="00395236" w:rsidRDefault="00395236" w14:paraId="577F62F7" w14:textId="3D222EAF">
      <w:pPr>
        <w:pStyle w:val="Prrafodelista"/>
        <w:numPr>
          <w:ilvl w:val="0"/>
          <w:numId w:val="59"/>
        </w:numPr>
        <w:spacing w:after="0" w:line="360" w:lineRule="auto"/>
        <w:jc w:val="both"/>
        <w:rPr>
          <w:rFonts w:ascii="Verdana" w:hAnsi="Verdana" w:cs="Arial"/>
          <w:sz w:val="24"/>
          <w:szCs w:val="24"/>
        </w:rPr>
      </w:pPr>
      <w:r w:rsidRPr="30CF4445" w:rsidR="6C4B0EFA">
        <w:rPr>
          <w:rFonts w:ascii="Verdana" w:hAnsi="Verdana" w:cs="Arial"/>
          <w:sz w:val="24"/>
          <w:szCs w:val="24"/>
        </w:rPr>
        <w:t xml:space="preserve">El artículo 12 (Economía Circular) está siendo trabajado en conjunto con el Ministerio de Ambiente y Desarrollo </w:t>
      </w:r>
      <w:r w:rsidRPr="30CF4445" w:rsidR="2C3ABA15">
        <w:rPr>
          <w:rFonts w:ascii="Verdana" w:hAnsi="Verdana" w:cs="Arial"/>
          <w:sz w:val="24"/>
          <w:szCs w:val="24"/>
        </w:rPr>
        <w:t>S</w:t>
      </w:r>
      <w:r w:rsidRPr="30CF4445" w:rsidR="6C4B0EFA">
        <w:rPr>
          <w:rFonts w:ascii="Verdana" w:hAnsi="Verdana" w:cs="Arial"/>
          <w:sz w:val="24"/>
          <w:szCs w:val="24"/>
        </w:rPr>
        <w:t>ostenible, quienes lideran el proceso. Durante el mes pasado, se remitieron comentarios a la última versión del proyecto, a solicitud del MADS.</w:t>
      </w:r>
    </w:p>
    <w:p w:rsidRPr="00C140A0" w:rsidR="00395236" w:rsidRDefault="00395236" w14:paraId="4D047EE9" w14:textId="77777777">
      <w:pPr>
        <w:pStyle w:val="Prrafodelista"/>
        <w:numPr>
          <w:ilvl w:val="0"/>
          <w:numId w:val="59"/>
        </w:numPr>
        <w:spacing w:after="0" w:line="360" w:lineRule="auto"/>
        <w:jc w:val="both"/>
        <w:rPr>
          <w:rFonts w:ascii="Verdana" w:hAnsi="Verdana" w:cs="Arial"/>
          <w:sz w:val="24"/>
          <w:szCs w:val="24"/>
        </w:rPr>
      </w:pPr>
      <w:r w:rsidRPr="00C140A0">
        <w:rPr>
          <w:rFonts w:ascii="Verdana" w:hAnsi="Verdana" w:cs="Arial"/>
          <w:sz w:val="24"/>
          <w:szCs w:val="24"/>
        </w:rPr>
        <w:t xml:space="preserve">Se realizó la radicación del proyecto de ley correspondiente a </w:t>
      </w:r>
      <w:r w:rsidRPr="00C140A0" w:rsidR="00C10197">
        <w:rPr>
          <w:rFonts w:ascii="Verdana" w:hAnsi="Verdana" w:cs="Arial"/>
          <w:sz w:val="24"/>
          <w:szCs w:val="24"/>
        </w:rPr>
        <w:t>la Nueva</w:t>
      </w:r>
      <w:r w:rsidRPr="00C140A0">
        <w:rPr>
          <w:rFonts w:ascii="Verdana" w:hAnsi="Verdana" w:cs="Arial"/>
          <w:sz w:val="24"/>
          <w:szCs w:val="24"/>
        </w:rPr>
        <w:t xml:space="preserve"> Ley Minera, el 01 de octubre de 2025, en el Congreso de la República, la cual busca establecer nuevas reglas ambientales, sociales y contractuales para una minería planificada, justa y sostenible.</w:t>
      </w:r>
    </w:p>
    <w:p w:rsidRPr="00C140A0" w:rsidR="00395236" w:rsidRDefault="00395236" w14:paraId="4085A10A" w14:textId="77777777">
      <w:pPr>
        <w:pStyle w:val="Prrafodelista"/>
        <w:numPr>
          <w:ilvl w:val="0"/>
          <w:numId w:val="59"/>
        </w:numPr>
        <w:spacing w:after="0" w:line="360" w:lineRule="auto"/>
        <w:jc w:val="both"/>
        <w:rPr>
          <w:rFonts w:ascii="Verdana" w:hAnsi="Verdana" w:cs="Arial"/>
          <w:sz w:val="24"/>
          <w:szCs w:val="24"/>
        </w:rPr>
      </w:pPr>
      <w:r w:rsidRPr="00C140A0">
        <w:rPr>
          <w:rFonts w:ascii="Verdana" w:hAnsi="Verdana" w:cs="Arial"/>
          <w:sz w:val="24"/>
          <w:szCs w:val="24"/>
        </w:rPr>
        <w:t>Durante el primer trimestre de 2026 se lograron avances estratégicos en la estructuración, ajuste y viabilización jurídica de instrumentos normativos clave para el fortalecimiento del sector minero, destacándose el progreso en la reglamentación del Fondo de Fomento Minero (FONMIN) y en la consolidación de marcos regulatorios asociados a formalización y reconversión productiva.</w:t>
      </w:r>
    </w:p>
    <w:p w:rsidRPr="00C140A0" w:rsidR="00395236" w:rsidRDefault="00395236" w14:paraId="617FC1CA" w14:textId="77777777">
      <w:pPr>
        <w:pStyle w:val="Prrafodelista"/>
        <w:numPr>
          <w:ilvl w:val="0"/>
          <w:numId w:val="59"/>
        </w:numPr>
        <w:spacing w:after="0" w:line="360" w:lineRule="auto"/>
        <w:jc w:val="both"/>
        <w:rPr>
          <w:rFonts w:ascii="Verdana" w:hAnsi="Verdana" w:cs="Arial"/>
          <w:sz w:val="24"/>
          <w:szCs w:val="24"/>
        </w:rPr>
      </w:pPr>
      <w:r w:rsidRPr="00C140A0">
        <w:rPr>
          <w:rFonts w:ascii="Verdana" w:hAnsi="Verdana"/>
          <w:sz w:val="24"/>
          <w:szCs w:val="24"/>
        </w:rPr>
        <w:t xml:space="preserve">Se realizó la depuración y ajuste integral del decreto de reconversión de actividades mineras (artículo 20 de la Ley 2250 de 2022), con resolución de más de 180 comentarios y múltiples revisiones jurídicas. </w:t>
      </w:r>
    </w:p>
    <w:p w:rsidRPr="00C140A0" w:rsidR="00395236" w:rsidRDefault="00395236" w14:paraId="7D3A5552" w14:textId="77777777">
      <w:pPr>
        <w:pStyle w:val="Prrafodelista"/>
        <w:numPr>
          <w:ilvl w:val="0"/>
          <w:numId w:val="59"/>
        </w:numPr>
        <w:spacing w:after="0" w:line="360" w:lineRule="auto"/>
        <w:jc w:val="both"/>
        <w:rPr>
          <w:rFonts w:ascii="Verdana" w:hAnsi="Verdana" w:cs="Arial"/>
          <w:sz w:val="24"/>
          <w:szCs w:val="24"/>
        </w:rPr>
      </w:pPr>
      <w:r w:rsidRPr="00C140A0">
        <w:rPr>
          <w:rFonts w:ascii="Verdana" w:hAnsi="Verdana"/>
          <w:sz w:val="24"/>
          <w:szCs w:val="24"/>
        </w:rPr>
        <w:t xml:space="preserve">Se realizó la modificación del Decreto 1949 de 2017 para la creación del Banco de Áreas y Títulos Mineros, incluyendo la revisión, ajuste y respuesta a comentarios derivados del proceso de participación. </w:t>
      </w:r>
    </w:p>
    <w:p w:rsidRPr="00C140A0" w:rsidR="00395236" w:rsidP="00D94015" w:rsidRDefault="00395236" w14:paraId="41E81D0E" w14:textId="77777777">
      <w:pPr>
        <w:spacing w:after="0" w:line="360" w:lineRule="auto"/>
        <w:ind w:left="360"/>
        <w:rPr>
          <w:rFonts w:ascii="Verdana" w:hAnsi="Verdana" w:cs="Arial"/>
          <w:b/>
          <w:bCs/>
          <w:sz w:val="24"/>
          <w:szCs w:val="24"/>
        </w:rPr>
      </w:pPr>
    </w:p>
    <w:p w:rsidRPr="00C140A0" w:rsidR="00395236" w:rsidP="00D94015" w:rsidRDefault="00395236" w14:paraId="00AF7C14" w14:textId="77777777">
      <w:pPr>
        <w:spacing w:after="0" w:line="360" w:lineRule="auto"/>
        <w:rPr>
          <w:rFonts w:ascii="Verdana" w:hAnsi="Verdana" w:cs="Arial"/>
          <w:b/>
          <w:bCs/>
          <w:sz w:val="24"/>
          <w:szCs w:val="24"/>
        </w:rPr>
      </w:pPr>
      <w:r w:rsidRPr="00C140A0">
        <w:rPr>
          <w:rFonts w:ascii="Verdana" w:hAnsi="Verdana" w:cs="Arial"/>
          <w:b/>
          <w:bCs/>
          <w:sz w:val="24"/>
          <w:szCs w:val="24"/>
        </w:rPr>
        <w:t>Empresa pública para el sector minero</w:t>
      </w:r>
    </w:p>
    <w:p w:rsidRPr="00C10197" w:rsidR="00395236" w:rsidP="00D94015" w:rsidRDefault="00395236" w14:paraId="6737C482" w14:textId="77777777">
      <w:pPr>
        <w:spacing w:after="0" w:line="360" w:lineRule="auto"/>
        <w:rPr>
          <w:rFonts w:ascii="Verdana" w:hAnsi="Verdana" w:cs="Arial"/>
          <w:b/>
          <w:bCs/>
          <w:sz w:val="18"/>
          <w:szCs w:val="18"/>
        </w:rPr>
      </w:pPr>
    </w:p>
    <w:p w:rsidR="00395236" w:rsidP="004C1932" w:rsidRDefault="00395236" w14:paraId="617AA6BD" w14:textId="77777777">
      <w:pPr>
        <w:pStyle w:val="Descripcin"/>
        <w:spacing w:after="0"/>
        <w:jc w:val="center"/>
        <w:rPr>
          <w:rFonts w:ascii="Verdana" w:hAnsi="Verdana"/>
          <w:i w:val="0"/>
          <w:iCs w:val="0"/>
          <w:color w:val="auto"/>
        </w:rPr>
      </w:pPr>
      <w:r w:rsidRPr="00C10197">
        <w:rPr>
          <w:rFonts w:ascii="Verdana" w:hAnsi="Verdana"/>
          <w:i w:val="0"/>
          <w:iCs w:val="0"/>
          <w:color w:val="auto"/>
        </w:rPr>
        <w:t xml:space="preserve">Tabla </w:t>
      </w:r>
      <w:r w:rsidR="00280F0A">
        <w:rPr>
          <w:rFonts w:ascii="Verdana" w:hAnsi="Verdana"/>
          <w:i w:val="0"/>
          <w:iCs w:val="0"/>
          <w:color w:val="auto"/>
        </w:rPr>
        <w:t>No. 7</w:t>
      </w:r>
      <w:r w:rsidRPr="00C10197">
        <w:rPr>
          <w:rFonts w:ascii="Verdana" w:hAnsi="Verdana"/>
          <w:i w:val="0"/>
          <w:iCs w:val="0"/>
          <w:color w:val="auto"/>
        </w:rPr>
        <w:t>. Empresa pública sector minero – PES 2024-2026</w:t>
      </w:r>
    </w:p>
    <w:tbl>
      <w:tblPr>
        <w:tblStyle w:val="Tablaconcuadrcula"/>
        <w:tblW w:w="0" w:type="auto"/>
        <w:tblLook w:val="04A0" w:firstRow="1" w:lastRow="0" w:firstColumn="1" w:lastColumn="0" w:noHBand="0" w:noVBand="1"/>
      </w:tblPr>
      <w:tblGrid>
        <w:gridCol w:w="2405"/>
        <w:gridCol w:w="1985"/>
        <w:gridCol w:w="1417"/>
        <w:gridCol w:w="851"/>
        <w:gridCol w:w="830"/>
        <w:gridCol w:w="1340"/>
      </w:tblGrid>
      <w:tr w:rsidRPr="00C10197" w:rsidR="00EF7B57" w:rsidTr="30CF4445" w14:paraId="50028B2E" w14:textId="77777777">
        <w:tc>
          <w:tcPr>
            <w:tcW w:w="2405" w:type="dxa"/>
            <w:shd w:val="clear" w:color="auto" w:fill="A6A6A6" w:themeFill="background1" w:themeFillShade="A6"/>
            <w:tcMar/>
            <w:vAlign w:val="center"/>
          </w:tcPr>
          <w:p w:rsidRPr="00C10197" w:rsidR="00EF7B57" w:rsidP="004C1932" w:rsidRDefault="00EF7B57" w14:paraId="395B7B19" w14:textId="77777777">
            <w:pPr>
              <w:jc w:val="center"/>
              <w:rPr>
                <w:rFonts w:ascii="Verdana" w:hAnsi="Verdana" w:cs="Arial"/>
                <w:b/>
                <w:bCs/>
                <w:sz w:val="18"/>
                <w:szCs w:val="18"/>
              </w:rPr>
            </w:pPr>
            <w:r w:rsidRPr="00C10197">
              <w:rPr>
                <w:rFonts w:ascii="Verdana" w:hAnsi="Verdana" w:cs="Arial"/>
                <w:b/>
                <w:bCs/>
                <w:sz w:val="18"/>
                <w:szCs w:val="18"/>
              </w:rPr>
              <w:t>Indicador</w:t>
            </w:r>
          </w:p>
        </w:tc>
        <w:tc>
          <w:tcPr>
            <w:tcW w:w="1985" w:type="dxa"/>
            <w:shd w:val="clear" w:color="auto" w:fill="A6A6A6" w:themeFill="background1" w:themeFillShade="A6"/>
            <w:tcMar/>
            <w:vAlign w:val="center"/>
          </w:tcPr>
          <w:p w:rsidRPr="00C10197" w:rsidR="00EF7B57" w:rsidP="004C1932" w:rsidRDefault="00EF7B57" w14:paraId="058E5124" w14:textId="0F5F8FD1">
            <w:pPr>
              <w:jc w:val="center"/>
              <w:rPr>
                <w:rFonts w:ascii="Verdana" w:hAnsi="Verdana" w:cs="Arial"/>
                <w:b w:val="1"/>
                <w:bCs w:val="1"/>
                <w:sz w:val="18"/>
                <w:szCs w:val="18"/>
              </w:rPr>
            </w:pPr>
            <w:r w:rsidRPr="30CF4445" w:rsidR="16306576">
              <w:rPr>
                <w:rFonts w:ascii="Verdana" w:hAnsi="Verdana" w:cs="Arial"/>
                <w:b w:val="1"/>
                <w:bCs w:val="1"/>
                <w:sz w:val="18"/>
                <w:szCs w:val="18"/>
              </w:rPr>
              <w:t>F</w:t>
            </w:r>
            <w:r w:rsidRPr="30CF4445" w:rsidR="3B089D16">
              <w:rPr>
                <w:rFonts w:ascii="Verdana" w:hAnsi="Verdana" w:cs="Arial"/>
                <w:b w:val="1"/>
                <w:bCs w:val="1"/>
                <w:sz w:val="18"/>
                <w:szCs w:val="18"/>
              </w:rPr>
              <w:t>ó</w:t>
            </w:r>
            <w:r w:rsidRPr="30CF4445" w:rsidR="16306576">
              <w:rPr>
                <w:rFonts w:ascii="Verdana" w:hAnsi="Verdana" w:cs="Arial"/>
                <w:b w:val="1"/>
                <w:bCs w:val="1"/>
                <w:sz w:val="18"/>
                <w:szCs w:val="18"/>
              </w:rPr>
              <w:t>rmula</w:t>
            </w:r>
          </w:p>
        </w:tc>
        <w:tc>
          <w:tcPr>
            <w:tcW w:w="1417" w:type="dxa"/>
            <w:shd w:val="clear" w:color="auto" w:fill="A6A6A6" w:themeFill="background1" w:themeFillShade="A6"/>
            <w:tcMar/>
            <w:vAlign w:val="center"/>
          </w:tcPr>
          <w:p w:rsidRPr="00C10197" w:rsidR="00EF7B57" w:rsidP="004C1932" w:rsidRDefault="00EF7B57" w14:paraId="3FCB8A80" w14:textId="77777777">
            <w:pPr>
              <w:jc w:val="center"/>
              <w:rPr>
                <w:rFonts w:ascii="Verdana" w:hAnsi="Verdana" w:cs="Arial"/>
                <w:b/>
                <w:bCs/>
                <w:sz w:val="18"/>
                <w:szCs w:val="18"/>
              </w:rPr>
            </w:pPr>
            <w:r w:rsidRPr="00C10197">
              <w:rPr>
                <w:rFonts w:ascii="Verdana" w:hAnsi="Verdana" w:cs="Arial"/>
                <w:b/>
                <w:bCs/>
                <w:sz w:val="18"/>
                <w:szCs w:val="18"/>
              </w:rPr>
              <w:t>Meta Cuatrienio</w:t>
            </w:r>
          </w:p>
        </w:tc>
        <w:tc>
          <w:tcPr>
            <w:tcW w:w="851" w:type="dxa"/>
            <w:shd w:val="clear" w:color="auto" w:fill="A6A6A6" w:themeFill="background1" w:themeFillShade="A6"/>
            <w:tcMar/>
            <w:vAlign w:val="center"/>
          </w:tcPr>
          <w:p w:rsidRPr="00C10197" w:rsidR="00EF7B57" w:rsidP="004C1932" w:rsidRDefault="00EF7B57" w14:paraId="7E8D21B8" w14:textId="77777777">
            <w:pPr>
              <w:jc w:val="center"/>
              <w:rPr>
                <w:rFonts w:ascii="Verdana" w:hAnsi="Verdana" w:cs="Arial"/>
                <w:b/>
                <w:bCs/>
                <w:sz w:val="18"/>
                <w:szCs w:val="18"/>
              </w:rPr>
            </w:pPr>
            <w:r w:rsidRPr="00C10197">
              <w:rPr>
                <w:rFonts w:ascii="Verdana" w:hAnsi="Verdana" w:cs="Arial"/>
                <w:b/>
                <w:bCs/>
                <w:sz w:val="18"/>
                <w:szCs w:val="18"/>
              </w:rPr>
              <w:t>Meta 2024</w:t>
            </w:r>
          </w:p>
        </w:tc>
        <w:tc>
          <w:tcPr>
            <w:tcW w:w="830" w:type="dxa"/>
            <w:shd w:val="clear" w:color="auto" w:fill="A6A6A6" w:themeFill="background1" w:themeFillShade="A6"/>
            <w:tcMar/>
            <w:vAlign w:val="center"/>
          </w:tcPr>
          <w:p w:rsidRPr="00C10197" w:rsidR="00EF7B57" w:rsidP="004C1932" w:rsidRDefault="00EF7B57" w14:paraId="07538C27" w14:textId="77777777">
            <w:pPr>
              <w:jc w:val="center"/>
              <w:rPr>
                <w:rFonts w:ascii="Verdana" w:hAnsi="Verdana" w:cs="Arial"/>
                <w:b/>
                <w:bCs/>
                <w:sz w:val="18"/>
                <w:szCs w:val="18"/>
              </w:rPr>
            </w:pPr>
            <w:r w:rsidRPr="00C10197">
              <w:rPr>
                <w:rFonts w:ascii="Verdana" w:hAnsi="Verdana" w:cs="Arial"/>
                <w:b/>
                <w:bCs/>
                <w:sz w:val="18"/>
                <w:szCs w:val="18"/>
              </w:rPr>
              <w:t>Meta 2025</w:t>
            </w:r>
          </w:p>
        </w:tc>
        <w:tc>
          <w:tcPr>
            <w:tcW w:w="1340" w:type="dxa"/>
            <w:shd w:val="clear" w:color="auto" w:fill="A6A6A6" w:themeFill="background1" w:themeFillShade="A6"/>
            <w:tcMar/>
            <w:vAlign w:val="center"/>
          </w:tcPr>
          <w:p w:rsidRPr="00C10197" w:rsidR="00EF7B57" w:rsidP="004C1932" w:rsidRDefault="00EF7B57" w14:paraId="2B3474D5" w14:textId="77777777">
            <w:pPr>
              <w:jc w:val="center"/>
              <w:rPr>
                <w:rFonts w:ascii="Verdana" w:hAnsi="Verdana" w:cs="Arial"/>
                <w:b/>
                <w:bCs/>
                <w:sz w:val="18"/>
                <w:szCs w:val="18"/>
              </w:rPr>
            </w:pPr>
            <w:r w:rsidRPr="00C10197">
              <w:rPr>
                <w:rFonts w:ascii="Verdana" w:hAnsi="Verdana" w:cs="Arial"/>
                <w:b/>
                <w:bCs/>
                <w:sz w:val="18"/>
                <w:szCs w:val="18"/>
              </w:rPr>
              <w:t>Avance Acumulado</w:t>
            </w:r>
          </w:p>
          <w:p w:rsidRPr="00C10197" w:rsidR="00EF7B57" w:rsidP="004C1932" w:rsidRDefault="00EF7B57" w14:paraId="1672DFDB" w14:textId="77777777">
            <w:pPr>
              <w:jc w:val="center"/>
              <w:rPr>
                <w:rFonts w:ascii="Verdana" w:hAnsi="Verdana" w:cs="Arial"/>
                <w:b/>
                <w:bCs/>
                <w:sz w:val="18"/>
                <w:szCs w:val="18"/>
              </w:rPr>
            </w:pPr>
            <w:r w:rsidRPr="00C10197">
              <w:rPr>
                <w:rFonts w:ascii="Verdana" w:hAnsi="Verdana" w:cs="Arial"/>
                <w:b/>
                <w:bCs/>
                <w:sz w:val="18"/>
                <w:szCs w:val="18"/>
              </w:rPr>
              <w:t>1° TRIM 2026</w:t>
            </w:r>
          </w:p>
        </w:tc>
      </w:tr>
      <w:tr w:rsidRPr="00C10197" w:rsidR="00EF7B57" w:rsidTr="30CF4445" w14:paraId="667BC5C0" w14:textId="77777777">
        <w:tc>
          <w:tcPr>
            <w:tcW w:w="2405" w:type="dxa"/>
            <w:tcMar/>
            <w:vAlign w:val="center"/>
          </w:tcPr>
          <w:p w:rsidRPr="00C10197" w:rsidR="00EF7B57" w:rsidP="0081023B" w:rsidRDefault="00EF7B57" w14:paraId="0CA24D83" w14:textId="77777777">
            <w:pPr>
              <w:jc w:val="both"/>
              <w:rPr>
                <w:rFonts w:ascii="Verdana" w:hAnsi="Verdana" w:cs="Arial"/>
                <w:sz w:val="18"/>
                <w:szCs w:val="18"/>
              </w:rPr>
            </w:pPr>
            <w:r w:rsidRPr="00C10197">
              <w:rPr>
                <w:rFonts w:ascii="Verdana" w:hAnsi="Verdana" w:cs="Arial"/>
                <w:sz w:val="18"/>
                <w:szCs w:val="18"/>
              </w:rPr>
              <w:t>Consolidación de empresa pública del sector minero con estructura orgánica y presupuesto / solución comercialización minerales</w:t>
            </w:r>
          </w:p>
        </w:tc>
        <w:tc>
          <w:tcPr>
            <w:tcW w:w="1985" w:type="dxa"/>
            <w:tcMar/>
            <w:vAlign w:val="center"/>
          </w:tcPr>
          <w:p w:rsidRPr="00C10197" w:rsidR="00EF7B57" w:rsidP="0081023B" w:rsidRDefault="00EF7B57" w14:paraId="49846059" w14:textId="77777777">
            <w:pPr>
              <w:jc w:val="both"/>
              <w:rPr>
                <w:rFonts w:ascii="Verdana" w:hAnsi="Verdana" w:cs="Arial"/>
                <w:sz w:val="18"/>
                <w:szCs w:val="18"/>
              </w:rPr>
            </w:pPr>
            <w:r w:rsidRPr="00C10197">
              <w:rPr>
                <w:rFonts w:ascii="Verdana" w:hAnsi="Verdana" w:cs="Arial"/>
                <w:sz w:val="18"/>
                <w:szCs w:val="18"/>
              </w:rPr>
              <w:t>Porcentaje de avance en la discusión y viabilidad del proyecto de Ley Ecominerales en el Congreso</w:t>
            </w:r>
          </w:p>
        </w:tc>
        <w:tc>
          <w:tcPr>
            <w:tcW w:w="1417" w:type="dxa"/>
            <w:tcMar/>
            <w:vAlign w:val="center"/>
          </w:tcPr>
          <w:p w:rsidRPr="00C10197" w:rsidR="00EF7B57" w:rsidP="004C1932" w:rsidRDefault="00EF7B57" w14:paraId="7671144A" w14:textId="77777777">
            <w:pPr>
              <w:jc w:val="center"/>
              <w:rPr>
                <w:rFonts w:ascii="Verdana" w:hAnsi="Verdana" w:cs="Arial"/>
                <w:sz w:val="18"/>
                <w:szCs w:val="18"/>
              </w:rPr>
            </w:pPr>
            <w:r w:rsidRPr="00C10197">
              <w:rPr>
                <w:rFonts w:ascii="Verdana" w:hAnsi="Verdana" w:cs="Arial"/>
                <w:sz w:val="18"/>
                <w:szCs w:val="18"/>
              </w:rPr>
              <w:t>1</w:t>
            </w:r>
          </w:p>
        </w:tc>
        <w:tc>
          <w:tcPr>
            <w:tcW w:w="851" w:type="dxa"/>
            <w:tcMar/>
            <w:vAlign w:val="center"/>
          </w:tcPr>
          <w:p w:rsidRPr="00C10197" w:rsidR="00EF7B57" w:rsidP="004C1932" w:rsidRDefault="00EF7B57" w14:paraId="6B24528A" w14:textId="77777777">
            <w:pPr>
              <w:jc w:val="center"/>
              <w:rPr>
                <w:rFonts w:ascii="Verdana" w:hAnsi="Verdana" w:cs="Arial"/>
                <w:sz w:val="18"/>
                <w:szCs w:val="18"/>
              </w:rPr>
            </w:pPr>
            <w:r w:rsidRPr="00C10197">
              <w:rPr>
                <w:rFonts w:ascii="Verdana" w:hAnsi="Verdana" w:cs="Arial"/>
                <w:sz w:val="18"/>
                <w:szCs w:val="18"/>
              </w:rPr>
              <w:t>0,5</w:t>
            </w:r>
          </w:p>
        </w:tc>
        <w:tc>
          <w:tcPr>
            <w:tcW w:w="830" w:type="dxa"/>
            <w:tcMar/>
            <w:vAlign w:val="center"/>
          </w:tcPr>
          <w:p w:rsidRPr="00C10197" w:rsidR="00EF7B57" w:rsidP="004C1932" w:rsidRDefault="00EF7B57" w14:paraId="6B7F7B7B" w14:textId="77777777">
            <w:pPr>
              <w:jc w:val="center"/>
              <w:rPr>
                <w:rFonts w:ascii="Verdana" w:hAnsi="Verdana" w:cs="Arial"/>
                <w:sz w:val="18"/>
                <w:szCs w:val="18"/>
              </w:rPr>
            </w:pPr>
            <w:r w:rsidRPr="00C10197">
              <w:rPr>
                <w:rFonts w:ascii="Verdana" w:hAnsi="Verdana" w:cs="Arial"/>
                <w:sz w:val="18"/>
                <w:szCs w:val="18"/>
              </w:rPr>
              <w:t>1</w:t>
            </w:r>
          </w:p>
        </w:tc>
        <w:tc>
          <w:tcPr>
            <w:tcW w:w="1340" w:type="dxa"/>
            <w:tcMar/>
            <w:vAlign w:val="center"/>
          </w:tcPr>
          <w:p w:rsidRPr="00C10197" w:rsidR="00EF7B57" w:rsidP="004C1932" w:rsidRDefault="00EF7B57" w14:paraId="14B1078F" w14:textId="77777777">
            <w:pPr>
              <w:jc w:val="center"/>
              <w:rPr>
                <w:rFonts w:ascii="Verdana" w:hAnsi="Verdana" w:cs="Arial"/>
                <w:sz w:val="18"/>
                <w:szCs w:val="18"/>
              </w:rPr>
            </w:pPr>
            <w:r w:rsidRPr="00C10197">
              <w:rPr>
                <w:rFonts w:ascii="Verdana" w:hAnsi="Verdana" w:cs="Arial"/>
                <w:sz w:val="18"/>
                <w:szCs w:val="18"/>
              </w:rPr>
              <w:t>0,6</w:t>
            </w:r>
          </w:p>
        </w:tc>
      </w:tr>
      <w:tr w:rsidRPr="00C10197" w:rsidR="00EF7B57" w:rsidTr="30CF4445" w14:paraId="3915E5C3" w14:textId="77777777">
        <w:tc>
          <w:tcPr>
            <w:tcW w:w="2405" w:type="dxa"/>
            <w:tcMar/>
            <w:vAlign w:val="center"/>
          </w:tcPr>
          <w:p w:rsidRPr="00C10197" w:rsidR="00EF7B57" w:rsidP="0081023B" w:rsidRDefault="00EF7B57" w14:paraId="355E378F" w14:textId="77777777">
            <w:pPr>
              <w:jc w:val="both"/>
              <w:rPr>
                <w:rFonts w:ascii="Verdana" w:hAnsi="Verdana" w:cs="Arial"/>
                <w:sz w:val="18"/>
                <w:szCs w:val="18"/>
              </w:rPr>
            </w:pPr>
            <w:r w:rsidRPr="00C10197">
              <w:rPr>
                <w:rFonts w:ascii="Verdana" w:hAnsi="Verdana" w:cs="Arial"/>
                <w:sz w:val="18"/>
                <w:szCs w:val="18"/>
              </w:rPr>
              <w:t>Consolidación de empresa pública del sector minero con estructura orgánica y presupuesto / solución comercialización minerales</w:t>
            </w:r>
          </w:p>
        </w:tc>
        <w:tc>
          <w:tcPr>
            <w:tcW w:w="1985" w:type="dxa"/>
            <w:tcMar/>
            <w:vAlign w:val="center"/>
          </w:tcPr>
          <w:p w:rsidRPr="00C10197" w:rsidR="00EF7B57" w:rsidP="0081023B" w:rsidRDefault="00EF7B57" w14:paraId="7A86367F" w14:textId="77777777">
            <w:pPr>
              <w:jc w:val="both"/>
              <w:rPr>
                <w:rFonts w:ascii="Verdana" w:hAnsi="Verdana" w:cs="Arial"/>
                <w:sz w:val="18"/>
                <w:szCs w:val="18"/>
              </w:rPr>
            </w:pPr>
            <w:r w:rsidRPr="00C10197">
              <w:rPr>
                <w:rFonts w:ascii="Verdana" w:hAnsi="Verdana" w:cs="Arial"/>
                <w:sz w:val="18"/>
                <w:szCs w:val="18"/>
              </w:rPr>
              <w:t xml:space="preserve">Porcentaje de avance en el análisis de la adquisición a través del mecanismo de enajenación </w:t>
            </w:r>
            <w:r w:rsidRPr="00C10197" w:rsidR="00C10197">
              <w:rPr>
                <w:rFonts w:ascii="Verdana" w:hAnsi="Verdana" w:cs="Arial"/>
                <w:sz w:val="18"/>
                <w:szCs w:val="18"/>
              </w:rPr>
              <w:t>temprana de</w:t>
            </w:r>
            <w:r w:rsidRPr="00C10197">
              <w:rPr>
                <w:rFonts w:ascii="Verdana" w:hAnsi="Verdana" w:cs="Arial"/>
                <w:sz w:val="18"/>
                <w:szCs w:val="18"/>
              </w:rPr>
              <w:t xml:space="preserve"> empresas mineras bajo la administración de la SAE</w:t>
            </w:r>
          </w:p>
        </w:tc>
        <w:tc>
          <w:tcPr>
            <w:tcW w:w="1417" w:type="dxa"/>
            <w:tcMar/>
            <w:vAlign w:val="center"/>
          </w:tcPr>
          <w:p w:rsidRPr="00C10197" w:rsidR="00EF7B57" w:rsidP="004C1932" w:rsidRDefault="00EF7B57" w14:paraId="09E5A645" w14:textId="77777777">
            <w:pPr>
              <w:jc w:val="center"/>
              <w:rPr>
                <w:rFonts w:ascii="Verdana" w:hAnsi="Verdana" w:cs="Arial"/>
                <w:sz w:val="18"/>
                <w:szCs w:val="18"/>
              </w:rPr>
            </w:pPr>
            <w:r w:rsidRPr="00C10197">
              <w:rPr>
                <w:rFonts w:ascii="Verdana" w:hAnsi="Verdana" w:cs="Arial"/>
                <w:sz w:val="18"/>
                <w:szCs w:val="18"/>
              </w:rPr>
              <w:t>1</w:t>
            </w:r>
          </w:p>
        </w:tc>
        <w:tc>
          <w:tcPr>
            <w:tcW w:w="851" w:type="dxa"/>
            <w:tcMar/>
            <w:vAlign w:val="center"/>
          </w:tcPr>
          <w:p w:rsidRPr="00C10197" w:rsidR="00EF7B57" w:rsidP="004C1932" w:rsidRDefault="00EF7B57" w14:paraId="4A28498E" w14:textId="77777777">
            <w:pPr>
              <w:jc w:val="center"/>
              <w:rPr>
                <w:rFonts w:ascii="Verdana" w:hAnsi="Verdana" w:cs="Arial"/>
                <w:sz w:val="18"/>
                <w:szCs w:val="18"/>
              </w:rPr>
            </w:pPr>
            <w:r w:rsidRPr="00C10197">
              <w:rPr>
                <w:rFonts w:ascii="Verdana" w:hAnsi="Verdana" w:cs="Arial"/>
                <w:sz w:val="18"/>
                <w:szCs w:val="18"/>
              </w:rPr>
              <w:t>1</w:t>
            </w:r>
          </w:p>
        </w:tc>
        <w:tc>
          <w:tcPr>
            <w:tcW w:w="830" w:type="dxa"/>
            <w:tcMar/>
            <w:vAlign w:val="center"/>
          </w:tcPr>
          <w:p w:rsidRPr="00C10197" w:rsidR="00EF7B57" w:rsidP="004C1932" w:rsidRDefault="00EF7B57" w14:paraId="069AB809" w14:textId="77777777">
            <w:pPr>
              <w:jc w:val="center"/>
              <w:rPr>
                <w:rFonts w:ascii="Verdana" w:hAnsi="Verdana" w:cs="Arial"/>
                <w:sz w:val="18"/>
                <w:szCs w:val="18"/>
              </w:rPr>
            </w:pPr>
            <w:r w:rsidRPr="00C10197">
              <w:rPr>
                <w:rFonts w:ascii="Verdana" w:hAnsi="Verdana" w:cs="Arial"/>
                <w:sz w:val="18"/>
                <w:szCs w:val="18"/>
              </w:rPr>
              <w:t>1</w:t>
            </w:r>
          </w:p>
        </w:tc>
        <w:tc>
          <w:tcPr>
            <w:tcW w:w="1340" w:type="dxa"/>
            <w:tcMar/>
            <w:vAlign w:val="center"/>
          </w:tcPr>
          <w:p w:rsidRPr="00C10197" w:rsidR="00EF7B57" w:rsidP="004C1932" w:rsidRDefault="00EF7B57" w14:paraId="7892F6E0" w14:textId="77777777">
            <w:pPr>
              <w:jc w:val="center"/>
              <w:rPr>
                <w:rFonts w:ascii="Verdana" w:hAnsi="Verdana" w:cs="Arial"/>
                <w:sz w:val="18"/>
                <w:szCs w:val="18"/>
              </w:rPr>
            </w:pPr>
            <w:r w:rsidRPr="00C10197">
              <w:rPr>
                <w:rFonts w:ascii="Verdana" w:hAnsi="Verdana" w:cs="Arial"/>
                <w:sz w:val="18"/>
                <w:szCs w:val="18"/>
              </w:rPr>
              <w:t>1</w:t>
            </w:r>
          </w:p>
        </w:tc>
      </w:tr>
    </w:tbl>
    <w:p w:rsidRPr="00C10197" w:rsidR="00040C79" w:rsidP="004C1932" w:rsidRDefault="490496A5" w14:paraId="181C4362" w14:textId="77777777">
      <w:pPr>
        <w:spacing w:after="0" w:line="240" w:lineRule="auto"/>
        <w:jc w:val="center"/>
        <w:rPr>
          <w:rFonts w:ascii="Verdana" w:hAnsi="Verdana" w:cs="Arial"/>
          <w:sz w:val="18"/>
          <w:szCs w:val="18"/>
        </w:rPr>
      </w:pPr>
      <w:r w:rsidRPr="180099B3">
        <w:rPr>
          <w:rFonts w:ascii="Verdana" w:hAnsi="Verdana" w:cs="Arial"/>
          <w:sz w:val="18"/>
          <w:szCs w:val="18"/>
        </w:rPr>
        <w:t xml:space="preserve">Fuente: Elaboración propia </w:t>
      </w:r>
      <w:r w:rsidRPr="180099B3" w:rsidR="177F42AE">
        <w:rPr>
          <w:rFonts w:ascii="Verdana" w:hAnsi="Verdana" w:cs="Arial"/>
          <w:sz w:val="18"/>
          <w:szCs w:val="18"/>
        </w:rPr>
        <w:t xml:space="preserve">OPGI - </w:t>
      </w:r>
      <w:r w:rsidRPr="180099B3">
        <w:rPr>
          <w:rFonts w:ascii="Verdana" w:hAnsi="Verdana" w:cs="Arial"/>
          <w:sz w:val="18"/>
          <w:szCs w:val="18"/>
        </w:rPr>
        <w:t>MME, 31 de marzo 2026.</w:t>
      </w:r>
    </w:p>
    <w:p w:rsidR="00C10197" w:rsidP="00D94015" w:rsidRDefault="00C10197" w14:paraId="0F51BC67" w14:textId="77777777">
      <w:pPr>
        <w:spacing w:after="0" w:line="360" w:lineRule="auto"/>
        <w:rPr>
          <w:rFonts w:ascii="Verdana" w:hAnsi="Verdana" w:cs="Arial"/>
          <w:sz w:val="24"/>
          <w:szCs w:val="24"/>
        </w:rPr>
      </w:pPr>
    </w:p>
    <w:p w:rsidRPr="00C140A0" w:rsidR="009A5279" w:rsidP="00D94015" w:rsidRDefault="009A5279" w14:paraId="4DB57EEE" w14:textId="77777777">
      <w:pPr>
        <w:spacing w:after="0" w:line="360" w:lineRule="auto"/>
        <w:jc w:val="both"/>
        <w:rPr>
          <w:rFonts w:ascii="Verdana" w:hAnsi="Verdana" w:cs="Arial"/>
          <w:sz w:val="24"/>
          <w:szCs w:val="24"/>
        </w:rPr>
      </w:pPr>
      <w:r w:rsidRPr="00C140A0">
        <w:rPr>
          <w:rFonts w:ascii="Verdana" w:hAnsi="Verdana" w:cs="Arial"/>
          <w:sz w:val="24"/>
          <w:szCs w:val="24"/>
        </w:rPr>
        <w:t xml:space="preserve">Frente a los principales logros realizados durante este periodo de tiempo, se contemplan los siguientes: </w:t>
      </w:r>
    </w:p>
    <w:p w:rsidRPr="00C140A0" w:rsidR="009A5279" w:rsidRDefault="186D659D" w14:paraId="46D33D30" w14:textId="77777777">
      <w:pPr>
        <w:pStyle w:val="Prrafodelista"/>
        <w:numPr>
          <w:ilvl w:val="0"/>
          <w:numId w:val="60"/>
        </w:numPr>
        <w:suppressAutoHyphens/>
        <w:spacing w:after="0" w:line="360" w:lineRule="auto"/>
        <w:jc w:val="both"/>
        <w:rPr>
          <w:rFonts w:ascii="Verdana" w:hAnsi="Verdana" w:cs="Arial"/>
          <w:sz w:val="24"/>
          <w:szCs w:val="24"/>
        </w:rPr>
      </w:pPr>
      <w:r w:rsidRPr="11835F2D">
        <w:rPr>
          <w:rFonts w:ascii="Verdana" w:hAnsi="Verdana" w:cs="Arial"/>
          <w:sz w:val="24"/>
          <w:szCs w:val="24"/>
        </w:rPr>
        <w:t xml:space="preserve">El Gobierno Nacional realizó </w:t>
      </w:r>
      <w:r w:rsidRPr="11835F2D" w:rsidR="79592D97">
        <w:rPr>
          <w:rFonts w:ascii="Verdana" w:hAnsi="Verdana" w:cs="Arial"/>
          <w:sz w:val="24"/>
          <w:szCs w:val="24"/>
        </w:rPr>
        <w:t>el lanzamiento</w:t>
      </w:r>
      <w:r w:rsidRPr="11835F2D">
        <w:rPr>
          <w:rFonts w:ascii="Verdana" w:hAnsi="Verdana" w:cs="Arial"/>
          <w:sz w:val="24"/>
          <w:szCs w:val="24"/>
        </w:rPr>
        <w:t xml:space="preserve"> de la estrategia denominada "Ecodorado</w:t>
      </w:r>
      <w:r w:rsidRPr="11835F2D" w:rsidR="5A62BA24">
        <w:rPr>
          <w:rFonts w:ascii="Verdana" w:hAnsi="Verdana" w:cs="Arial"/>
          <w:sz w:val="24"/>
          <w:szCs w:val="24"/>
        </w:rPr>
        <w:t>", estrategia</w:t>
      </w:r>
      <w:r w:rsidRPr="11835F2D">
        <w:rPr>
          <w:rFonts w:ascii="Verdana" w:hAnsi="Verdana" w:cs="Arial"/>
          <w:sz w:val="24"/>
          <w:szCs w:val="24"/>
        </w:rPr>
        <w:t xml:space="preserve"> para transformar el oro en motor de desarrollo, legalidad y seguridad territorial.</w:t>
      </w:r>
    </w:p>
    <w:p w:rsidRPr="00C140A0" w:rsidR="009A5279" w:rsidRDefault="009A5279" w14:paraId="30DF3447" w14:textId="77777777">
      <w:pPr>
        <w:pStyle w:val="Prrafodelista"/>
        <w:numPr>
          <w:ilvl w:val="0"/>
          <w:numId w:val="60"/>
        </w:numPr>
        <w:suppressAutoHyphens/>
        <w:spacing w:after="0" w:line="360" w:lineRule="auto"/>
        <w:jc w:val="both"/>
        <w:rPr>
          <w:rFonts w:ascii="Verdana" w:hAnsi="Verdana" w:cs="Arial"/>
          <w:sz w:val="24"/>
          <w:szCs w:val="24"/>
        </w:rPr>
      </w:pPr>
      <w:r w:rsidRPr="00C140A0">
        <w:rPr>
          <w:rFonts w:ascii="Verdana" w:hAnsi="Verdana" w:cs="Arial"/>
          <w:sz w:val="24"/>
          <w:szCs w:val="24"/>
        </w:rPr>
        <w:t>Puesta en marcha de comercializadoras de oro: mediante la entrega por parte de la SAE y la operación de dos comercializadoras que fortalecen los territorios a través de la compra directa de oro a precios justos.</w:t>
      </w:r>
    </w:p>
    <w:p w:rsidRPr="00C140A0" w:rsidR="009A5279" w:rsidRDefault="009A5279" w14:paraId="7DE55976" w14:textId="77777777">
      <w:pPr>
        <w:pStyle w:val="Prrafodelista"/>
        <w:numPr>
          <w:ilvl w:val="0"/>
          <w:numId w:val="60"/>
        </w:numPr>
        <w:suppressAutoHyphens/>
        <w:spacing w:after="0" w:line="360" w:lineRule="auto"/>
        <w:jc w:val="both"/>
        <w:rPr>
          <w:rFonts w:ascii="Verdana" w:hAnsi="Verdana" w:cs="Arial"/>
          <w:sz w:val="24"/>
          <w:szCs w:val="24"/>
        </w:rPr>
      </w:pPr>
      <w:r w:rsidRPr="00C140A0">
        <w:rPr>
          <w:rFonts w:ascii="Verdana" w:hAnsi="Verdana" w:cs="Arial"/>
          <w:sz w:val="24"/>
          <w:szCs w:val="24"/>
        </w:rPr>
        <w:t>Formalización minera y asociatividad: orientada a fortalecer los procesos organizativos y promover la creación de cooperativas de mineros de subsistencia que impulsen el desarrollo territorial.</w:t>
      </w:r>
    </w:p>
    <w:p w:rsidRPr="00C140A0" w:rsidR="009A5279" w:rsidRDefault="009A5279" w14:paraId="62A6039E" w14:textId="77777777">
      <w:pPr>
        <w:pStyle w:val="Prrafodelista"/>
        <w:numPr>
          <w:ilvl w:val="0"/>
          <w:numId w:val="60"/>
        </w:numPr>
        <w:suppressAutoHyphens/>
        <w:spacing w:after="0" w:line="360" w:lineRule="auto"/>
        <w:jc w:val="both"/>
        <w:rPr>
          <w:rFonts w:ascii="Verdana" w:hAnsi="Verdana" w:cs="Arial"/>
          <w:sz w:val="24"/>
          <w:szCs w:val="24"/>
        </w:rPr>
      </w:pPr>
      <w:r w:rsidRPr="00C140A0">
        <w:rPr>
          <w:rFonts w:ascii="Verdana" w:hAnsi="Verdana" w:cs="Arial"/>
          <w:sz w:val="24"/>
          <w:szCs w:val="24"/>
        </w:rPr>
        <w:t>Inclusión financiera y acceso a crédito: articulando la oferta institucional para facilitar el financiamiento de una minería responsable.</w:t>
      </w:r>
    </w:p>
    <w:p w:rsidRPr="00C140A0" w:rsidR="009A5279" w:rsidRDefault="009A5279" w14:paraId="15E5B911" w14:textId="77777777">
      <w:pPr>
        <w:pStyle w:val="Prrafodelista"/>
        <w:numPr>
          <w:ilvl w:val="0"/>
          <w:numId w:val="60"/>
        </w:numPr>
        <w:suppressAutoHyphens/>
        <w:spacing w:after="0" w:line="360" w:lineRule="auto"/>
        <w:jc w:val="both"/>
        <w:rPr>
          <w:rFonts w:ascii="Verdana" w:hAnsi="Verdana" w:cs="Arial"/>
          <w:sz w:val="24"/>
          <w:szCs w:val="24"/>
        </w:rPr>
      </w:pPr>
      <w:r w:rsidRPr="00C140A0">
        <w:rPr>
          <w:rFonts w:ascii="Verdana" w:hAnsi="Verdana" w:cs="Arial"/>
          <w:sz w:val="24"/>
          <w:szCs w:val="24"/>
        </w:rPr>
        <w:t>Minería responsable y cuidado de la naturaleza: promoviendo prácticas que protejan el agua, eliminen el uso de mercurio y pongan en el centro a las comunidades y la biodiversidad.</w:t>
      </w:r>
    </w:p>
    <w:p w:rsidRPr="00C140A0" w:rsidR="009A5279" w:rsidRDefault="009A5279" w14:paraId="28F96D89" w14:textId="77777777">
      <w:pPr>
        <w:pStyle w:val="Prrafodelista"/>
        <w:numPr>
          <w:ilvl w:val="0"/>
          <w:numId w:val="60"/>
        </w:numPr>
        <w:suppressAutoHyphens/>
        <w:spacing w:after="0" w:line="360" w:lineRule="auto"/>
        <w:jc w:val="both"/>
        <w:rPr>
          <w:rFonts w:ascii="Verdana" w:hAnsi="Verdana" w:cs="Arial"/>
          <w:sz w:val="24"/>
          <w:szCs w:val="24"/>
        </w:rPr>
      </w:pPr>
      <w:r w:rsidRPr="00C140A0">
        <w:rPr>
          <w:rFonts w:ascii="Verdana" w:hAnsi="Verdana" w:cs="Arial"/>
          <w:sz w:val="24"/>
          <w:szCs w:val="24"/>
        </w:rPr>
        <w:t>Legalidad, transparencia y fortalecimiento de la cadena productiva: mediante la agregación de valor, el impulso a la reindustrialización, la formación y el acompañamiento a la comercialización.</w:t>
      </w:r>
    </w:p>
    <w:p w:rsidRPr="00C140A0" w:rsidR="009A5279" w:rsidRDefault="009A5279" w14:paraId="03EBE8A1" w14:textId="7D0482BD">
      <w:pPr>
        <w:pStyle w:val="Prrafodelista"/>
        <w:numPr>
          <w:ilvl w:val="0"/>
          <w:numId w:val="60"/>
        </w:numPr>
        <w:suppressAutoHyphens/>
        <w:spacing w:after="0" w:line="360" w:lineRule="auto"/>
        <w:jc w:val="both"/>
        <w:rPr>
          <w:rFonts w:ascii="Verdana" w:hAnsi="Verdana" w:cs="Arial"/>
          <w:sz w:val="24"/>
          <w:szCs w:val="24"/>
        </w:rPr>
      </w:pPr>
      <w:r w:rsidRPr="30CF4445" w:rsidR="7352F675">
        <w:rPr>
          <w:rFonts w:ascii="Verdana" w:hAnsi="Verdana" w:cs="Arial"/>
          <w:sz w:val="24"/>
          <w:szCs w:val="24"/>
        </w:rPr>
        <w:t xml:space="preserve">A través de este pacto se articulan diferentes entidades del Estado, como el Banco Agrario, Artesanías de Colombia, </w:t>
      </w:r>
      <w:r w:rsidRPr="30CF4445" w:rsidR="7352F675">
        <w:rPr>
          <w:rFonts w:ascii="Verdana" w:hAnsi="Verdana" w:cs="Arial"/>
          <w:sz w:val="24"/>
          <w:szCs w:val="24"/>
        </w:rPr>
        <w:t>iNNpulsa</w:t>
      </w:r>
      <w:r w:rsidRPr="30CF4445" w:rsidR="7352F675">
        <w:rPr>
          <w:rFonts w:ascii="Verdana" w:hAnsi="Verdana" w:cs="Arial"/>
          <w:sz w:val="24"/>
          <w:szCs w:val="24"/>
        </w:rPr>
        <w:t xml:space="preserve"> y Bancóldex, con el acompañamiento de la Superintendencia de la Economía Solidaria, para brindar un apoyo integral al </w:t>
      </w:r>
      <w:r w:rsidRPr="30CF4445" w:rsidR="595F7FB3">
        <w:rPr>
          <w:rFonts w:ascii="Verdana" w:hAnsi="Verdana" w:cs="Arial"/>
          <w:sz w:val="24"/>
          <w:szCs w:val="24"/>
        </w:rPr>
        <w:t>sector</w:t>
      </w:r>
      <w:r w:rsidRPr="30CF4445" w:rsidR="595F7FB3">
        <w:rPr>
          <w:rFonts w:ascii="Verdana" w:hAnsi="Verdana" w:cs="Arial"/>
          <w:sz w:val="24"/>
          <w:szCs w:val="24"/>
        </w:rPr>
        <w:t>.</w:t>
      </w:r>
    </w:p>
    <w:p w:rsidRPr="00C140A0" w:rsidR="009A5279" w:rsidRDefault="009A5279" w14:paraId="0C482363" w14:textId="77777777">
      <w:pPr>
        <w:pStyle w:val="Prrafodelista"/>
        <w:numPr>
          <w:ilvl w:val="0"/>
          <w:numId w:val="60"/>
        </w:numPr>
        <w:suppressAutoHyphens/>
        <w:spacing w:after="0" w:line="360" w:lineRule="auto"/>
        <w:jc w:val="both"/>
        <w:rPr>
          <w:rFonts w:ascii="Verdana" w:hAnsi="Verdana" w:cs="Arial"/>
          <w:sz w:val="24"/>
          <w:szCs w:val="24"/>
        </w:rPr>
      </w:pPr>
      <w:r w:rsidRPr="00C140A0">
        <w:rPr>
          <w:rFonts w:ascii="Verdana" w:hAnsi="Verdana" w:cs="Arial"/>
          <w:sz w:val="24"/>
          <w:szCs w:val="24"/>
        </w:rPr>
        <w:t xml:space="preserve">La transferencia de dominio de las acciones de CIJ GUTIÉRREZ Y CIA S.A. y MEPRECOL S.A. al Ministerio de Minas y Energía, en cumplimiento de la Resolución 601 de 2025 y el Decreto 888 de 2025, marca un hito significativo en la política de formalización minera en Colombia. Esta acción, que pone bajo la titularidad estatal activos previamente administrados por la Sociedad de Activos Especiales (SAE) y afectados por medidas cautelares, busca fortalecer la institucionalidad y la gobernanza en el sector minero. La creación de mesas de trabajo interinstitucionales permanentes entre entidades clave como el Ministerio de Minas y Energía, la SAE, la DIAN, el Ministerio de Hacienda y Crédito Público, y el Departamento Administrativo de la Función Pública, refleja un enfoque colaborativo para asegurar la seguridad jurídica y la sostenibilidad operativa de estas comercializadoras ahora bajo régimen público. Este proceso no solo garantiza la continuidad de las operaciones, sino que también sienta un precedente para futuras acciones de formalización y transparencia en la gestión de recursos </w:t>
      </w:r>
      <w:r w:rsidRPr="00C140A0">
        <w:rPr>
          <w:rFonts w:ascii="Verdana" w:hAnsi="Verdana" w:cs="Arial"/>
          <w:sz w:val="24"/>
          <w:szCs w:val="24"/>
        </w:rPr>
        <w:t>naturales. La articulación entre estas entidades será fundamental para superar desafíos operativos y legales, asegurando que la transferencia contribuya efectivamente al desarrollo sostenible del sector minero colombiano.</w:t>
      </w:r>
    </w:p>
    <w:p w:rsidRPr="00C140A0" w:rsidR="009A5279" w:rsidP="00D94015" w:rsidRDefault="009A5279" w14:paraId="46823799" w14:textId="77777777">
      <w:pPr>
        <w:spacing w:after="0" w:line="360" w:lineRule="auto"/>
        <w:jc w:val="both"/>
        <w:rPr>
          <w:rFonts w:ascii="Verdana" w:hAnsi="Verdana" w:cs="Arial"/>
          <w:b/>
          <w:bCs/>
        </w:rPr>
      </w:pPr>
    </w:p>
    <w:p w:rsidRPr="00C140A0" w:rsidR="009A5279" w:rsidP="00D94015" w:rsidRDefault="009A5279" w14:paraId="0C9BCFFD" w14:textId="77777777">
      <w:pPr>
        <w:spacing w:after="0" w:line="360" w:lineRule="auto"/>
        <w:jc w:val="both"/>
        <w:rPr>
          <w:rFonts w:ascii="Verdana" w:hAnsi="Verdana" w:cs="Arial"/>
          <w:b/>
          <w:bCs/>
          <w:sz w:val="24"/>
          <w:szCs w:val="24"/>
        </w:rPr>
      </w:pPr>
      <w:r w:rsidRPr="00C140A0">
        <w:rPr>
          <w:rFonts w:ascii="Verdana" w:hAnsi="Verdana" w:cs="Arial"/>
          <w:b/>
          <w:bCs/>
          <w:sz w:val="24"/>
          <w:szCs w:val="24"/>
        </w:rPr>
        <w:t>Plan Nacional de Conocimiento Geocientífico</w:t>
      </w:r>
    </w:p>
    <w:p w:rsidRPr="00C10D53" w:rsidR="00C10D53" w:rsidP="00D94015" w:rsidRDefault="00C10D53" w14:paraId="5086C37F" w14:textId="77777777">
      <w:pPr>
        <w:pStyle w:val="Descripcin"/>
        <w:spacing w:after="0" w:line="360" w:lineRule="auto"/>
        <w:jc w:val="center"/>
        <w:rPr>
          <w:rFonts w:ascii="Verdana" w:hAnsi="Verdana"/>
          <w:i w:val="0"/>
          <w:iCs w:val="0"/>
          <w:color w:val="auto"/>
        </w:rPr>
      </w:pPr>
    </w:p>
    <w:p w:rsidRPr="00C10D53" w:rsidR="00C10D53" w:rsidP="00280F0A" w:rsidRDefault="009A5279" w14:paraId="5D06CDE1" w14:textId="77777777">
      <w:pPr>
        <w:pStyle w:val="Descripcin"/>
        <w:spacing w:after="0"/>
        <w:jc w:val="center"/>
        <w:rPr>
          <w:sz w:val="10"/>
          <w:szCs w:val="10"/>
        </w:rPr>
      </w:pPr>
      <w:r w:rsidRPr="00C10D53">
        <w:rPr>
          <w:rFonts w:ascii="Verdana" w:hAnsi="Verdana"/>
          <w:i w:val="0"/>
          <w:iCs w:val="0"/>
          <w:color w:val="auto"/>
        </w:rPr>
        <w:t>Tabla</w:t>
      </w:r>
      <w:r w:rsidR="00280F0A">
        <w:rPr>
          <w:rFonts w:ascii="Verdana" w:hAnsi="Verdana"/>
          <w:i w:val="0"/>
          <w:iCs w:val="0"/>
          <w:color w:val="auto"/>
        </w:rPr>
        <w:t xml:space="preserve"> No. 8</w:t>
      </w:r>
      <w:r w:rsidRPr="00C10D53">
        <w:rPr>
          <w:rFonts w:ascii="Verdana" w:hAnsi="Verdana"/>
          <w:i w:val="0"/>
          <w:iCs w:val="0"/>
          <w:color w:val="auto"/>
        </w:rPr>
        <w:t>. PNGC PES 2024-2026</w:t>
      </w:r>
    </w:p>
    <w:tbl>
      <w:tblPr>
        <w:tblStyle w:val="Tablaconcuadrcula"/>
        <w:tblW w:w="0" w:type="auto"/>
        <w:tblLook w:val="04A0" w:firstRow="1" w:lastRow="0" w:firstColumn="1" w:lastColumn="0" w:noHBand="0" w:noVBand="1"/>
      </w:tblPr>
      <w:tblGrid>
        <w:gridCol w:w="1965"/>
        <w:gridCol w:w="1759"/>
        <w:gridCol w:w="1530"/>
        <w:gridCol w:w="1074"/>
        <w:gridCol w:w="910"/>
        <w:gridCol w:w="1590"/>
      </w:tblGrid>
      <w:tr w:rsidRPr="00C10D53" w:rsidR="00D76E5A" w:rsidTr="30CF4445" w14:paraId="3D807B3F" w14:textId="77777777">
        <w:tc>
          <w:tcPr>
            <w:tcW w:w="1965" w:type="dxa"/>
            <w:shd w:val="clear" w:color="auto" w:fill="A6A6A6" w:themeFill="background1" w:themeFillShade="A6"/>
            <w:tcMar/>
            <w:vAlign w:val="center"/>
          </w:tcPr>
          <w:p w:rsidRPr="00C10D53" w:rsidR="00D76E5A" w:rsidP="00FD68F1" w:rsidRDefault="00D76E5A" w14:paraId="69151C68" w14:textId="77777777">
            <w:pPr>
              <w:jc w:val="center"/>
              <w:rPr>
                <w:rFonts w:ascii="Verdana" w:hAnsi="Verdana" w:cs="Arial"/>
                <w:b/>
                <w:bCs/>
                <w:sz w:val="18"/>
                <w:szCs w:val="18"/>
              </w:rPr>
            </w:pPr>
            <w:r w:rsidRPr="00C10D53">
              <w:rPr>
                <w:rFonts w:ascii="Verdana" w:hAnsi="Verdana" w:cs="Arial"/>
                <w:b/>
                <w:bCs/>
                <w:sz w:val="18"/>
                <w:szCs w:val="18"/>
              </w:rPr>
              <w:t>Indicador</w:t>
            </w:r>
          </w:p>
        </w:tc>
        <w:tc>
          <w:tcPr>
            <w:tcW w:w="1759" w:type="dxa"/>
            <w:shd w:val="clear" w:color="auto" w:fill="A6A6A6" w:themeFill="background1" w:themeFillShade="A6"/>
            <w:tcMar/>
            <w:vAlign w:val="center"/>
          </w:tcPr>
          <w:p w:rsidRPr="00C10D53" w:rsidR="00D76E5A" w:rsidP="00FD68F1" w:rsidRDefault="00D76E5A" w14:paraId="69EFC2A8" w14:textId="4AA781D7">
            <w:pPr>
              <w:jc w:val="center"/>
              <w:rPr>
                <w:rFonts w:ascii="Verdana" w:hAnsi="Verdana" w:cs="Arial"/>
                <w:b w:val="1"/>
                <w:bCs w:val="1"/>
                <w:sz w:val="18"/>
                <w:szCs w:val="18"/>
              </w:rPr>
            </w:pPr>
            <w:r w:rsidRPr="30CF4445" w:rsidR="46E04D1F">
              <w:rPr>
                <w:rFonts w:ascii="Verdana" w:hAnsi="Verdana" w:cs="Arial"/>
                <w:b w:val="1"/>
                <w:bCs w:val="1"/>
                <w:sz w:val="18"/>
                <w:szCs w:val="18"/>
              </w:rPr>
              <w:t>F</w:t>
            </w:r>
            <w:r w:rsidRPr="30CF4445" w:rsidR="28124CD3">
              <w:rPr>
                <w:rFonts w:ascii="Verdana" w:hAnsi="Verdana" w:cs="Arial"/>
                <w:b w:val="1"/>
                <w:bCs w:val="1"/>
                <w:sz w:val="18"/>
                <w:szCs w:val="18"/>
              </w:rPr>
              <w:t>ó</w:t>
            </w:r>
            <w:r w:rsidRPr="30CF4445" w:rsidR="46E04D1F">
              <w:rPr>
                <w:rFonts w:ascii="Verdana" w:hAnsi="Verdana" w:cs="Arial"/>
                <w:b w:val="1"/>
                <w:bCs w:val="1"/>
                <w:sz w:val="18"/>
                <w:szCs w:val="18"/>
              </w:rPr>
              <w:t>rmula</w:t>
            </w:r>
          </w:p>
        </w:tc>
        <w:tc>
          <w:tcPr>
            <w:tcW w:w="1530" w:type="dxa"/>
            <w:shd w:val="clear" w:color="auto" w:fill="A6A6A6" w:themeFill="background1" w:themeFillShade="A6"/>
            <w:tcMar/>
            <w:vAlign w:val="center"/>
          </w:tcPr>
          <w:p w:rsidRPr="00C10D53" w:rsidR="00D76E5A" w:rsidP="00FD68F1" w:rsidRDefault="00D76E5A" w14:paraId="2E0B910E" w14:textId="77777777">
            <w:pPr>
              <w:jc w:val="center"/>
              <w:rPr>
                <w:rFonts w:ascii="Verdana" w:hAnsi="Verdana" w:cs="Arial"/>
                <w:b/>
                <w:bCs/>
                <w:sz w:val="18"/>
                <w:szCs w:val="18"/>
              </w:rPr>
            </w:pPr>
            <w:r w:rsidRPr="00C10D53">
              <w:rPr>
                <w:rFonts w:ascii="Verdana" w:hAnsi="Verdana" w:cs="Arial"/>
                <w:b/>
                <w:bCs/>
                <w:sz w:val="18"/>
                <w:szCs w:val="18"/>
              </w:rPr>
              <w:t>Meta Cuatrienio</w:t>
            </w:r>
          </w:p>
        </w:tc>
        <w:tc>
          <w:tcPr>
            <w:tcW w:w="1074" w:type="dxa"/>
            <w:shd w:val="clear" w:color="auto" w:fill="A6A6A6" w:themeFill="background1" w:themeFillShade="A6"/>
            <w:tcMar/>
            <w:vAlign w:val="center"/>
          </w:tcPr>
          <w:p w:rsidRPr="00C10D53" w:rsidR="00D76E5A" w:rsidP="00FD68F1" w:rsidRDefault="00D76E5A" w14:paraId="0CC8A0C1" w14:textId="77777777">
            <w:pPr>
              <w:jc w:val="center"/>
              <w:rPr>
                <w:rFonts w:ascii="Verdana" w:hAnsi="Verdana" w:cs="Arial"/>
                <w:b/>
                <w:bCs/>
                <w:sz w:val="18"/>
                <w:szCs w:val="18"/>
              </w:rPr>
            </w:pPr>
            <w:r w:rsidRPr="00C10D53">
              <w:rPr>
                <w:rFonts w:ascii="Verdana" w:hAnsi="Verdana" w:cs="Arial"/>
                <w:b/>
                <w:bCs/>
                <w:sz w:val="18"/>
                <w:szCs w:val="18"/>
              </w:rPr>
              <w:t>Meta 2024</w:t>
            </w:r>
          </w:p>
        </w:tc>
        <w:tc>
          <w:tcPr>
            <w:tcW w:w="910" w:type="dxa"/>
            <w:shd w:val="clear" w:color="auto" w:fill="A6A6A6" w:themeFill="background1" w:themeFillShade="A6"/>
            <w:tcMar/>
            <w:vAlign w:val="center"/>
          </w:tcPr>
          <w:p w:rsidRPr="00C10D53" w:rsidR="00D76E5A" w:rsidP="00FD68F1" w:rsidRDefault="00D76E5A" w14:paraId="07CBB75A" w14:textId="77777777">
            <w:pPr>
              <w:jc w:val="center"/>
              <w:rPr>
                <w:rFonts w:ascii="Verdana" w:hAnsi="Verdana" w:cs="Arial"/>
                <w:b/>
                <w:bCs/>
                <w:sz w:val="18"/>
                <w:szCs w:val="18"/>
              </w:rPr>
            </w:pPr>
            <w:r w:rsidRPr="00C10D53">
              <w:rPr>
                <w:rFonts w:ascii="Verdana" w:hAnsi="Verdana" w:cs="Arial"/>
                <w:b/>
                <w:bCs/>
                <w:sz w:val="18"/>
                <w:szCs w:val="18"/>
              </w:rPr>
              <w:t>Meta 2025</w:t>
            </w:r>
          </w:p>
        </w:tc>
        <w:tc>
          <w:tcPr>
            <w:tcW w:w="1590" w:type="dxa"/>
            <w:shd w:val="clear" w:color="auto" w:fill="A6A6A6" w:themeFill="background1" w:themeFillShade="A6"/>
            <w:tcMar/>
            <w:vAlign w:val="center"/>
          </w:tcPr>
          <w:p w:rsidRPr="00C10D53" w:rsidR="00D76E5A" w:rsidP="00FD68F1" w:rsidRDefault="00D76E5A" w14:paraId="2D45A3C1" w14:textId="77777777">
            <w:pPr>
              <w:jc w:val="center"/>
              <w:rPr>
                <w:rFonts w:ascii="Verdana" w:hAnsi="Verdana" w:cs="Arial"/>
                <w:b/>
                <w:bCs/>
                <w:sz w:val="18"/>
                <w:szCs w:val="18"/>
              </w:rPr>
            </w:pPr>
            <w:r w:rsidRPr="00C10D53">
              <w:rPr>
                <w:rFonts w:ascii="Verdana" w:hAnsi="Verdana" w:cs="Arial"/>
                <w:b/>
                <w:bCs/>
                <w:sz w:val="18"/>
                <w:szCs w:val="18"/>
              </w:rPr>
              <w:t>Avance Acumulado</w:t>
            </w:r>
          </w:p>
          <w:p w:rsidRPr="00C10D53" w:rsidR="00D76E5A" w:rsidP="00FD68F1" w:rsidRDefault="00D76E5A" w14:paraId="63A7F575" w14:textId="77777777">
            <w:pPr>
              <w:jc w:val="center"/>
              <w:rPr>
                <w:rFonts w:ascii="Verdana" w:hAnsi="Verdana" w:cs="Arial"/>
                <w:b/>
                <w:bCs/>
                <w:sz w:val="18"/>
                <w:szCs w:val="18"/>
              </w:rPr>
            </w:pPr>
            <w:r w:rsidRPr="00C10D53">
              <w:rPr>
                <w:rFonts w:ascii="Verdana" w:hAnsi="Verdana" w:cs="Arial"/>
                <w:b/>
                <w:bCs/>
                <w:sz w:val="18"/>
                <w:szCs w:val="18"/>
              </w:rPr>
              <w:t>1° TRIM 2026</w:t>
            </w:r>
          </w:p>
        </w:tc>
      </w:tr>
      <w:tr w:rsidRPr="00C10D53" w:rsidR="00D76E5A" w:rsidTr="30CF4445" w14:paraId="2D35C9E1" w14:textId="77777777">
        <w:tc>
          <w:tcPr>
            <w:tcW w:w="1965" w:type="dxa"/>
            <w:tcMar/>
            <w:vAlign w:val="center"/>
          </w:tcPr>
          <w:p w:rsidRPr="00C10D53" w:rsidR="00D76E5A" w:rsidP="00FD68F1" w:rsidRDefault="00D76E5A" w14:paraId="0504EF64" w14:textId="77777777">
            <w:pPr>
              <w:rPr>
                <w:rFonts w:ascii="Verdana" w:hAnsi="Verdana" w:cs="Arial"/>
                <w:sz w:val="18"/>
                <w:szCs w:val="18"/>
              </w:rPr>
            </w:pPr>
            <w:r w:rsidRPr="00C10D53">
              <w:rPr>
                <w:rFonts w:ascii="Verdana" w:hAnsi="Verdana" w:cs="Arial"/>
                <w:sz w:val="18"/>
                <w:szCs w:val="18"/>
              </w:rPr>
              <w:t>Formulación del Plan Nacional de Conocimiento Geocientífico</w:t>
            </w:r>
          </w:p>
        </w:tc>
        <w:tc>
          <w:tcPr>
            <w:tcW w:w="1759" w:type="dxa"/>
            <w:tcMar/>
            <w:vAlign w:val="center"/>
          </w:tcPr>
          <w:p w:rsidRPr="00C10D53" w:rsidR="00D76E5A" w:rsidP="00FD68F1" w:rsidRDefault="00D76E5A" w14:paraId="29607817" w14:textId="77777777">
            <w:pPr>
              <w:rPr>
                <w:rFonts w:ascii="Verdana" w:hAnsi="Verdana" w:cs="Arial"/>
                <w:sz w:val="18"/>
                <w:szCs w:val="18"/>
              </w:rPr>
            </w:pPr>
            <w:r w:rsidRPr="00C10D53">
              <w:rPr>
                <w:rFonts w:ascii="Verdana" w:hAnsi="Verdana" w:cs="Arial"/>
                <w:sz w:val="18"/>
                <w:szCs w:val="18"/>
              </w:rPr>
              <w:t>Porcentaje de avance en formulación del Plan Nacional de Conocimiento Geocientífico</w:t>
            </w:r>
          </w:p>
        </w:tc>
        <w:tc>
          <w:tcPr>
            <w:tcW w:w="1530" w:type="dxa"/>
            <w:tcMar/>
            <w:vAlign w:val="center"/>
          </w:tcPr>
          <w:p w:rsidRPr="00C10D53" w:rsidR="00D76E5A" w:rsidP="00FD68F1" w:rsidRDefault="00D76E5A" w14:paraId="74EBDD00" w14:textId="77777777">
            <w:pPr>
              <w:jc w:val="center"/>
              <w:rPr>
                <w:rFonts w:ascii="Verdana" w:hAnsi="Verdana" w:cs="Arial"/>
                <w:sz w:val="18"/>
                <w:szCs w:val="18"/>
              </w:rPr>
            </w:pPr>
            <w:r w:rsidRPr="00C10D53">
              <w:rPr>
                <w:rFonts w:ascii="Verdana" w:hAnsi="Verdana" w:cs="Arial"/>
                <w:sz w:val="18"/>
                <w:szCs w:val="18"/>
              </w:rPr>
              <w:t>1</w:t>
            </w:r>
          </w:p>
        </w:tc>
        <w:tc>
          <w:tcPr>
            <w:tcW w:w="1074" w:type="dxa"/>
            <w:tcMar/>
            <w:vAlign w:val="center"/>
          </w:tcPr>
          <w:p w:rsidRPr="00C10D53" w:rsidR="00D76E5A" w:rsidP="00FD68F1" w:rsidRDefault="00D76E5A" w14:paraId="178A3041" w14:textId="77777777">
            <w:pPr>
              <w:jc w:val="center"/>
              <w:rPr>
                <w:rFonts w:ascii="Verdana" w:hAnsi="Verdana" w:cs="Arial"/>
                <w:sz w:val="18"/>
                <w:szCs w:val="18"/>
              </w:rPr>
            </w:pPr>
            <w:r w:rsidRPr="00C10D53">
              <w:rPr>
                <w:rFonts w:ascii="Verdana" w:hAnsi="Verdana" w:cs="Arial"/>
                <w:sz w:val="18"/>
                <w:szCs w:val="18"/>
              </w:rPr>
              <w:t>1</w:t>
            </w:r>
          </w:p>
        </w:tc>
        <w:tc>
          <w:tcPr>
            <w:tcW w:w="910" w:type="dxa"/>
            <w:tcMar/>
            <w:vAlign w:val="center"/>
          </w:tcPr>
          <w:p w:rsidRPr="00C10D53" w:rsidR="00D76E5A" w:rsidP="00FD68F1" w:rsidRDefault="00D76E5A" w14:paraId="2B69ECC8" w14:textId="77777777">
            <w:pPr>
              <w:jc w:val="center"/>
              <w:rPr>
                <w:rFonts w:ascii="Verdana" w:hAnsi="Verdana" w:cs="Arial"/>
                <w:sz w:val="18"/>
                <w:szCs w:val="18"/>
              </w:rPr>
            </w:pPr>
            <w:r w:rsidRPr="00C10D53">
              <w:rPr>
                <w:rFonts w:ascii="Verdana" w:hAnsi="Verdana" w:cs="Arial"/>
                <w:sz w:val="18"/>
                <w:szCs w:val="18"/>
              </w:rPr>
              <w:t>1</w:t>
            </w:r>
          </w:p>
        </w:tc>
        <w:tc>
          <w:tcPr>
            <w:tcW w:w="1590" w:type="dxa"/>
            <w:tcMar/>
            <w:vAlign w:val="center"/>
          </w:tcPr>
          <w:p w:rsidRPr="00C10D53" w:rsidR="00D76E5A" w:rsidP="00FD68F1" w:rsidRDefault="00D76E5A" w14:paraId="19AD6CDB" w14:textId="77777777">
            <w:pPr>
              <w:jc w:val="center"/>
              <w:rPr>
                <w:rFonts w:ascii="Verdana" w:hAnsi="Verdana" w:cs="Arial"/>
                <w:sz w:val="18"/>
                <w:szCs w:val="18"/>
              </w:rPr>
            </w:pPr>
            <w:r w:rsidRPr="00C10D53">
              <w:rPr>
                <w:rFonts w:ascii="Verdana" w:hAnsi="Verdana" w:cs="Arial"/>
                <w:sz w:val="18"/>
                <w:szCs w:val="18"/>
              </w:rPr>
              <w:t>0,9</w:t>
            </w:r>
          </w:p>
        </w:tc>
      </w:tr>
      <w:tr w:rsidRPr="00C10D53" w:rsidR="00D76E5A" w:rsidTr="30CF4445" w14:paraId="34A47F12" w14:textId="77777777">
        <w:trPr>
          <w:trHeight w:val="1395"/>
        </w:trPr>
        <w:tc>
          <w:tcPr>
            <w:tcW w:w="1965" w:type="dxa"/>
            <w:tcMar/>
            <w:vAlign w:val="center"/>
          </w:tcPr>
          <w:p w:rsidRPr="00C10D53" w:rsidR="00D76E5A" w:rsidP="00FD68F1" w:rsidRDefault="00D76E5A" w14:paraId="038E78AF" w14:textId="77777777">
            <w:pPr>
              <w:rPr>
                <w:rFonts w:ascii="Verdana" w:hAnsi="Verdana" w:cs="Arial"/>
                <w:sz w:val="18"/>
                <w:szCs w:val="18"/>
              </w:rPr>
            </w:pPr>
            <w:r w:rsidRPr="00C10D53">
              <w:rPr>
                <w:rFonts w:ascii="Verdana" w:hAnsi="Verdana" w:cs="Arial"/>
                <w:sz w:val="18"/>
                <w:szCs w:val="18"/>
              </w:rPr>
              <w:t>Presentación de Informes de Conocimiento Geocientífico del País.</w:t>
            </w:r>
          </w:p>
        </w:tc>
        <w:tc>
          <w:tcPr>
            <w:tcW w:w="1759" w:type="dxa"/>
            <w:tcMar/>
            <w:vAlign w:val="center"/>
          </w:tcPr>
          <w:p w:rsidRPr="00C10D53" w:rsidR="00D76E5A" w:rsidP="00FD68F1" w:rsidRDefault="00D76E5A" w14:paraId="0BB8910B" w14:textId="77777777">
            <w:pPr>
              <w:rPr>
                <w:rFonts w:ascii="Verdana" w:hAnsi="Verdana" w:cs="Arial"/>
                <w:sz w:val="18"/>
                <w:szCs w:val="18"/>
              </w:rPr>
            </w:pPr>
            <w:r w:rsidRPr="00C10D53">
              <w:rPr>
                <w:rFonts w:ascii="Verdana" w:hAnsi="Verdana" w:cs="Arial"/>
                <w:sz w:val="18"/>
                <w:szCs w:val="18"/>
              </w:rPr>
              <w:t>Porcentaje de avance del Informe de Conocimiento Geocientífico del País.</w:t>
            </w:r>
          </w:p>
        </w:tc>
        <w:tc>
          <w:tcPr>
            <w:tcW w:w="1530" w:type="dxa"/>
            <w:tcMar/>
            <w:vAlign w:val="center"/>
          </w:tcPr>
          <w:p w:rsidRPr="00C10D53" w:rsidR="00D76E5A" w:rsidP="00FD68F1" w:rsidRDefault="00D76E5A" w14:paraId="42A100B4" w14:textId="77777777">
            <w:pPr>
              <w:jc w:val="center"/>
              <w:rPr>
                <w:rFonts w:ascii="Verdana" w:hAnsi="Verdana" w:cs="Arial"/>
                <w:sz w:val="18"/>
                <w:szCs w:val="18"/>
              </w:rPr>
            </w:pPr>
            <w:r w:rsidRPr="00C10D53">
              <w:rPr>
                <w:rFonts w:ascii="Verdana" w:hAnsi="Verdana" w:cs="Arial"/>
                <w:sz w:val="18"/>
                <w:szCs w:val="18"/>
              </w:rPr>
              <w:t>1</w:t>
            </w:r>
          </w:p>
        </w:tc>
        <w:tc>
          <w:tcPr>
            <w:tcW w:w="1074" w:type="dxa"/>
            <w:tcMar/>
            <w:vAlign w:val="center"/>
          </w:tcPr>
          <w:p w:rsidRPr="00C10D53" w:rsidR="00D76E5A" w:rsidP="00FD68F1" w:rsidRDefault="00D76E5A" w14:paraId="35A4CB97" w14:textId="77777777">
            <w:pPr>
              <w:jc w:val="center"/>
              <w:rPr>
                <w:rFonts w:ascii="Verdana" w:hAnsi="Verdana" w:cs="Arial"/>
                <w:sz w:val="18"/>
                <w:szCs w:val="18"/>
              </w:rPr>
            </w:pPr>
            <w:r w:rsidRPr="00C10D53">
              <w:rPr>
                <w:rFonts w:ascii="Verdana" w:hAnsi="Verdana" w:cs="Arial"/>
                <w:sz w:val="18"/>
                <w:szCs w:val="18"/>
              </w:rPr>
              <w:t>1</w:t>
            </w:r>
          </w:p>
        </w:tc>
        <w:tc>
          <w:tcPr>
            <w:tcW w:w="910" w:type="dxa"/>
            <w:tcMar/>
            <w:vAlign w:val="center"/>
          </w:tcPr>
          <w:p w:rsidRPr="00C10D53" w:rsidR="00D76E5A" w:rsidP="00FD68F1" w:rsidRDefault="00D76E5A" w14:paraId="0E231D4D" w14:textId="77777777">
            <w:pPr>
              <w:jc w:val="center"/>
              <w:rPr>
                <w:rFonts w:ascii="Verdana" w:hAnsi="Verdana" w:cs="Arial"/>
                <w:sz w:val="18"/>
                <w:szCs w:val="18"/>
              </w:rPr>
            </w:pPr>
            <w:r w:rsidRPr="00C10D53">
              <w:rPr>
                <w:rFonts w:ascii="Verdana" w:hAnsi="Verdana" w:cs="Arial"/>
                <w:sz w:val="18"/>
                <w:szCs w:val="18"/>
              </w:rPr>
              <w:t>1</w:t>
            </w:r>
          </w:p>
        </w:tc>
        <w:tc>
          <w:tcPr>
            <w:tcW w:w="1590" w:type="dxa"/>
            <w:tcMar/>
            <w:vAlign w:val="center"/>
          </w:tcPr>
          <w:p w:rsidRPr="00C10D53" w:rsidR="00D76E5A" w:rsidP="00FD68F1" w:rsidRDefault="00D76E5A" w14:paraId="7427C459" w14:textId="77777777">
            <w:pPr>
              <w:jc w:val="center"/>
              <w:rPr>
                <w:rFonts w:ascii="Verdana" w:hAnsi="Verdana" w:cs="Arial"/>
                <w:sz w:val="18"/>
                <w:szCs w:val="18"/>
              </w:rPr>
            </w:pPr>
            <w:r w:rsidRPr="00C10D53">
              <w:rPr>
                <w:rFonts w:ascii="Verdana" w:hAnsi="Verdana" w:cs="Arial"/>
                <w:sz w:val="18"/>
                <w:szCs w:val="18"/>
              </w:rPr>
              <w:t>0,9</w:t>
            </w:r>
          </w:p>
        </w:tc>
      </w:tr>
    </w:tbl>
    <w:p w:rsidRPr="00C10D53" w:rsidR="00DE6623" w:rsidP="00FD68F1" w:rsidRDefault="589C2C01" w14:paraId="25ABAF61" w14:textId="77777777">
      <w:pPr>
        <w:spacing w:after="0" w:line="240" w:lineRule="auto"/>
        <w:jc w:val="center"/>
        <w:rPr>
          <w:rFonts w:ascii="Verdana" w:hAnsi="Verdana" w:cs="Arial"/>
          <w:sz w:val="18"/>
          <w:szCs w:val="18"/>
        </w:rPr>
      </w:pPr>
      <w:r w:rsidRPr="180099B3">
        <w:rPr>
          <w:rFonts w:ascii="Verdana" w:hAnsi="Verdana" w:cs="Arial"/>
          <w:sz w:val="18"/>
          <w:szCs w:val="18"/>
        </w:rPr>
        <w:t xml:space="preserve">Fuente: Elaboración propia </w:t>
      </w:r>
      <w:r w:rsidRPr="180099B3" w:rsidR="4FED24EC">
        <w:rPr>
          <w:rFonts w:ascii="Verdana" w:hAnsi="Verdana" w:cs="Arial"/>
          <w:sz w:val="18"/>
          <w:szCs w:val="18"/>
        </w:rPr>
        <w:t xml:space="preserve">OPGI - </w:t>
      </w:r>
      <w:r w:rsidRPr="180099B3">
        <w:rPr>
          <w:rFonts w:ascii="Verdana" w:hAnsi="Verdana" w:cs="Arial"/>
          <w:sz w:val="18"/>
          <w:szCs w:val="18"/>
        </w:rPr>
        <w:t>MME, 31 de marzo 2026.</w:t>
      </w:r>
    </w:p>
    <w:p w:rsidRPr="00C140A0" w:rsidR="00916365" w:rsidP="00D94015" w:rsidRDefault="00916365" w14:paraId="4673EDE9" w14:textId="77777777">
      <w:pPr>
        <w:spacing w:after="0" w:line="360" w:lineRule="auto"/>
        <w:jc w:val="both"/>
        <w:rPr>
          <w:rFonts w:ascii="Verdana" w:hAnsi="Verdana" w:cs="Arial"/>
          <w:sz w:val="21"/>
          <w:szCs w:val="21"/>
        </w:rPr>
      </w:pPr>
    </w:p>
    <w:p w:rsidRPr="00C140A0" w:rsidR="001B336C" w:rsidP="00D94015" w:rsidRDefault="001B336C" w14:paraId="687ADD08" w14:textId="77777777">
      <w:pPr>
        <w:spacing w:after="0" w:line="360" w:lineRule="auto"/>
        <w:jc w:val="both"/>
        <w:rPr>
          <w:rFonts w:ascii="Verdana" w:hAnsi="Verdana" w:cs="Arial"/>
          <w:sz w:val="24"/>
          <w:szCs w:val="24"/>
        </w:rPr>
      </w:pPr>
      <w:r w:rsidRPr="00C140A0">
        <w:rPr>
          <w:rFonts w:ascii="Verdana" w:hAnsi="Verdana" w:cs="Arial"/>
          <w:sz w:val="24"/>
          <w:szCs w:val="24"/>
        </w:rPr>
        <w:t xml:space="preserve">Frente a los principales logros realizados durante este periodo de tiempo, se contemplan los siguientes: </w:t>
      </w:r>
    </w:p>
    <w:p w:rsidRPr="00C140A0" w:rsidR="001B336C" w:rsidRDefault="7B0E92CE" w14:paraId="4C7E707F" w14:textId="3720E414">
      <w:pPr>
        <w:pStyle w:val="Prrafodelista"/>
        <w:numPr>
          <w:ilvl w:val="0"/>
          <w:numId w:val="61"/>
        </w:numPr>
        <w:spacing w:after="0" w:line="360" w:lineRule="auto"/>
        <w:ind w:left="709" w:hanging="425"/>
        <w:jc w:val="both"/>
        <w:rPr>
          <w:rFonts w:ascii="Verdana" w:hAnsi="Verdana" w:cs="Arial"/>
          <w:sz w:val="24"/>
          <w:szCs w:val="24"/>
        </w:rPr>
      </w:pPr>
      <w:r w:rsidRPr="30CF4445" w:rsidR="3A50B809">
        <w:rPr>
          <w:rFonts w:ascii="Verdana" w:hAnsi="Verdana" w:cs="Arial"/>
          <w:sz w:val="24"/>
          <w:szCs w:val="24"/>
        </w:rPr>
        <w:t>Se avanzó con el SGC y el MME en la construcción de una primera versión del PNCG, a través del convenio GGC-2152-2025 con el Programa de Naciones Unidas para el Desarrollo</w:t>
      </w:r>
      <w:r w:rsidRPr="30CF4445" w:rsidR="3A50B809">
        <w:rPr>
          <w:rFonts w:ascii="Verdana" w:hAnsi="Verdana" w:cs="Arial"/>
          <w:sz w:val="24"/>
          <w:szCs w:val="24"/>
        </w:rPr>
        <w:t xml:space="preserve"> se obtendrá un plan de acción que permita concretar la versión final y adopción del documento. </w:t>
      </w:r>
    </w:p>
    <w:p w:rsidRPr="00C140A0" w:rsidR="001B336C" w:rsidP="00D94015" w:rsidRDefault="001B336C" w14:paraId="29AE83E4" w14:textId="77777777">
      <w:pPr>
        <w:spacing w:after="0" w:line="360" w:lineRule="auto"/>
        <w:jc w:val="both"/>
        <w:rPr>
          <w:rFonts w:ascii="Verdana" w:hAnsi="Verdana" w:cs="Arial"/>
          <w:b/>
          <w:bCs/>
          <w:sz w:val="24"/>
          <w:szCs w:val="24"/>
        </w:rPr>
      </w:pPr>
    </w:p>
    <w:p w:rsidRPr="00C140A0" w:rsidR="001B336C" w:rsidP="00D94015" w:rsidRDefault="7B0E92CE" w14:paraId="27068DCF" w14:textId="77777777">
      <w:pPr>
        <w:spacing w:after="0" w:line="360" w:lineRule="auto"/>
        <w:jc w:val="both"/>
        <w:rPr>
          <w:rFonts w:ascii="Verdana" w:hAnsi="Verdana" w:cs="Arial"/>
          <w:b/>
          <w:bCs/>
          <w:sz w:val="24"/>
          <w:szCs w:val="24"/>
        </w:rPr>
      </w:pPr>
      <w:r w:rsidRPr="0FF05B1B">
        <w:rPr>
          <w:rFonts w:ascii="Verdana" w:hAnsi="Verdana" w:cs="Arial"/>
          <w:b/>
          <w:bCs/>
          <w:sz w:val="24"/>
          <w:szCs w:val="24"/>
        </w:rPr>
        <w:t>Distritos Mineros</w:t>
      </w:r>
    </w:p>
    <w:p w:rsidRPr="00C10D53" w:rsidR="001B336C" w:rsidP="00FD68F1" w:rsidRDefault="001B336C" w14:paraId="417AF8B8" w14:textId="77777777">
      <w:pPr>
        <w:spacing w:after="0" w:line="240" w:lineRule="auto"/>
        <w:rPr>
          <w:rFonts w:ascii="Verdana" w:hAnsi="Verdana" w:cs="Arial"/>
          <w:b/>
          <w:bCs/>
          <w:sz w:val="18"/>
          <w:szCs w:val="18"/>
        </w:rPr>
      </w:pPr>
    </w:p>
    <w:p w:rsidRPr="00280F0A" w:rsidR="00C10D53" w:rsidP="00280F0A" w:rsidRDefault="001B336C" w14:paraId="25A47F5D" w14:textId="77777777">
      <w:pPr>
        <w:pStyle w:val="Descripcin"/>
        <w:spacing w:after="0"/>
        <w:jc w:val="center"/>
        <w:rPr>
          <w:rFonts w:ascii="Verdana" w:hAnsi="Verdana"/>
          <w:i w:val="0"/>
          <w:iCs w:val="0"/>
          <w:color w:val="auto"/>
        </w:rPr>
      </w:pPr>
      <w:r w:rsidRPr="00C10D53">
        <w:rPr>
          <w:rFonts w:ascii="Verdana" w:hAnsi="Verdana"/>
          <w:i w:val="0"/>
          <w:iCs w:val="0"/>
          <w:color w:val="auto"/>
        </w:rPr>
        <w:t>Tabla</w:t>
      </w:r>
      <w:r w:rsidR="00280F0A">
        <w:rPr>
          <w:rFonts w:ascii="Verdana" w:hAnsi="Verdana"/>
          <w:i w:val="0"/>
          <w:iCs w:val="0"/>
          <w:color w:val="auto"/>
        </w:rPr>
        <w:t xml:space="preserve"> No. 9</w:t>
      </w:r>
      <w:r w:rsidRPr="00C10D53">
        <w:rPr>
          <w:rFonts w:ascii="Verdana" w:hAnsi="Verdana"/>
          <w:i w:val="0"/>
          <w:iCs w:val="0"/>
          <w:color w:val="auto"/>
        </w:rPr>
        <w:t>. Distritos Mineros PES 2024-2026</w:t>
      </w:r>
    </w:p>
    <w:tbl>
      <w:tblPr>
        <w:tblStyle w:val="Tablaconcuadrcula"/>
        <w:tblW w:w="0" w:type="auto"/>
        <w:tblLook w:val="04A0" w:firstRow="1" w:lastRow="0" w:firstColumn="1" w:lastColumn="0" w:noHBand="0" w:noVBand="1"/>
      </w:tblPr>
      <w:tblGrid>
        <w:gridCol w:w="1991"/>
        <w:gridCol w:w="1764"/>
        <w:gridCol w:w="1534"/>
        <w:gridCol w:w="1099"/>
        <w:gridCol w:w="917"/>
        <w:gridCol w:w="1523"/>
      </w:tblGrid>
      <w:tr w:rsidRPr="00C10D53" w:rsidR="005A3227" w:rsidTr="30CF4445" w14:paraId="7A8922D5" w14:textId="77777777">
        <w:tc>
          <w:tcPr>
            <w:tcW w:w="1991" w:type="dxa"/>
            <w:shd w:val="clear" w:color="auto" w:fill="A6A6A6" w:themeFill="background1" w:themeFillShade="A6"/>
            <w:tcMar/>
            <w:vAlign w:val="center"/>
          </w:tcPr>
          <w:p w:rsidRPr="00C10D53" w:rsidR="005A3227" w:rsidP="00FD68F1" w:rsidRDefault="005A3227" w14:paraId="32B6E86E" w14:textId="77777777">
            <w:pPr>
              <w:jc w:val="center"/>
              <w:rPr>
                <w:rFonts w:ascii="Verdana" w:hAnsi="Verdana" w:cs="Arial"/>
                <w:b/>
                <w:bCs/>
                <w:sz w:val="18"/>
                <w:szCs w:val="18"/>
              </w:rPr>
            </w:pPr>
            <w:r w:rsidRPr="00C10D53">
              <w:rPr>
                <w:rFonts w:ascii="Verdana" w:hAnsi="Verdana" w:cs="Arial"/>
                <w:b/>
                <w:bCs/>
                <w:sz w:val="18"/>
                <w:szCs w:val="18"/>
              </w:rPr>
              <w:t>Indicador</w:t>
            </w:r>
          </w:p>
        </w:tc>
        <w:tc>
          <w:tcPr>
            <w:tcW w:w="1764" w:type="dxa"/>
            <w:shd w:val="clear" w:color="auto" w:fill="A6A6A6" w:themeFill="background1" w:themeFillShade="A6"/>
            <w:tcMar/>
            <w:vAlign w:val="center"/>
          </w:tcPr>
          <w:p w:rsidRPr="00C10D53" w:rsidR="005A3227" w:rsidP="00FD68F1" w:rsidRDefault="005A3227" w14:paraId="2DFF8F0A" w14:textId="1F59392B">
            <w:pPr>
              <w:jc w:val="center"/>
              <w:rPr>
                <w:rFonts w:ascii="Verdana" w:hAnsi="Verdana" w:cs="Arial"/>
                <w:b w:val="1"/>
                <w:bCs w:val="1"/>
                <w:sz w:val="18"/>
                <w:szCs w:val="18"/>
              </w:rPr>
            </w:pPr>
            <w:r w:rsidRPr="30CF4445" w:rsidR="4D9FA5F2">
              <w:rPr>
                <w:rFonts w:ascii="Verdana" w:hAnsi="Verdana" w:cs="Arial"/>
                <w:b w:val="1"/>
                <w:bCs w:val="1"/>
                <w:sz w:val="18"/>
                <w:szCs w:val="18"/>
              </w:rPr>
              <w:t>F</w:t>
            </w:r>
            <w:r w:rsidRPr="30CF4445" w:rsidR="7F641C46">
              <w:rPr>
                <w:rFonts w:ascii="Verdana" w:hAnsi="Verdana" w:cs="Arial"/>
                <w:b w:val="1"/>
                <w:bCs w:val="1"/>
                <w:sz w:val="18"/>
                <w:szCs w:val="18"/>
              </w:rPr>
              <w:t>ó</w:t>
            </w:r>
            <w:r w:rsidRPr="30CF4445" w:rsidR="4D9FA5F2">
              <w:rPr>
                <w:rFonts w:ascii="Verdana" w:hAnsi="Verdana" w:cs="Arial"/>
                <w:b w:val="1"/>
                <w:bCs w:val="1"/>
                <w:sz w:val="18"/>
                <w:szCs w:val="18"/>
              </w:rPr>
              <w:t>rmula</w:t>
            </w:r>
          </w:p>
        </w:tc>
        <w:tc>
          <w:tcPr>
            <w:tcW w:w="1534" w:type="dxa"/>
            <w:shd w:val="clear" w:color="auto" w:fill="A6A6A6" w:themeFill="background1" w:themeFillShade="A6"/>
            <w:tcMar/>
            <w:vAlign w:val="center"/>
          </w:tcPr>
          <w:p w:rsidRPr="00C10D53" w:rsidR="005A3227" w:rsidP="00FD68F1" w:rsidRDefault="005A3227" w14:paraId="401F4C9F" w14:textId="77777777">
            <w:pPr>
              <w:jc w:val="center"/>
              <w:rPr>
                <w:rFonts w:ascii="Verdana" w:hAnsi="Verdana" w:cs="Arial"/>
                <w:b/>
                <w:bCs/>
                <w:sz w:val="18"/>
                <w:szCs w:val="18"/>
              </w:rPr>
            </w:pPr>
            <w:r w:rsidRPr="00C10D53">
              <w:rPr>
                <w:rFonts w:ascii="Verdana" w:hAnsi="Verdana" w:cs="Arial"/>
                <w:b/>
                <w:bCs/>
                <w:sz w:val="18"/>
                <w:szCs w:val="18"/>
              </w:rPr>
              <w:t>Meta Cuatrienio</w:t>
            </w:r>
          </w:p>
        </w:tc>
        <w:tc>
          <w:tcPr>
            <w:tcW w:w="1099" w:type="dxa"/>
            <w:shd w:val="clear" w:color="auto" w:fill="A6A6A6" w:themeFill="background1" w:themeFillShade="A6"/>
            <w:tcMar/>
            <w:vAlign w:val="center"/>
          </w:tcPr>
          <w:p w:rsidRPr="00C10D53" w:rsidR="005A3227" w:rsidP="00FD68F1" w:rsidRDefault="005A3227" w14:paraId="0BCB4F60" w14:textId="77777777">
            <w:pPr>
              <w:jc w:val="center"/>
              <w:rPr>
                <w:rFonts w:ascii="Verdana" w:hAnsi="Verdana" w:cs="Arial"/>
                <w:b/>
                <w:bCs/>
                <w:sz w:val="18"/>
                <w:szCs w:val="18"/>
              </w:rPr>
            </w:pPr>
            <w:r w:rsidRPr="00C10D53">
              <w:rPr>
                <w:rFonts w:ascii="Verdana" w:hAnsi="Verdana" w:cs="Arial"/>
                <w:b/>
                <w:bCs/>
                <w:sz w:val="18"/>
                <w:szCs w:val="18"/>
              </w:rPr>
              <w:t>Meta 2024</w:t>
            </w:r>
          </w:p>
        </w:tc>
        <w:tc>
          <w:tcPr>
            <w:tcW w:w="917" w:type="dxa"/>
            <w:shd w:val="clear" w:color="auto" w:fill="A6A6A6" w:themeFill="background1" w:themeFillShade="A6"/>
            <w:tcMar/>
            <w:vAlign w:val="center"/>
          </w:tcPr>
          <w:p w:rsidRPr="00C10D53" w:rsidR="005A3227" w:rsidP="00FD68F1" w:rsidRDefault="005A3227" w14:paraId="11B0C0AA" w14:textId="77777777">
            <w:pPr>
              <w:jc w:val="center"/>
              <w:rPr>
                <w:rFonts w:ascii="Verdana" w:hAnsi="Verdana" w:cs="Arial"/>
                <w:b/>
                <w:bCs/>
                <w:sz w:val="18"/>
                <w:szCs w:val="18"/>
              </w:rPr>
            </w:pPr>
            <w:r w:rsidRPr="00C10D53">
              <w:rPr>
                <w:rFonts w:ascii="Verdana" w:hAnsi="Verdana" w:cs="Arial"/>
                <w:b/>
                <w:bCs/>
                <w:sz w:val="18"/>
                <w:szCs w:val="18"/>
              </w:rPr>
              <w:t>Meta 2025</w:t>
            </w:r>
          </w:p>
        </w:tc>
        <w:tc>
          <w:tcPr>
            <w:tcW w:w="1523" w:type="dxa"/>
            <w:shd w:val="clear" w:color="auto" w:fill="A6A6A6" w:themeFill="background1" w:themeFillShade="A6"/>
            <w:tcMar/>
            <w:vAlign w:val="center"/>
          </w:tcPr>
          <w:p w:rsidRPr="00C10D53" w:rsidR="005A3227" w:rsidP="00FD68F1" w:rsidRDefault="005A3227" w14:paraId="44DBE25E" w14:textId="77777777">
            <w:pPr>
              <w:jc w:val="center"/>
              <w:rPr>
                <w:rFonts w:ascii="Verdana" w:hAnsi="Verdana" w:cs="Arial"/>
                <w:b/>
                <w:bCs/>
                <w:sz w:val="18"/>
                <w:szCs w:val="18"/>
              </w:rPr>
            </w:pPr>
            <w:r w:rsidRPr="00C10D53">
              <w:rPr>
                <w:rFonts w:ascii="Verdana" w:hAnsi="Verdana" w:cs="Arial"/>
                <w:b/>
                <w:bCs/>
                <w:sz w:val="18"/>
                <w:szCs w:val="18"/>
              </w:rPr>
              <w:t>Avance Acumulado</w:t>
            </w:r>
          </w:p>
          <w:p w:rsidRPr="00C10D53" w:rsidR="005A3227" w:rsidP="00FD68F1" w:rsidRDefault="005A3227" w14:paraId="42881B39" w14:textId="77777777">
            <w:pPr>
              <w:jc w:val="center"/>
              <w:rPr>
                <w:rFonts w:ascii="Verdana" w:hAnsi="Verdana" w:cs="Arial"/>
                <w:b/>
                <w:bCs/>
                <w:sz w:val="18"/>
                <w:szCs w:val="18"/>
              </w:rPr>
            </w:pPr>
            <w:r w:rsidRPr="00C10D53">
              <w:rPr>
                <w:rFonts w:ascii="Verdana" w:hAnsi="Verdana" w:cs="Arial"/>
                <w:b/>
                <w:bCs/>
                <w:sz w:val="18"/>
                <w:szCs w:val="18"/>
              </w:rPr>
              <w:t>1° TRIM 2026</w:t>
            </w:r>
          </w:p>
        </w:tc>
      </w:tr>
      <w:tr w:rsidRPr="00C10D53" w:rsidR="005A3227" w:rsidTr="30CF4445" w14:paraId="1288B409" w14:textId="77777777">
        <w:trPr>
          <w:trHeight w:val="1575"/>
        </w:trPr>
        <w:tc>
          <w:tcPr>
            <w:tcW w:w="1991" w:type="dxa"/>
            <w:tcMar/>
            <w:vAlign w:val="center"/>
          </w:tcPr>
          <w:p w:rsidRPr="00C10D53" w:rsidR="005A3227" w:rsidP="00FD68F1" w:rsidRDefault="005A3227" w14:paraId="7A0A505E" w14:textId="77777777">
            <w:pPr>
              <w:rPr>
                <w:rFonts w:ascii="Verdana" w:hAnsi="Verdana" w:cs="Arial"/>
                <w:sz w:val="18"/>
                <w:szCs w:val="18"/>
              </w:rPr>
            </w:pPr>
            <w:r w:rsidRPr="00C10D53">
              <w:rPr>
                <w:rFonts w:ascii="Verdana" w:hAnsi="Verdana" w:cs="Arial"/>
                <w:sz w:val="18"/>
                <w:szCs w:val="18"/>
              </w:rPr>
              <w:t>Delimitación de Distritos para la Paz en zonas de alta presencia de la minería informal</w:t>
            </w:r>
          </w:p>
        </w:tc>
        <w:tc>
          <w:tcPr>
            <w:tcW w:w="1764" w:type="dxa"/>
            <w:tcMar/>
            <w:vAlign w:val="center"/>
          </w:tcPr>
          <w:p w:rsidRPr="00C10D53" w:rsidR="005A3227" w:rsidP="00FD68F1" w:rsidRDefault="005A3227" w14:paraId="78BA2440" w14:textId="77777777">
            <w:pPr>
              <w:rPr>
                <w:rFonts w:ascii="Verdana" w:hAnsi="Verdana" w:cs="Arial"/>
                <w:sz w:val="18"/>
                <w:szCs w:val="18"/>
              </w:rPr>
            </w:pPr>
            <w:r w:rsidRPr="00C10D53">
              <w:rPr>
                <w:rFonts w:ascii="Verdana" w:hAnsi="Verdana" w:cs="Arial"/>
                <w:sz w:val="18"/>
                <w:szCs w:val="18"/>
              </w:rPr>
              <w:t>Número de distritos delimitados para la Paz en zonas de alta presencia de la minería informal</w:t>
            </w:r>
          </w:p>
        </w:tc>
        <w:tc>
          <w:tcPr>
            <w:tcW w:w="1534" w:type="dxa"/>
            <w:tcMar/>
            <w:vAlign w:val="center"/>
          </w:tcPr>
          <w:p w:rsidRPr="00C10D53" w:rsidR="005A3227" w:rsidP="00FD68F1" w:rsidRDefault="005A3227" w14:paraId="180DA011" w14:textId="77777777">
            <w:pPr>
              <w:jc w:val="center"/>
              <w:rPr>
                <w:rFonts w:ascii="Verdana" w:hAnsi="Verdana" w:cs="Arial"/>
                <w:sz w:val="18"/>
                <w:szCs w:val="18"/>
              </w:rPr>
            </w:pPr>
          </w:p>
          <w:p w:rsidRPr="00C10D53" w:rsidR="005A3227" w:rsidP="00FD68F1" w:rsidRDefault="005A3227" w14:paraId="5DC2668B" w14:textId="77777777">
            <w:pPr>
              <w:jc w:val="center"/>
              <w:rPr>
                <w:rFonts w:ascii="Verdana" w:hAnsi="Verdana" w:cs="Arial"/>
                <w:sz w:val="18"/>
                <w:szCs w:val="18"/>
              </w:rPr>
            </w:pPr>
            <w:r w:rsidRPr="00C10D53">
              <w:rPr>
                <w:rFonts w:ascii="Verdana" w:hAnsi="Verdana" w:cs="Arial"/>
                <w:sz w:val="18"/>
                <w:szCs w:val="18"/>
              </w:rPr>
              <w:t>10</w:t>
            </w:r>
          </w:p>
        </w:tc>
        <w:tc>
          <w:tcPr>
            <w:tcW w:w="1099" w:type="dxa"/>
            <w:tcMar/>
            <w:vAlign w:val="center"/>
          </w:tcPr>
          <w:p w:rsidRPr="00C10D53" w:rsidR="005A3227" w:rsidP="00FD68F1" w:rsidRDefault="005A3227" w14:paraId="05E4CF72" w14:textId="77777777">
            <w:pPr>
              <w:jc w:val="center"/>
              <w:rPr>
                <w:rFonts w:ascii="Verdana" w:hAnsi="Verdana" w:cs="Arial"/>
                <w:sz w:val="18"/>
                <w:szCs w:val="18"/>
              </w:rPr>
            </w:pPr>
          </w:p>
          <w:p w:rsidRPr="00C10D53" w:rsidR="005A3227" w:rsidP="00FD68F1" w:rsidRDefault="005A3227" w14:paraId="35F6FFF0" w14:textId="77777777">
            <w:pPr>
              <w:jc w:val="center"/>
              <w:rPr>
                <w:rFonts w:ascii="Verdana" w:hAnsi="Verdana" w:cs="Arial"/>
                <w:sz w:val="18"/>
                <w:szCs w:val="18"/>
              </w:rPr>
            </w:pPr>
            <w:r w:rsidRPr="00C10D53">
              <w:rPr>
                <w:rFonts w:ascii="Verdana" w:hAnsi="Verdana" w:cs="Arial"/>
                <w:sz w:val="18"/>
                <w:szCs w:val="18"/>
              </w:rPr>
              <w:t>8</w:t>
            </w:r>
          </w:p>
        </w:tc>
        <w:tc>
          <w:tcPr>
            <w:tcW w:w="917" w:type="dxa"/>
            <w:tcMar/>
            <w:vAlign w:val="center"/>
          </w:tcPr>
          <w:p w:rsidRPr="00C10D53" w:rsidR="005A3227" w:rsidP="00FD68F1" w:rsidRDefault="005A3227" w14:paraId="5FC56484" w14:textId="77777777">
            <w:pPr>
              <w:jc w:val="center"/>
              <w:rPr>
                <w:rFonts w:ascii="Verdana" w:hAnsi="Verdana" w:cs="Arial"/>
                <w:sz w:val="18"/>
                <w:szCs w:val="18"/>
              </w:rPr>
            </w:pPr>
          </w:p>
          <w:p w:rsidRPr="00C10D53" w:rsidR="005A3227" w:rsidP="00FD68F1" w:rsidRDefault="005A3227" w14:paraId="32ADFCFD" w14:textId="77777777">
            <w:pPr>
              <w:jc w:val="center"/>
              <w:rPr>
                <w:rFonts w:ascii="Verdana" w:hAnsi="Verdana" w:cs="Arial"/>
                <w:sz w:val="18"/>
                <w:szCs w:val="18"/>
              </w:rPr>
            </w:pPr>
            <w:r w:rsidRPr="00C10D53">
              <w:rPr>
                <w:rFonts w:ascii="Verdana" w:hAnsi="Verdana" w:cs="Arial"/>
                <w:sz w:val="18"/>
                <w:szCs w:val="18"/>
              </w:rPr>
              <w:t>10</w:t>
            </w:r>
          </w:p>
        </w:tc>
        <w:tc>
          <w:tcPr>
            <w:tcW w:w="1523" w:type="dxa"/>
            <w:tcMar/>
            <w:vAlign w:val="center"/>
          </w:tcPr>
          <w:p w:rsidRPr="00C10D53" w:rsidR="005A3227" w:rsidP="00FD68F1" w:rsidRDefault="005A3227" w14:paraId="57CF3200" w14:textId="77777777">
            <w:pPr>
              <w:jc w:val="center"/>
              <w:rPr>
                <w:rFonts w:ascii="Verdana" w:hAnsi="Verdana" w:cs="Arial"/>
                <w:sz w:val="18"/>
                <w:szCs w:val="18"/>
              </w:rPr>
            </w:pPr>
          </w:p>
          <w:p w:rsidRPr="00C10D53" w:rsidR="005A3227" w:rsidP="00FD68F1" w:rsidRDefault="005A3227" w14:paraId="42BE1DC4" w14:textId="77777777">
            <w:pPr>
              <w:jc w:val="center"/>
              <w:rPr>
                <w:rFonts w:ascii="Verdana" w:hAnsi="Verdana" w:cs="Arial"/>
                <w:sz w:val="18"/>
                <w:szCs w:val="18"/>
              </w:rPr>
            </w:pPr>
            <w:r w:rsidRPr="00C10D53">
              <w:rPr>
                <w:rFonts w:ascii="Verdana" w:hAnsi="Verdana" w:cs="Arial"/>
                <w:sz w:val="18"/>
                <w:szCs w:val="18"/>
              </w:rPr>
              <w:t>11</w:t>
            </w:r>
          </w:p>
        </w:tc>
      </w:tr>
      <w:tr w:rsidRPr="00C10D53" w:rsidR="005A3227" w:rsidTr="30CF4445" w14:paraId="07162CB1" w14:textId="77777777">
        <w:trPr>
          <w:trHeight w:val="1171"/>
        </w:trPr>
        <w:tc>
          <w:tcPr>
            <w:tcW w:w="1991" w:type="dxa"/>
            <w:tcMar/>
            <w:vAlign w:val="center"/>
          </w:tcPr>
          <w:p w:rsidRPr="00C10D53" w:rsidR="005A3227" w:rsidP="00FD68F1" w:rsidRDefault="005A3227" w14:paraId="216F69DB" w14:textId="77777777">
            <w:pPr>
              <w:rPr>
                <w:rFonts w:ascii="Verdana" w:hAnsi="Verdana" w:cs="Arial"/>
                <w:sz w:val="18"/>
                <w:szCs w:val="18"/>
              </w:rPr>
            </w:pPr>
            <w:r w:rsidRPr="00C10D53">
              <w:rPr>
                <w:rFonts w:ascii="Verdana" w:hAnsi="Verdana" w:cs="Arial"/>
                <w:sz w:val="18"/>
                <w:szCs w:val="18"/>
              </w:rPr>
              <w:t>Delimitación de Distritos Mineros para la Transición Energética Justa</w:t>
            </w:r>
          </w:p>
        </w:tc>
        <w:tc>
          <w:tcPr>
            <w:tcW w:w="1764" w:type="dxa"/>
            <w:tcMar/>
            <w:vAlign w:val="center"/>
          </w:tcPr>
          <w:p w:rsidRPr="00C10D53" w:rsidR="005A3227" w:rsidP="00FD68F1" w:rsidRDefault="005A3227" w14:paraId="4A3CACF5" w14:textId="77777777">
            <w:pPr>
              <w:rPr>
                <w:rFonts w:ascii="Verdana" w:hAnsi="Verdana" w:cs="Arial"/>
                <w:sz w:val="18"/>
                <w:szCs w:val="18"/>
              </w:rPr>
            </w:pPr>
            <w:r w:rsidRPr="00C10D53">
              <w:rPr>
                <w:rFonts w:ascii="Verdana" w:hAnsi="Verdana" w:cs="Arial"/>
                <w:sz w:val="18"/>
                <w:szCs w:val="18"/>
              </w:rPr>
              <w:t xml:space="preserve">Número de distritos Mineros </w:t>
            </w:r>
            <w:r w:rsidRPr="00C10D53" w:rsidR="00C10D53">
              <w:rPr>
                <w:rFonts w:ascii="Verdana" w:hAnsi="Verdana" w:cs="Arial"/>
                <w:sz w:val="18"/>
                <w:szCs w:val="18"/>
              </w:rPr>
              <w:t>delimitados para</w:t>
            </w:r>
            <w:r w:rsidRPr="00C10D53">
              <w:rPr>
                <w:rFonts w:ascii="Verdana" w:hAnsi="Verdana" w:cs="Arial"/>
                <w:sz w:val="18"/>
                <w:szCs w:val="18"/>
              </w:rPr>
              <w:t xml:space="preserve"> la Transición Energética Justa</w:t>
            </w:r>
          </w:p>
        </w:tc>
        <w:tc>
          <w:tcPr>
            <w:tcW w:w="1534" w:type="dxa"/>
            <w:tcMar/>
            <w:vAlign w:val="center"/>
          </w:tcPr>
          <w:p w:rsidRPr="00C10D53" w:rsidR="005A3227" w:rsidP="00FD68F1" w:rsidRDefault="005A3227" w14:paraId="14C407E7" w14:textId="77777777">
            <w:pPr>
              <w:jc w:val="center"/>
              <w:rPr>
                <w:rFonts w:ascii="Verdana" w:hAnsi="Verdana" w:cs="Arial"/>
                <w:sz w:val="18"/>
                <w:szCs w:val="18"/>
              </w:rPr>
            </w:pPr>
            <w:r w:rsidRPr="00C10D53">
              <w:rPr>
                <w:rFonts w:ascii="Verdana" w:hAnsi="Verdana" w:cs="Arial"/>
                <w:sz w:val="18"/>
                <w:szCs w:val="18"/>
              </w:rPr>
              <w:t>5</w:t>
            </w:r>
          </w:p>
        </w:tc>
        <w:tc>
          <w:tcPr>
            <w:tcW w:w="1099" w:type="dxa"/>
            <w:tcMar/>
            <w:vAlign w:val="center"/>
          </w:tcPr>
          <w:p w:rsidRPr="00C10D53" w:rsidR="005A3227" w:rsidP="00FD68F1" w:rsidRDefault="005A3227" w14:paraId="3F6FD4AD" w14:textId="77777777">
            <w:pPr>
              <w:jc w:val="center"/>
              <w:rPr>
                <w:rFonts w:ascii="Verdana" w:hAnsi="Verdana" w:cs="Arial"/>
                <w:sz w:val="18"/>
                <w:szCs w:val="18"/>
              </w:rPr>
            </w:pPr>
            <w:r w:rsidRPr="00C10D53">
              <w:rPr>
                <w:rFonts w:ascii="Verdana" w:hAnsi="Verdana" w:cs="Arial"/>
                <w:sz w:val="18"/>
                <w:szCs w:val="18"/>
              </w:rPr>
              <w:t>3</w:t>
            </w:r>
          </w:p>
        </w:tc>
        <w:tc>
          <w:tcPr>
            <w:tcW w:w="917" w:type="dxa"/>
            <w:tcMar/>
            <w:vAlign w:val="center"/>
          </w:tcPr>
          <w:p w:rsidRPr="00C10D53" w:rsidR="005A3227" w:rsidP="00FD68F1" w:rsidRDefault="005A3227" w14:paraId="403ECDAF" w14:textId="77777777">
            <w:pPr>
              <w:jc w:val="center"/>
              <w:rPr>
                <w:rFonts w:ascii="Verdana" w:hAnsi="Verdana" w:cs="Arial"/>
                <w:sz w:val="18"/>
                <w:szCs w:val="18"/>
              </w:rPr>
            </w:pPr>
            <w:r w:rsidRPr="00C10D53">
              <w:rPr>
                <w:rFonts w:ascii="Verdana" w:hAnsi="Verdana" w:cs="Arial"/>
                <w:sz w:val="18"/>
                <w:szCs w:val="18"/>
              </w:rPr>
              <w:t>5</w:t>
            </w:r>
          </w:p>
        </w:tc>
        <w:tc>
          <w:tcPr>
            <w:tcW w:w="1523" w:type="dxa"/>
            <w:tcMar/>
            <w:vAlign w:val="center"/>
          </w:tcPr>
          <w:p w:rsidRPr="00C10D53" w:rsidR="005A3227" w:rsidP="00FD68F1" w:rsidRDefault="005A3227" w14:paraId="44658E70" w14:textId="77777777">
            <w:pPr>
              <w:jc w:val="center"/>
              <w:rPr>
                <w:rFonts w:ascii="Verdana" w:hAnsi="Verdana" w:cs="Arial"/>
                <w:sz w:val="18"/>
                <w:szCs w:val="18"/>
              </w:rPr>
            </w:pPr>
            <w:r w:rsidRPr="00C10D53">
              <w:rPr>
                <w:rFonts w:ascii="Verdana" w:hAnsi="Verdana" w:cs="Arial"/>
                <w:sz w:val="18"/>
                <w:szCs w:val="18"/>
              </w:rPr>
              <w:t>0,15</w:t>
            </w:r>
          </w:p>
        </w:tc>
      </w:tr>
    </w:tbl>
    <w:p w:rsidRPr="00C10D53" w:rsidR="008E1873" w:rsidP="00FD68F1" w:rsidRDefault="276C8783" w14:paraId="78BD3925" w14:textId="77777777">
      <w:pPr>
        <w:spacing w:after="0" w:line="240" w:lineRule="auto"/>
        <w:jc w:val="center"/>
        <w:rPr>
          <w:rFonts w:ascii="Verdana" w:hAnsi="Verdana" w:cs="Arial"/>
          <w:sz w:val="18"/>
          <w:szCs w:val="18"/>
        </w:rPr>
      </w:pPr>
      <w:r w:rsidRPr="180099B3">
        <w:rPr>
          <w:rFonts w:ascii="Verdana" w:hAnsi="Verdana" w:cs="Arial"/>
          <w:sz w:val="18"/>
          <w:szCs w:val="18"/>
        </w:rPr>
        <w:t xml:space="preserve">Fuente: Elaboración propia </w:t>
      </w:r>
      <w:r w:rsidRPr="180099B3" w:rsidR="2C9A750A">
        <w:rPr>
          <w:rFonts w:ascii="Verdana" w:hAnsi="Verdana" w:cs="Arial"/>
          <w:sz w:val="18"/>
          <w:szCs w:val="18"/>
        </w:rPr>
        <w:t xml:space="preserve">OPGI - </w:t>
      </w:r>
      <w:r w:rsidRPr="180099B3">
        <w:rPr>
          <w:rFonts w:ascii="Verdana" w:hAnsi="Verdana" w:cs="Arial"/>
          <w:sz w:val="18"/>
          <w:szCs w:val="18"/>
        </w:rPr>
        <w:t>MME, 31 de marzo 2026.</w:t>
      </w:r>
    </w:p>
    <w:p w:rsidR="00C10D53" w:rsidP="00D94015" w:rsidRDefault="00C10D53" w14:paraId="0E463F26" w14:textId="77777777">
      <w:pPr>
        <w:spacing w:after="0" w:line="360" w:lineRule="auto"/>
        <w:jc w:val="both"/>
        <w:rPr>
          <w:rFonts w:ascii="Verdana" w:hAnsi="Verdana" w:cs="Arial"/>
          <w:sz w:val="24"/>
          <w:szCs w:val="24"/>
        </w:rPr>
      </w:pPr>
    </w:p>
    <w:p w:rsidRPr="00C140A0" w:rsidR="009A4A31" w:rsidP="00D94015" w:rsidRDefault="009A4A31" w14:paraId="37F14E47" w14:textId="77777777">
      <w:pPr>
        <w:spacing w:after="0" w:line="360" w:lineRule="auto"/>
        <w:jc w:val="both"/>
        <w:rPr>
          <w:rFonts w:ascii="Verdana" w:hAnsi="Verdana" w:cs="Arial"/>
          <w:sz w:val="24"/>
          <w:szCs w:val="24"/>
        </w:rPr>
      </w:pPr>
      <w:r w:rsidRPr="00C140A0">
        <w:rPr>
          <w:rFonts w:ascii="Verdana" w:hAnsi="Verdana" w:cs="Arial"/>
          <w:sz w:val="24"/>
          <w:szCs w:val="24"/>
        </w:rPr>
        <w:t xml:space="preserve">Frente a los principales logros realizados durante este periodo de tiempo, se contemplan los siguientes: </w:t>
      </w:r>
    </w:p>
    <w:p w:rsidRPr="00C140A0" w:rsidR="009A4A31" w:rsidRDefault="009A4A31" w14:paraId="3F54B97B" w14:textId="2A2A40F1">
      <w:pPr>
        <w:pStyle w:val="Prrafodelista"/>
        <w:numPr>
          <w:ilvl w:val="0"/>
          <w:numId w:val="62"/>
        </w:numPr>
        <w:spacing w:after="0" w:line="360" w:lineRule="auto"/>
        <w:ind w:hanging="436"/>
        <w:jc w:val="both"/>
        <w:rPr>
          <w:rFonts w:ascii="Verdana" w:hAnsi="Verdana" w:cs="Arial"/>
          <w:sz w:val="24"/>
          <w:szCs w:val="24"/>
        </w:rPr>
      </w:pPr>
      <w:r w:rsidRPr="30CF4445" w:rsidR="4AEA50F0">
        <w:rPr>
          <w:rFonts w:ascii="Verdana" w:hAnsi="Verdana" w:cs="Arial"/>
          <w:sz w:val="24"/>
          <w:szCs w:val="24"/>
        </w:rPr>
        <w:t xml:space="preserve">Avances en la estructuración, </w:t>
      </w:r>
      <w:r w:rsidRPr="30CF4445" w:rsidR="4AEA50F0">
        <w:rPr>
          <w:rFonts w:ascii="Verdana" w:hAnsi="Verdana" w:cs="Arial"/>
          <w:sz w:val="24"/>
          <w:szCs w:val="24"/>
        </w:rPr>
        <w:t>viabilización</w:t>
      </w:r>
      <w:r w:rsidRPr="30CF4445" w:rsidR="4AEA50F0">
        <w:rPr>
          <w:rFonts w:ascii="Verdana" w:hAnsi="Verdana" w:cs="Arial"/>
          <w:sz w:val="24"/>
          <w:szCs w:val="24"/>
        </w:rPr>
        <w:t xml:space="preserve"> e implementación de Distritos Mineros Especiales para la Diversificación Productiva</w:t>
      </w:r>
      <w:r w:rsidRPr="30CF4445" w:rsidR="0EAF2BDC">
        <w:rPr>
          <w:rFonts w:ascii="Verdana" w:hAnsi="Verdana" w:cs="Arial"/>
          <w:sz w:val="24"/>
          <w:szCs w:val="24"/>
        </w:rPr>
        <w:t>.</w:t>
      </w:r>
    </w:p>
    <w:p w:rsidRPr="00C140A0" w:rsidR="009A4A31" w:rsidRDefault="009A4A31" w14:paraId="305C8CA9" w14:textId="77777777">
      <w:pPr>
        <w:pStyle w:val="Prrafodelista"/>
        <w:numPr>
          <w:ilvl w:val="0"/>
          <w:numId w:val="62"/>
        </w:numPr>
        <w:spacing w:after="0" w:line="360" w:lineRule="auto"/>
        <w:jc w:val="both"/>
        <w:rPr>
          <w:rFonts w:ascii="Verdana" w:hAnsi="Verdana" w:cs="Arial"/>
          <w:sz w:val="24"/>
          <w:szCs w:val="24"/>
        </w:rPr>
      </w:pPr>
      <w:r w:rsidRPr="00C140A0">
        <w:rPr>
          <w:rFonts w:ascii="Verdana" w:hAnsi="Verdana" w:cs="Arial"/>
          <w:sz w:val="24"/>
          <w:szCs w:val="24"/>
        </w:rPr>
        <w:t>Durante el primer trimestre de 2026 se consolidaron avances sustanciales en la estructuración, validación jurídica e implementación de los Distritos Mineros Especiales (DME), evidenciando un progreso sostenido en la consolidación de estos instrumentos como eje de planificación territorial para la transición hacia modelos productivos sostenibles.</w:t>
      </w:r>
    </w:p>
    <w:p w:rsidRPr="00C140A0" w:rsidR="009A4A31" w:rsidRDefault="009A4A31" w14:paraId="698CF53A" w14:textId="77777777">
      <w:pPr>
        <w:pStyle w:val="Prrafodelista"/>
        <w:numPr>
          <w:ilvl w:val="0"/>
          <w:numId w:val="62"/>
        </w:numPr>
        <w:spacing w:after="0" w:line="360" w:lineRule="auto"/>
        <w:jc w:val="both"/>
        <w:rPr>
          <w:rFonts w:ascii="Verdana" w:hAnsi="Verdana" w:cs="Arial"/>
          <w:sz w:val="24"/>
          <w:szCs w:val="24"/>
        </w:rPr>
      </w:pPr>
      <w:r w:rsidRPr="00C140A0">
        <w:rPr>
          <w:rFonts w:ascii="Verdana" w:hAnsi="Verdana" w:cs="Arial"/>
          <w:sz w:val="24"/>
          <w:szCs w:val="24"/>
        </w:rPr>
        <w:t>Uno de los principales logros del periodo fue la expedición de tres resoluciones de delimitación, correspondientes a los Distritos Mineros Especiales del:</w:t>
      </w:r>
    </w:p>
    <w:p w:rsidRPr="00C140A0" w:rsidR="009A4A31" w:rsidRDefault="009A4A31" w14:paraId="5FA896FF" w14:textId="77777777">
      <w:pPr>
        <w:pStyle w:val="Prrafodelista"/>
        <w:numPr>
          <w:ilvl w:val="1"/>
          <w:numId w:val="62"/>
        </w:numPr>
        <w:spacing w:after="0" w:line="360" w:lineRule="auto"/>
        <w:jc w:val="both"/>
        <w:rPr>
          <w:rFonts w:ascii="Verdana" w:hAnsi="Verdana" w:cs="Arial"/>
          <w:sz w:val="24"/>
          <w:szCs w:val="24"/>
        </w:rPr>
      </w:pPr>
      <w:r w:rsidRPr="00C140A0">
        <w:rPr>
          <w:rFonts w:ascii="Verdana" w:hAnsi="Verdana" w:cs="Arial"/>
          <w:sz w:val="24"/>
          <w:szCs w:val="24"/>
        </w:rPr>
        <w:t xml:space="preserve">Piedemonte y la Cordillera Nariñense – Abades </w:t>
      </w:r>
    </w:p>
    <w:p w:rsidRPr="00C140A0" w:rsidR="009A4A31" w:rsidRDefault="009A4A31" w14:paraId="61B5A82D" w14:textId="77777777">
      <w:pPr>
        <w:pStyle w:val="Prrafodelista"/>
        <w:numPr>
          <w:ilvl w:val="1"/>
          <w:numId w:val="62"/>
        </w:numPr>
        <w:spacing w:after="0" w:line="360" w:lineRule="auto"/>
        <w:jc w:val="both"/>
        <w:rPr>
          <w:rFonts w:ascii="Verdana" w:hAnsi="Verdana" w:cs="Arial"/>
          <w:sz w:val="24"/>
          <w:szCs w:val="24"/>
        </w:rPr>
      </w:pPr>
      <w:r w:rsidRPr="00C140A0">
        <w:rPr>
          <w:rFonts w:ascii="Verdana" w:hAnsi="Verdana" w:cs="Arial"/>
          <w:sz w:val="24"/>
          <w:szCs w:val="24"/>
        </w:rPr>
        <w:t xml:space="preserve">Triángulo de Telembí </w:t>
      </w:r>
    </w:p>
    <w:p w:rsidRPr="00C140A0" w:rsidR="009A4A31" w:rsidRDefault="009A4A31" w14:paraId="1101A3A3" w14:textId="77777777">
      <w:pPr>
        <w:pStyle w:val="Prrafodelista"/>
        <w:numPr>
          <w:ilvl w:val="1"/>
          <w:numId w:val="62"/>
        </w:numPr>
        <w:spacing w:after="0" w:line="360" w:lineRule="auto"/>
        <w:jc w:val="both"/>
        <w:rPr>
          <w:rFonts w:ascii="Verdana" w:hAnsi="Verdana" w:cs="Arial"/>
          <w:sz w:val="24"/>
          <w:szCs w:val="24"/>
        </w:rPr>
      </w:pPr>
      <w:r w:rsidRPr="00C140A0">
        <w:rPr>
          <w:rFonts w:ascii="Verdana" w:hAnsi="Verdana" w:cs="Arial"/>
          <w:sz w:val="24"/>
          <w:szCs w:val="24"/>
        </w:rPr>
        <w:t xml:space="preserve">Noroccidente Nariñense </w:t>
      </w:r>
    </w:p>
    <w:p w:rsidRPr="00C140A0" w:rsidR="009A4A31" w:rsidRDefault="009A4A31" w14:paraId="06EF5D2A" w14:textId="77777777">
      <w:pPr>
        <w:pStyle w:val="Prrafodelista"/>
        <w:numPr>
          <w:ilvl w:val="0"/>
          <w:numId w:val="62"/>
        </w:numPr>
        <w:spacing w:after="0" w:line="360" w:lineRule="auto"/>
        <w:jc w:val="both"/>
        <w:rPr>
          <w:rFonts w:ascii="Verdana" w:hAnsi="Verdana" w:cs="Arial"/>
          <w:sz w:val="24"/>
          <w:szCs w:val="24"/>
        </w:rPr>
      </w:pPr>
      <w:r w:rsidRPr="00C140A0">
        <w:rPr>
          <w:rFonts w:ascii="Verdana" w:hAnsi="Verdana" w:cs="Arial"/>
          <w:sz w:val="24"/>
          <w:szCs w:val="24"/>
        </w:rPr>
        <w:t>Este resultado marca un hito en la materialización de la política pública, al establecer formalmente territorios priorizados para la diversificación productiva.</w:t>
      </w:r>
    </w:p>
    <w:p w:rsidRPr="00C140A0" w:rsidR="009A4A31" w:rsidRDefault="009A4A31" w14:paraId="27D5C989" w14:textId="77777777">
      <w:pPr>
        <w:pStyle w:val="Prrafodelista"/>
        <w:numPr>
          <w:ilvl w:val="0"/>
          <w:numId w:val="62"/>
        </w:numPr>
        <w:spacing w:after="0" w:line="360" w:lineRule="auto"/>
        <w:jc w:val="both"/>
        <w:rPr>
          <w:rFonts w:ascii="Verdana" w:hAnsi="Verdana" w:cs="Arial"/>
          <w:sz w:val="24"/>
          <w:szCs w:val="24"/>
        </w:rPr>
      </w:pPr>
      <w:r w:rsidRPr="00C140A0">
        <w:rPr>
          <w:rFonts w:ascii="Verdana" w:hAnsi="Verdana" w:cs="Arial"/>
          <w:sz w:val="24"/>
          <w:szCs w:val="24"/>
        </w:rPr>
        <w:t>Se destaca la implementación efectiva de mecanismos de participación, reflejada en:</w:t>
      </w:r>
    </w:p>
    <w:p w:rsidRPr="00C140A0" w:rsidR="009A4A31" w:rsidRDefault="009A4A31" w14:paraId="4FA145DD" w14:textId="77777777">
      <w:pPr>
        <w:pStyle w:val="Prrafodelista"/>
        <w:numPr>
          <w:ilvl w:val="1"/>
          <w:numId w:val="62"/>
        </w:numPr>
        <w:spacing w:after="0" w:line="360" w:lineRule="auto"/>
        <w:jc w:val="both"/>
        <w:rPr>
          <w:rFonts w:ascii="Verdana" w:hAnsi="Verdana" w:cs="Arial"/>
          <w:sz w:val="24"/>
          <w:szCs w:val="24"/>
        </w:rPr>
      </w:pPr>
      <w:r w:rsidRPr="00C140A0">
        <w:rPr>
          <w:rFonts w:ascii="Verdana" w:hAnsi="Verdana" w:cs="Arial"/>
          <w:sz w:val="24"/>
          <w:szCs w:val="24"/>
        </w:rPr>
        <w:t xml:space="preserve">La recepción, análisis y respuesta técnica a más de 19 observaciones ciudadanas en distintos procesos. </w:t>
      </w:r>
    </w:p>
    <w:p w:rsidRPr="00C140A0" w:rsidR="009A4A31" w:rsidRDefault="009A4A31" w14:paraId="790218DB" w14:textId="77777777">
      <w:pPr>
        <w:pStyle w:val="Prrafodelista"/>
        <w:numPr>
          <w:ilvl w:val="1"/>
          <w:numId w:val="62"/>
        </w:numPr>
        <w:spacing w:after="0" w:line="360" w:lineRule="auto"/>
        <w:jc w:val="both"/>
        <w:rPr>
          <w:rFonts w:ascii="Verdana" w:hAnsi="Verdana" w:cs="Arial"/>
          <w:sz w:val="24"/>
          <w:szCs w:val="24"/>
        </w:rPr>
      </w:pPr>
      <w:r w:rsidRPr="00C140A0">
        <w:rPr>
          <w:rFonts w:ascii="Verdana" w:hAnsi="Verdana" w:cs="Arial"/>
          <w:sz w:val="24"/>
          <w:szCs w:val="24"/>
        </w:rPr>
        <w:t xml:space="preserve">La consolidación de matrices de observaciones como insumo clave para la toma de decisiones. </w:t>
      </w:r>
    </w:p>
    <w:p w:rsidRPr="00C140A0" w:rsidR="009A4A31" w:rsidRDefault="009A4A31" w14:paraId="60808723" w14:textId="77777777">
      <w:pPr>
        <w:pStyle w:val="Prrafodelista"/>
        <w:numPr>
          <w:ilvl w:val="1"/>
          <w:numId w:val="62"/>
        </w:numPr>
        <w:spacing w:after="0" w:line="360" w:lineRule="auto"/>
        <w:jc w:val="both"/>
        <w:rPr>
          <w:rFonts w:ascii="Verdana" w:hAnsi="Verdana" w:cs="Arial"/>
          <w:sz w:val="24"/>
          <w:szCs w:val="24"/>
        </w:rPr>
      </w:pPr>
      <w:r w:rsidRPr="00C140A0">
        <w:rPr>
          <w:rFonts w:ascii="Verdana" w:hAnsi="Verdana" w:cs="Arial"/>
          <w:sz w:val="24"/>
          <w:szCs w:val="24"/>
        </w:rPr>
        <w:t xml:space="preserve">La incorporación de aportes ciudadanos en la estructuración final de los actos administrativos. </w:t>
      </w:r>
    </w:p>
    <w:p w:rsidRPr="00C140A0" w:rsidR="009A4A31" w:rsidRDefault="009A4A31" w14:paraId="3DCD340A" w14:textId="77777777">
      <w:pPr>
        <w:pStyle w:val="Prrafodelista"/>
        <w:numPr>
          <w:ilvl w:val="0"/>
          <w:numId w:val="62"/>
        </w:numPr>
        <w:spacing w:after="0" w:line="360" w:lineRule="auto"/>
        <w:jc w:val="both"/>
        <w:rPr>
          <w:rFonts w:ascii="Verdana" w:hAnsi="Verdana" w:cs="Arial"/>
          <w:sz w:val="24"/>
          <w:szCs w:val="24"/>
        </w:rPr>
      </w:pPr>
      <w:r w:rsidRPr="00C140A0">
        <w:rPr>
          <w:rFonts w:ascii="Verdana" w:hAnsi="Verdana" w:cs="Arial"/>
          <w:sz w:val="24"/>
          <w:szCs w:val="24"/>
        </w:rPr>
        <w:t>Este ejercicio fortaleció la legitimidad y transparencia del proceso, asegurando la inclusión de actores territoriales en la construcción de los distritos.</w:t>
      </w:r>
    </w:p>
    <w:p w:rsidRPr="00C140A0" w:rsidR="009A4A31" w:rsidRDefault="009A4A31" w14:paraId="045233CF" w14:textId="77777777">
      <w:pPr>
        <w:pStyle w:val="Prrafodelista"/>
        <w:numPr>
          <w:ilvl w:val="0"/>
          <w:numId w:val="62"/>
        </w:numPr>
        <w:spacing w:after="0" w:line="360" w:lineRule="auto"/>
        <w:jc w:val="both"/>
        <w:rPr>
          <w:rFonts w:ascii="Verdana" w:hAnsi="Verdana" w:cs="Arial"/>
          <w:sz w:val="24"/>
          <w:szCs w:val="24"/>
        </w:rPr>
      </w:pPr>
      <w:r w:rsidRPr="00C140A0">
        <w:rPr>
          <w:rFonts w:ascii="Verdana" w:hAnsi="Verdana" w:cs="Arial"/>
          <w:sz w:val="24"/>
          <w:szCs w:val="24"/>
        </w:rPr>
        <w:t xml:space="preserve">Se </w:t>
      </w:r>
      <w:r w:rsidRPr="00C140A0" w:rsidR="00FD68F1">
        <w:rPr>
          <w:rFonts w:ascii="Verdana" w:hAnsi="Verdana" w:cs="Arial"/>
          <w:sz w:val="24"/>
          <w:szCs w:val="24"/>
        </w:rPr>
        <w:t>avanzó en</w:t>
      </w:r>
      <w:r w:rsidRPr="00C140A0">
        <w:rPr>
          <w:rFonts w:ascii="Verdana" w:hAnsi="Verdana" w:cs="Arial"/>
          <w:sz w:val="24"/>
          <w:szCs w:val="24"/>
        </w:rPr>
        <w:t xml:space="preserve"> la radicación, revisión y ajuste de proyectos de resolución en al menos cinco distritos adicionales. </w:t>
      </w:r>
    </w:p>
    <w:p w:rsidRPr="00C140A0" w:rsidR="009A4A31" w:rsidRDefault="009A4A31" w14:paraId="609A4D4F" w14:textId="77777777">
      <w:pPr>
        <w:pStyle w:val="Prrafodelista"/>
        <w:numPr>
          <w:ilvl w:val="0"/>
          <w:numId w:val="62"/>
        </w:numPr>
        <w:spacing w:after="0" w:line="360" w:lineRule="auto"/>
        <w:jc w:val="both"/>
        <w:rPr>
          <w:rFonts w:ascii="Verdana" w:hAnsi="Verdana" w:cs="Arial"/>
          <w:sz w:val="24"/>
          <w:szCs w:val="24"/>
        </w:rPr>
      </w:pPr>
      <w:r w:rsidRPr="00C140A0">
        <w:rPr>
          <w:rFonts w:ascii="Verdana" w:hAnsi="Verdana" w:cs="Arial"/>
          <w:sz w:val="24"/>
          <w:szCs w:val="24"/>
        </w:rPr>
        <w:t>Asimismo, se gestionaron conceptos clave de la Dirección de la Autoridad Nacional de Consulta Previa (DANCP), incluyendo determinaciones de no procedencia de consulta previa, lo que permitió agilizar los tiempos del trámite.</w:t>
      </w:r>
    </w:p>
    <w:p w:rsidRPr="00C140A0" w:rsidR="009A4A31" w:rsidRDefault="0715E472" w14:paraId="1A94C9FC" w14:textId="0CE030D1">
      <w:pPr>
        <w:pStyle w:val="Prrafodelista"/>
        <w:numPr>
          <w:ilvl w:val="0"/>
          <w:numId w:val="62"/>
        </w:numPr>
        <w:spacing w:after="0" w:line="360" w:lineRule="auto"/>
        <w:jc w:val="both"/>
        <w:rPr>
          <w:rFonts w:ascii="Verdana" w:hAnsi="Verdana" w:cs="Arial"/>
          <w:sz w:val="24"/>
          <w:szCs w:val="24"/>
        </w:rPr>
      </w:pPr>
      <w:r w:rsidRPr="30CF4445" w:rsidR="7F3A516E">
        <w:rPr>
          <w:rFonts w:ascii="Verdana" w:hAnsi="Verdana" w:cs="Arial"/>
          <w:sz w:val="24"/>
          <w:szCs w:val="24"/>
        </w:rPr>
        <w:t xml:space="preserve">Se evidencian avances técnicos y jurídicos en varios distritos en proceso, incluyendo lo relacionado con la </w:t>
      </w:r>
      <w:r w:rsidRPr="30CF4445" w:rsidR="7F3A516E">
        <w:rPr>
          <w:rFonts w:ascii="Verdana" w:hAnsi="Verdana" w:cs="Arial"/>
          <w:sz w:val="24"/>
          <w:szCs w:val="24"/>
        </w:rPr>
        <w:t>viabilización</w:t>
      </w:r>
      <w:r w:rsidRPr="30CF4445" w:rsidR="7F3A516E">
        <w:rPr>
          <w:rFonts w:ascii="Verdana" w:hAnsi="Verdana" w:cs="Arial"/>
          <w:sz w:val="24"/>
          <w:szCs w:val="24"/>
        </w:rPr>
        <w:t xml:space="preserve"> del texto por parte de la Oficina Jurídica y la publicación en la página web de</w:t>
      </w:r>
      <w:r w:rsidRPr="30CF4445" w:rsidR="5338CE9C">
        <w:rPr>
          <w:rFonts w:ascii="Verdana" w:hAnsi="Verdana" w:cs="Arial"/>
          <w:sz w:val="24"/>
          <w:szCs w:val="24"/>
        </w:rPr>
        <w:t>l</w:t>
      </w:r>
      <w:r w:rsidRPr="30CF4445" w:rsidR="7F3A516E">
        <w:rPr>
          <w:rFonts w:ascii="Verdana" w:hAnsi="Verdana" w:cs="Arial"/>
          <w:sz w:val="24"/>
          <w:szCs w:val="24"/>
        </w:rPr>
        <w:t xml:space="preserve"> Ministerio del Interior para comentarios ciudadanos, entre ellos:</w:t>
      </w:r>
    </w:p>
    <w:p w:rsidRPr="00C140A0" w:rsidR="009A4A31" w:rsidRDefault="009A4A31" w14:paraId="59158CCE" w14:textId="77777777">
      <w:pPr>
        <w:pStyle w:val="Prrafodelista"/>
        <w:numPr>
          <w:ilvl w:val="1"/>
          <w:numId w:val="62"/>
        </w:numPr>
        <w:spacing w:after="0" w:line="360" w:lineRule="auto"/>
        <w:jc w:val="both"/>
        <w:rPr>
          <w:rFonts w:ascii="Verdana" w:hAnsi="Verdana" w:cs="Arial"/>
          <w:sz w:val="24"/>
          <w:szCs w:val="24"/>
        </w:rPr>
      </w:pPr>
      <w:r w:rsidRPr="00C140A0">
        <w:rPr>
          <w:rFonts w:ascii="Verdana" w:hAnsi="Verdana" w:cs="Arial"/>
          <w:sz w:val="24"/>
          <w:szCs w:val="24"/>
        </w:rPr>
        <w:t xml:space="preserve">San Juan – Chocó </w:t>
      </w:r>
    </w:p>
    <w:p w:rsidRPr="00C140A0" w:rsidR="009A4A31" w:rsidRDefault="009A4A31" w14:paraId="2AC7A6E2" w14:textId="77777777">
      <w:pPr>
        <w:pStyle w:val="Prrafodelista"/>
        <w:numPr>
          <w:ilvl w:val="1"/>
          <w:numId w:val="62"/>
        </w:numPr>
        <w:spacing w:after="0" w:line="360" w:lineRule="auto"/>
        <w:jc w:val="both"/>
        <w:rPr>
          <w:rFonts w:ascii="Verdana" w:hAnsi="Verdana" w:cs="Arial"/>
          <w:sz w:val="24"/>
          <w:szCs w:val="24"/>
        </w:rPr>
      </w:pPr>
      <w:r w:rsidRPr="00C140A0">
        <w:rPr>
          <w:rFonts w:ascii="Verdana" w:hAnsi="Verdana" w:cs="Arial"/>
          <w:sz w:val="24"/>
          <w:szCs w:val="24"/>
        </w:rPr>
        <w:t xml:space="preserve">Litoral Pacífico Caucano </w:t>
      </w:r>
    </w:p>
    <w:p w:rsidRPr="00C140A0" w:rsidR="009A4A31" w:rsidRDefault="009A4A31" w14:paraId="485A0318" w14:textId="77777777">
      <w:pPr>
        <w:pStyle w:val="Prrafodelista"/>
        <w:numPr>
          <w:ilvl w:val="1"/>
          <w:numId w:val="62"/>
        </w:numPr>
        <w:spacing w:after="0" w:line="360" w:lineRule="auto"/>
        <w:jc w:val="both"/>
        <w:rPr>
          <w:rFonts w:ascii="Verdana" w:hAnsi="Verdana" w:cs="Arial"/>
          <w:sz w:val="24"/>
          <w:szCs w:val="24"/>
        </w:rPr>
      </w:pPr>
      <w:r w:rsidRPr="00C140A0">
        <w:rPr>
          <w:rFonts w:ascii="Verdana" w:hAnsi="Verdana" w:cs="Arial"/>
          <w:sz w:val="24"/>
          <w:szCs w:val="24"/>
        </w:rPr>
        <w:t xml:space="preserve">Norte del Cauca </w:t>
      </w:r>
    </w:p>
    <w:p w:rsidRPr="00C140A0" w:rsidR="009A4A31" w:rsidRDefault="009A4A31" w14:paraId="40358523" w14:textId="77777777">
      <w:pPr>
        <w:pStyle w:val="Prrafodelista"/>
        <w:numPr>
          <w:ilvl w:val="1"/>
          <w:numId w:val="62"/>
        </w:numPr>
        <w:spacing w:after="0" w:line="360" w:lineRule="auto"/>
        <w:jc w:val="both"/>
        <w:rPr>
          <w:rFonts w:ascii="Verdana" w:hAnsi="Verdana" w:cs="Arial"/>
          <w:sz w:val="24"/>
          <w:szCs w:val="24"/>
        </w:rPr>
      </w:pPr>
      <w:r w:rsidRPr="00C140A0">
        <w:rPr>
          <w:rFonts w:ascii="Verdana" w:hAnsi="Verdana" w:cs="Arial"/>
          <w:sz w:val="24"/>
          <w:szCs w:val="24"/>
        </w:rPr>
        <w:t xml:space="preserve">Valle del Cauca </w:t>
      </w:r>
    </w:p>
    <w:p w:rsidRPr="00C140A0" w:rsidR="009A4A31" w:rsidRDefault="0715E472" w14:paraId="60416C40" w14:textId="77777777">
      <w:pPr>
        <w:pStyle w:val="Prrafodelista"/>
        <w:numPr>
          <w:ilvl w:val="1"/>
          <w:numId w:val="62"/>
        </w:numPr>
        <w:spacing w:after="0" w:line="360" w:lineRule="auto"/>
        <w:jc w:val="both"/>
        <w:rPr>
          <w:rFonts w:ascii="Verdana" w:hAnsi="Verdana" w:cs="Arial"/>
          <w:sz w:val="24"/>
          <w:szCs w:val="24"/>
        </w:rPr>
      </w:pPr>
      <w:r w:rsidRPr="0FF05B1B">
        <w:rPr>
          <w:rFonts w:ascii="Verdana" w:hAnsi="Verdana" w:cs="Arial"/>
          <w:sz w:val="24"/>
          <w:szCs w:val="24"/>
        </w:rPr>
        <w:t xml:space="preserve">Nordeste Antioqueño </w:t>
      </w:r>
    </w:p>
    <w:p w:rsidR="0FF05B1B" w:rsidP="00D94015" w:rsidRDefault="0FF05B1B" w14:paraId="0E48A07B" w14:textId="5EDD61F1">
      <w:pPr>
        <w:pStyle w:val="Prrafodelista"/>
        <w:spacing w:after="0" w:line="360" w:lineRule="auto"/>
        <w:ind w:left="1440"/>
        <w:jc w:val="both"/>
        <w:rPr>
          <w:rFonts w:ascii="Verdana" w:hAnsi="Verdana" w:cs="Arial"/>
          <w:sz w:val="24"/>
          <w:szCs w:val="24"/>
        </w:rPr>
      </w:pPr>
    </w:p>
    <w:p w:rsidRPr="00C140A0" w:rsidR="009A4A31" w:rsidRDefault="009A4A31" w14:paraId="48E2B99A" w14:textId="77777777">
      <w:pPr>
        <w:pStyle w:val="Prrafodelista"/>
        <w:numPr>
          <w:ilvl w:val="0"/>
          <w:numId w:val="62"/>
        </w:numPr>
        <w:spacing w:after="0" w:line="360" w:lineRule="auto"/>
        <w:jc w:val="both"/>
        <w:rPr>
          <w:rFonts w:ascii="Verdana" w:hAnsi="Verdana" w:cs="Arial"/>
          <w:sz w:val="24"/>
          <w:szCs w:val="24"/>
        </w:rPr>
      </w:pPr>
      <w:r w:rsidRPr="00C140A0">
        <w:rPr>
          <w:rFonts w:ascii="Verdana" w:hAnsi="Verdana" w:cs="Arial"/>
          <w:sz w:val="24"/>
          <w:szCs w:val="24"/>
        </w:rPr>
        <w:t>Estos progresos incluyen la elaboración de proyectos de resolución, publicación para comentarios ciudadanos, obtención de conceptos técnicos y preparación para radicación ante instancias jurídicas, lo que amplía el alcance territorial de la estrategia.</w:t>
      </w:r>
    </w:p>
    <w:p w:rsidRPr="00C140A0" w:rsidR="009A4A31" w:rsidRDefault="009A4A31" w14:paraId="3CF7276E" w14:textId="77777777">
      <w:pPr>
        <w:pStyle w:val="Prrafodelista"/>
        <w:numPr>
          <w:ilvl w:val="0"/>
          <w:numId w:val="62"/>
        </w:numPr>
        <w:spacing w:after="0" w:line="360" w:lineRule="auto"/>
        <w:jc w:val="both"/>
        <w:rPr>
          <w:rFonts w:ascii="Verdana" w:hAnsi="Verdana" w:cs="Arial"/>
          <w:sz w:val="24"/>
          <w:szCs w:val="24"/>
        </w:rPr>
      </w:pPr>
      <w:r w:rsidRPr="00C140A0">
        <w:rPr>
          <w:rFonts w:ascii="Verdana" w:hAnsi="Verdana" w:cs="Arial"/>
          <w:sz w:val="24"/>
          <w:szCs w:val="24"/>
        </w:rPr>
        <w:t xml:space="preserve">Un logro destacado fue la activación del Distrito Minero del Bajo Cauca Antioqueño, donde se avanzó en la instalación de la Mesa de Trabajo Interinstitucional, el desarrollo de espacios pedagógicos con comunidades mineras, la articulación con entidades clave como la Agencia Nacional de Minería y gobiernos territoriales, la difusión de buenas prácticas minero-ambientales y mecanismos de formalización. </w:t>
      </w:r>
    </w:p>
    <w:p w:rsidRPr="00C140A0" w:rsidR="009A4A31" w:rsidRDefault="009A4A31" w14:paraId="70B082AC" w14:textId="77777777">
      <w:pPr>
        <w:pStyle w:val="Prrafodelista"/>
        <w:numPr>
          <w:ilvl w:val="0"/>
          <w:numId w:val="62"/>
        </w:numPr>
        <w:spacing w:after="0" w:line="360" w:lineRule="auto"/>
        <w:jc w:val="both"/>
        <w:rPr>
          <w:rFonts w:ascii="Verdana" w:hAnsi="Verdana" w:cs="Arial"/>
          <w:sz w:val="24"/>
          <w:szCs w:val="24"/>
        </w:rPr>
      </w:pPr>
      <w:r w:rsidRPr="00C140A0">
        <w:rPr>
          <w:rFonts w:ascii="Verdana" w:hAnsi="Verdana" w:cs="Arial"/>
          <w:sz w:val="24"/>
          <w:szCs w:val="24"/>
        </w:rPr>
        <w:t xml:space="preserve">Se realizaron espacios de preconsulta con 95 comunidades étnicas. </w:t>
      </w:r>
    </w:p>
    <w:p w:rsidRPr="00C140A0" w:rsidR="009A4A31" w:rsidRDefault="009A4A31" w14:paraId="3E91E6E9" w14:textId="77777777">
      <w:pPr>
        <w:pStyle w:val="Prrafodelista"/>
        <w:numPr>
          <w:ilvl w:val="0"/>
          <w:numId w:val="62"/>
        </w:numPr>
        <w:spacing w:after="0" w:line="360" w:lineRule="auto"/>
        <w:jc w:val="both"/>
        <w:rPr>
          <w:rFonts w:ascii="Verdana" w:hAnsi="Verdana" w:cs="Arial"/>
          <w:sz w:val="24"/>
          <w:szCs w:val="24"/>
        </w:rPr>
      </w:pPr>
      <w:r w:rsidRPr="00C140A0">
        <w:rPr>
          <w:rFonts w:ascii="Verdana" w:hAnsi="Verdana" w:cs="Arial"/>
          <w:sz w:val="24"/>
          <w:szCs w:val="24"/>
        </w:rPr>
        <w:t xml:space="preserve">Se ha avanzado en la estructuración de los Planes Estratégicos de Gestión (PEG), a partir de la consolidación de líneas estratégicas alineadas con las problemáticas identificadas y las oportunidades del territorio. Este proceso ha permitido definir orientaciones iniciales para la formulación de proyectos y la articulación institucional, como paso previo para la consolidación de acciones concretas en los Distritos. </w:t>
      </w:r>
    </w:p>
    <w:p w:rsidRPr="00C140A0" w:rsidR="009A4A31" w:rsidP="00D94015" w:rsidRDefault="009A4A31" w14:paraId="7E545E2B" w14:textId="77777777">
      <w:pPr>
        <w:spacing w:after="0" w:line="360" w:lineRule="auto"/>
        <w:jc w:val="both"/>
        <w:rPr>
          <w:rFonts w:ascii="Verdana" w:hAnsi="Verdana" w:cs="Arial"/>
          <w:b/>
          <w:bCs/>
          <w:sz w:val="24"/>
          <w:szCs w:val="24"/>
        </w:rPr>
      </w:pPr>
    </w:p>
    <w:p w:rsidRPr="00C140A0" w:rsidR="009A4A31" w:rsidP="00D94015" w:rsidRDefault="009A4A31" w14:paraId="05AD9C8C" w14:textId="77777777">
      <w:pPr>
        <w:spacing w:after="0" w:line="360" w:lineRule="auto"/>
        <w:jc w:val="both"/>
        <w:rPr>
          <w:rFonts w:ascii="Verdana" w:hAnsi="Verdana" w:cs="Arial"/>
          <w:b/>
          <w:bCs/>
          <w:sz w:val="24"/>
          <w:szCs w:val="24"/>
        </w:rPr>
      </w:pPr>
      <w:r w:rsidRPr="00C140A0">
        <w:rPr>
          <w:rFonts w:ascii="Verdana" w:hAnsi="Verdana" w:cs="Arial"/>
          <w:b/>
          <w:bCs/>
          <w:sz w:val="24"/>
          <w:szCs w:val="24"/>
        </w:rPr>
        <w:t>Corredor de Vida del Cesar</w:t>
      </w:r>
    </w:p>
    <w:p w:rsidRPr="00C140A0" w:rsidR="009A4A31" w:rsidP="00D94015" w:rsidRDefault="009A4A31" w14:paraId="705B6353" w14:textId="77777777">
      <w:pPr>
        <w:spacing w:after="0" w:line="360" w:lineRule="auto"/>
        <w:jc w:val="both"/>
        <w:rPr>
          <w:rFonts w:ascii="Verdana" w:hAnsi="Verdana" w:cs="Arial"/>
          <w:sz w:val="24"/>
          <w:szCs w:val="24"/>
        </w:rPr>
      </w:pPr>
    </w:p>
    <w:p w:rsidRPr="00FD68F1" w:rsidR="009A4A31" w:rsidP="00FD68F1" w:rsidRDefault="009A4A31" w14:paraId="7CFE5764" w14:textId="77777777">
      <w:pPr>
        <w:pStyle w:val="Descripcin"/>
        <w:spacing w:after="0"/>
        <w:jc w:val="center"/>
        <w:rPr>
          <w:rFonts w:ascii="Verdana" w:hAnsi="Verdana"/>
          <w:i w:val="0"/>
          <w:iCs w:val="0"/>
          <w:color w:val="auto"/>
        </w:rPr>
      </w:pPr>
      <w:r w:rsidRPr="00FD68F1">
        <w:rPr>
          <w:rFonts w:ascii="Verdana" w:hAnsi="Verdana"/>
          <w:i w:val="0"/>
          <w:iCs w:val="0"/>
          <w:color w:val="auto"/>
        </w:rPr>
        <w:t>Tabla</w:t>
      </w:r>
      <w:r w:rsidR="00280F0A">
        <w:rPr>
          <w:rFonts w:ascii="Verdana" w:hAnsi="Verdana"/>
          <w:i w:val="0"/>
          <w:iCs w:val="0"/>
          <w:color w:val="auto"/>
        </w:rPr>
        <w:t xml:space="preserve"> No. 10</w:t>
      </w:r>
      <w:r w:rsidRPr="00FD68F1">
        <w:rPr>
          <w:rFonts w:ascii="Verdana" w:hAnsi="Verdana"/>
          <w:i w:val="0"/>
          <w:iCs w:val="0"/>
          <w:color w:val="auto"/>
        </w:rPr>
        <w:t>. Corredor de Vida del Cesar – PES 2024-2026</w:t>
      </w:r>
    </w:p>
    <w:tbl>
      <w:tblPr>
        <w:tblStyle w:val="Tablaconcuadrcula"/>
        <w:tblW w:w="0" w:type="auto"/>
        <w:tblLook w:val="04A0" w:firstRow="1" w:lastRow="0" w:firstColumn="1" w:lastColumn="0" w:noHBand="0" w:noVBand="1"/>
      </w:tblPr>
      <w:tblGrid>
        <w:gridCol w:w="2002"/>
        <w:gridCol w:w="1908"/>
        <w:gridCol w:w="1508"/>
        <w:gridCol w:w="949"/>
        <w:gridCol w:w="871"/>
        <w:gridCol w:w="1590"/>
      </w:tblGrid>
      <w:tr w:rsidRPr="00FD68F1" w:rsidR="00B6524B" w:rsidTr="30CF4445" w14:paraId="7E0C2274" w14:textId="77777777">
        <w:tc>
          <w:tcPr>
            <w:tcW w:w="2002" w:type="dxa"/>
            <w:shd w:val="clear" w:color="auto" w:fill="A6A6A6" w:themeFill="background1" w:themeFillShade="A6"/>
            <w:tcMar/>
            <w:vAlign w:val="center"/>
          </w:tcPr>
          <w:p w:rsidRPr="00FD68F1" w:rsidR="00B6524B" w:rsidP="0081023B" w:rsidRDefault="00B6524B" w14:paraId="446B9B6D" w14:textId="77777777">
            <w:pPr>
              <w:jc w:val="center"/>
              <w:rPr>
                <w:rFonts w:ascii="Verdana" w:hAnsi="Verdana" w:cs="Arial"/>
                <w:b/>
                <w:bCs/>
                <w:sz w:val="18"/>
                <w:szCs w:val="18"/>
              </w:rPr>
            </w:pPr>
            <w:r w:rsidRPr="00FD68F1">
              <w:rPr>
                <w:rFonts w:ascii="Verdana" w:hAnsi="Verdana" w:cs="Arial"/>
                <w:b/>
                <w:bCs/>
                <w:sz w:val="18"/>
                <w:szCs w:val="18"/>
              </w:rPr>
              <w:t>Indicador</w:t>
            </w:r>
          </w:p>
        </w:tc>
        <w:tc>
          <w:tcPr>
            <w:tcW w:w="1908" w:type="dxa"/>
            <w:shd w:val="clear" w:color="auto" w:fill="A6A6A6" w:themeFill="background1" w:themeFillShade="A6"/>
            <w:tcMar/>
            <w:vAlign w:val="center"/>
          </w:tcPr>
          <w:p w:rsidRPr="00FD68F1" w:rsidR="00B6524B" w:rsidP="0081023B" w:rsidRDefault="00B6524B" w14:paraId="6F36876D" w14:textId="1AB1229B">
            <w:pPr>
              <w:jc w:val="center"/>
              <w:rPr>
                <w:rFonts w:ascii="Verdana" w:hAnsi="Verdana" w:cs="Arial"/>
                <w:b w:val="1"/>
                <w:bCs w:val="1"/>
                <w:sz w:val="18"/>
                <w:szCs w:val="18"/>
              </w:rPr>
            </w:pPr>
            <w:r w:rsidRPr="30CF4445" w:rsidR="6064C214">
              <w:rPr>
                <w:rFonts w:ascii="Verdana" w:hAnsi="Verdana" w:cs="Arial"/>
                <w:b w:val="1"/>
                <w:bCs w:val="1"/>
                <w:sz w:val="18"/>
                <w:szCs w:val="18"/>
              </w:rPr>
              <w:t>F</w:t>
            </w:r>
            <w:r w:rsidRPr="30CF4445" w:rsidR="12879923">
              <w:rPr>
                <w:rFonts w:ascii="Verdana" w:hAnsi="Verdana" w:cs="Arial"/>
                <w:b w:val="1"/>
                <w:bCs w:val="1"/>
                <w:sz w:val="18"/>
                <w:szCs w:val="18"/>
              </w:rPr>
              <w:t>ó</w:t>
            </w:r>
            <w:r w:rsidRPr="30CF4445" w:rsidR="6064C214">
              <w:rPr>
                <w:rFonts w:ascii="Verdana" w:hAnsi="Verdana" w:cs="Arial"/>
                <w:b w:val="1"/>
                <w:bCs w:val="1"/>
                <w:sz w:val="18"/>
                <w:szCs w:val="18"/>
              </w:rPr>
              <w:t>rmula</w:t>
            </w:r>
          </w:p>
        </w:tc>
        <w:tc>
          <w:tcPr>
            <w:tcW w:w="1508" w:type="dxa"/>
            <w:shd w:val="clear" w:color="auto" w:fill="A6A6A6" w:themeFill="background1" w:themeFillShade="A6"/>
            <w:tcMar/>
            <w:vAlign w:val="center"/>
          </w:tcPr>
          <w:p w:rsidRPr="00FD68F1" w:rsidR="00B6524B" w:rsidP="0081023B" w:rsidRDefault="00B6524B" w14:paraId="19F650D8" w14:textId="77777777">
            <w:pPr>
              <w:jc w:val="center"/>
              <w:rPr>
                <w:rFonts w:ascii="Verdana" w:hAnsi="Verdana" w:cs="Arial"/>
                <w:b/>
                <w:bCs/>
                <w:sz w:val="18"/>
                <w:szCs w:val="18"/>
              </w:rPr>
            </w:pPr>
            <w:r w:rsidRPr="00FD68F1">
              <w:rPr>
                <w:rFonts w:ascii="Verdana" w:hAnsi="Verdana" w:cs="Arial"/>
                <w:b/>
                <w:bCs/>
                <w:sz w:val="18"/>
                <w:szCs w:val="18"/>
              </w:rPr>
              <w:t>Meta Cuatrienio</w:t>
            </w:r>
          </w:p>
        </w:tc>
        <w:tc>
          <w:tcPr>
            <w:tcW w:w="949" w:type="dxa"/>
            <w:shd w:val="clear" w:color="auto" w:fill="A6A6A6" w:themeFill="background1" w:themeFillShade="A6"/>
            <w:tcMar/>
            <w:vAlign w:val="center"/>
          </w:tcPr>
          <w:p w:rsidRPr="00FD68F1" w:rsidR="00B6524B" w:rsidP="0081023B" w:rsidRDefault="00B6524B" w14:paraId="198825D8" w14:textId="77777777">
            <w:pPr>
              <w:jc w:val="center"/>
              <w:rPr>
                <w:rFonts w:ascii="Verdana" w:hAnsi="Verdana" w:cs="Arial"/>
                <w:b/>
                <w:bCs/>
                <w:sz w:val="18"/>
                <w:szCs w:val="18"/>
              </w:rPr>
            </w:pPr>
            <w:r w:rsidRPr="00FD68F1">
              <w:rPr>
                <w:rFonts w:ascii="Verdana" w:hAnsi="Verdana" w:cs="Arial"/>
                <w:b/>
                <w:bCs/>
                <w:sz w:val="18"/>
                <w:szCs w:val="18"/>
              </w:rPr>
              <w:t>Meta 2024</w:t>
            </w:r>
          </w:p>
        </w:tc>
        <w:tc>
          <w:tcPr>
            <w:tcW w:w="871" w:type="dxa"/>
            <w:shd w:val="clear" w:color="auto" w:fill="A6A6A6" w:themeFill="background1" w:themeFillShade="A6"/>
            <w:tcMar/>
            <w:vAlign w:val="center"/>
          </w:tcPr>
          <w:p w:rsidRPr="00FD68F1" w:rsidR="00B6524B" w:rsidP="0081023B" w:rsidRDefault="00B6524B" w14:paraId="17208BDD" w14:textId="77777777">
            <w:pPr>
              <w:jc w:val="center"/>
              <w:rPr>
                <w:rFonts w:ascii="Verdana" w:hAnsi="Verdana" w:cs="Arial"/>
                <w:b/>
                <w:bCs/>
                <w:sz w:val="18"/>
                <w:szCs w:val="18"/>
              </w:rPr>
            </w:pPr>
            <w:r w:rsidRPr="00FD68F1">
              <w:rPr>
                <w:rFonts w:ascii="Verdana" w:hAnsi="Verdana" w:cs="Arial"/>
                <w:b/>
                <w:bCs/>
                <w:sz w:val="18"/>
                <w:szCs w:val="18"/>
              </w:rPr>
              <w:t>Meta 2025</w:t>
            </w:r>
          </w:p>
        </w:tc>
        <w:tc>
          <w:tcPr>
            <w:tcW w:w="1590" w:type="dxa"/>
            <w:shd w:val="clear" w:color="auto" w:fill="A6A6A6" w:themeFill="background1" w:themeFillShade="A6"/>
            <w:tcMar/>
            <w:vAlign w:val="center"/>
          </w:tcPr>
          <w:p w:rsidRPr="00FD68F1" w:rsidR="00B6524B" w:rsidP="0081023B" w:rsidRDefault="00B6524B" w14:paraId="56A26032" w14:textId="77777777">
            <w:pPr>
              <w:jc w:val="center"/>
              <w:rPr>
                <w:rFonts w:ascii="Verdana" w:hAnsi="Verdana" w:cs="Arial"/>
                <w:b/>
                <w:bCs/>
                <w:sz w:val="18"/>
                <w:szCs w:val="18"/>
              </w:rPr>
            </w:pPr>
            <w:r w:rsidRPr="00FD68F1">
              <w:rPr>
                <w:rFonts w:ascii="Verdana" w:hAnsi="Verdana" w:cs="Arial"/>
                <w:b/>
                <w:bCs/>
                <w:sz w:val="18"/>
                <w:szCs w:val="18"/>
              </w:rPr>
              <w:t>Avance Acumulado</w:t>
            </w:r>
          </w:p>
          <w:p w:rsidRPr="00FD68F1" w:rsidR="00B6524B" w:rsidP="0081023B" w:rsidRDefault="00B6524B" w14:paraId="2E513FDF" w14:textId="77777777">
            <w:pPr>
              <w:jc w:val="center"/>
              <w:rPr>
                <w:rFonts w:ascii="Verdana" w:hAnsi="Verdana" w:cs="Arial"/>
                <w:b/>
                <w:bCs/>
                <w:sz w:val="18"/>
                <w:szCs w:val="18"/>
              </w:rPr>
            </w:pPr>
            <w:r w:rsidRPr="00FD68F1">
              <w:rPr>
                <w:rFonts w:ascii="Verdana" w:hAnsi="Verdana" w:cs="Arial"/>
                <w:b/>
                <w:bCs/>
                <w:sz w:val="18"/>
                <w:szCs w:val="18"/>
              </w:rPr>
              <w:t>1° TRIM 2026</w:t>
            </w:r>
          </w:p>
        </w:tc>
      </w:tr>
      <w:tr w:rsidRPr="00FD68F1" w:rsidR="00B6524B" w:rsidTr="30CF4445" w14:paraId="2AE60588" w14:textId="77777777">
        <w:tc>
          <w:tcPr>
            <w:tcW w:w="2002" w:type="dxa"/>
            <w:tcMar/>
            <w:vAlign w:val="center"/>
          </w:tcPr>
          <w:p w:rsidRPr="00FD68F1" w:rsidR="00B6524B" w:rsidP="00FD68F1" w:rsidRDefault="00B6524B" w14:paraId="3292B12E" w14:textId="77777777">
            <w:pPr>
              <w:rPr>
                <w:rFonts w:ascii="Verdana" w:hAnsi="Verdana" w:cs="Arial"/>
                <w:sz w:val="18"/>
                <w:szCs w:val="18"/>
              </w:rPr>
            </w:pPr>
            <w:r w:rsidRPr="00FD68F1">
              <w:rPr>
                <w:rFonts w:ascii="Verdana" w:hAnsi="Verdana" w:cs="Arial"/>
                <w:sz w:val="18"/>
                <w:szCs w:val="18"/>
              </w:rPr>
              <w:t>Implementación y/o atracción de proyectos ancla de diversificación productiva.</w:t>
            </w:r>
          </w:p>
        </w:tc>
        <w:tc>
          <w:tcPr>
            <w:tcW w:w="1908" w:type="dxa"/>
            <w:tcMar/>
            <w:vAlign w:val="center"/>
          </w:tcPr>
          <w:p w:rsidRPr="00FD68F1" w:rsidR="00B6524B" w:rsidP="00FD68F1" w:rsidRDefault="00B6524B" w14:paraId="40A4010F" w14:textId="77777777">
            <w:pPr>
              <w:rPr>
                <w:rFonts w:ascii="Verdana" w:hAnsi="Verdana" w:cs="Arial"/>
                <w:sz w:val="18"/>
                <w:szCs w:val="18"/>
              </w:rPr>
            </w:pPr>
            <w:r w:rsidRPr="00FD68F1">
              <w:rPr>
                <w:rFonts w:ascii="Verdana" w:hAnsi="Verdana" w:cs="Arial"/>
                <w:sz w:val="18"/>
                <w:szCs w:val="18"/>
              </w:rPr>
              <w:t>Número de proyectos ancla de diversificación productiva implementados</w:t>
            </w:r>
          </w:p>
        </w:tc>
        <w:tc>
          <w:tcPr>
            <w:tcW w:w="1508" w:type="dxa"/>
            <w:tcMar/>
            <w:vAlign w:val="center"/>
          </w:tcPr>
          <w:p w:rsidRPr="00FD68F1" w:rsidR="00B6524B" w:rsidP="00FD68F1" w:rsidRDefault="00B6524B" w14:paraId="6EC983FF" w14:textId="77777777">
            <w:pPr>
              <w:rPr>
                <w:rFonts w:ascii="Verdana" w:hAnsi="Verdana" w:cs="Arial"/>
                <w:sz w:val="18"/>
                <w:szCs w:val="18"/>
              </w:rPr>
            </w:pPr>
            <w:r w:rsidRPr="00FD68F1">
              <w:rPr>
                <w:rFonts w:ascii="Verdana" w:hAnsi="Verdana" w:cs="Arial"/>
                <w:sz w:val="18"/>
                <w:szCs w:val="18"/>
              </w:rPr>
              <w:t>15</w:t>
            </w:r>
          </w:p>
        </w:tc>
        <w:tc>
          <w:tcPr>
            <w:tcW w:w="949" w:type="dxa"/>
            <w:tcMar/>
            <w:vAlign w:val="center"/>
          </w:tcPr>
          <w:p w:rsidRPr="00FD68F1" w:rsidR="00B6524B" w:rsidP="00FD68F1" w:rsidRDefault="00B6524B" w14:paraId="43D9CEE3" w14:textId="77777777">
            <w:pPr>
              <w:rPr>
                <w:rFonts w:ascii="Verdana" w:hAnsi="Verdana" w:cs="Arial"/>
                <w:sz w:val="18"/>
                <w:szCs w:val="18"/>
              </w:rPr>
            </w:pPr>
            <w:r w:rsidRPr="00FD68F1">
              <w:rPr>
                <w:rFonts w:ascii="Verdana" w:hAnsi="Verdana" w:cs="Arial"/>
                <w:sz w:val="18"/>
                <w:szCs w:val="18"/>
              </w:rPr>
              <w:t>5</w:t>
            </w:r>
          </w:p>
        </w:tc>
        <w:tc>
          <w:tcPr>
            <w:tcW w:w="871" w:type="dxa"/>
            <w:tcMar/>
            <w:vAlign w:val="center"/>
          </w:tcPr>
          <w:p w:rsidRPr="00FD68F1" w:rsidR="00B6524B" w:rsidP="00FD68F1" w:rsidRDefault="00B6524B" w14:paraId="15E2C10B" w14:textId="77777777">
            <w:pPr>
              <w:rPr>
                <w:rFonts w:ascii="Verdana" w:hAnsi="Verdana" w:cs="Arial"/>
                <w:sz w:val="18"/>
                <w:szCs w:val="18"/>
              </w:rPr>
            </w:pPr>
            <w:r w:rsidRPr="00FD68F1">
              <w:rPr>
                <w:rFonts w:ascii="Verdana" w:hAnsi="Verdana" w:cs="Arial"/>
                <w:sz w:val="18"/>
                <w:szCs w:val="18"/>
              </w:rPr>
              <w:t>10</w:t>
            </w:r>
          </w:p>
        </w:tc>
        <w:tc>
          <w:tcPr>
            <w:tcW w:w="1590" w:type="dxa"/>
            <w:tcMar/>
            <w:vAlign w:val="center"/>
          </w:tcPr>
          <w:p w:rsidRPr="00FD68F1" w:rsidR="00B6524B" w:rsidP="00FD68F1" w:rsidRDefault="00B6524B" w14:paraId="37149006" w14:textId="77777777">
            <w:pPr>
              <w:rPr>
                <w:rFonts w:ascii="Verdana" w:hAnsi="Verdana" w:cs="Arial"/>
                <w:sz w:val="18"/>
                <w:szCs w:val="18"/>
              </w:rPr>
            </w:pPr>
            <w:r w:rsidRPr="00FD68F1">
              <w:rPr>
                <w:rFonts w:ascii="Verdana" w:hAnsi="Verdana" w:cs="Arial"/>
                <w:sz w:val="18"/>
                <w:szCs w:val="18"/>
              </w:rPr>
              <w:t>0</w:t>
            </w:r>
          </w:p>
        </w:tc>
      </w:tr>
    </w:tbl>
    <w:p w:rsidRPr="00FD68F1" w:rsidR="000F0C72" w:rsidP="00FD68F1" w:rsidRDefault="1E73907A" w14:paraId="556EF398" w14:textId="77777777">
      <w:pPr>
        <w:spacing w:after="0" w:line="240" w:lineRule="auto"/>
        <w:jc w:val="center"/>
        <w:rPr>
          <w:rFonts w:ascii="Verdana" w:hAnsi="Verdana" w:cs="Arial"/>
          <w:sz w:val="18"/>
          <w:szCs w:val="18"/>
        </w:rPr>
      </w:pPr>
      <w:r w:rsidRPr="180099B3">
        <w:rPr>
          <w:rFonts w:ascii="Verdana" w:hAnsi="Verdana" w:cs="Arial"/>
          <w:sz w:val="18"/>
          <w:szCs w:val="18"/>
        </w:rPr>
        <w:t xml:space="preserve">Fuente: Elaboración propia </w:t>
      </w:r>
      <w:r w:rsidRPr="180099B3" w:rsidR="2EC5B7F5">
        <w:rPr>
          <w:rFonts w:ascii="Verdana" w:hAnsi="Verdana" w:cs="Arial"/>
          <w:sz w:val="18"/>
          <w:szCs w:val="18"/>
        </w:rPr>
        <w:t xml:space="preserve">OPGI - </w:t>
      </w:r>
      <w:r w:rsidRPr="180099B3">
        <w:rPr>
          <w:rFonts w:ascii="Verdana" w:hAnsi="Verdana" w:cs="Arial"/>
          <w:sz w:val="18"/>
          <w:szCs w:val="18"/>
        </w:rPr>
        <w:t>MME, 31 de marzo 2026.</w:t>
      </w:r>
    </w:p>
    <w:p w:rsidRPr="00C140A0" w:rsidR="000F0C72" w:rsidP="00D94015" w:rsidRDefault="000F0C72" w14:paraId="1C83E91C" w14:textId="77777777">
      <w:pPr>
        <w:spacing w:after="0" w:line="360" w:lineRule="auto"/>
        <w:jc w:val="center"/>
        <w:rPr>
          <w:rFonts w:ascii="Verdana" w:hAnsi="Verdana" w:cs="Arial"/>
        </w:rPr>
      </w:pPr>
    </w:p>
    <w:p w:rsidRPr="00C140A0" w:rsidR="008A79CB" w:rsidP="00D94015" w:rsidRDefault="008A79CB" w14:paraId="0B929750" w14:textId="77777777">
      <w:pPr>
        <w:spacing w:after="0" w:line="360" w:lineRule="auto"/>
        <w:jc w:val="both"/>
        <w:rPr>
          <w:rFonts w:ascii="Verdana" w:hAnsi="Verdana" w:cs="Arial"/>
          <w:sz w:val="24"/>
          <w:szCs w:val="24"/>
        </w:rPr>
      </w:pPr>
      <w:r w:rsidRPr="00C140A0">
        <w:rPr>
          <w:rFonts w:ascii="Verdana" w:hAnsi="Verdana" w:cs="Arial"/>
          <w:sz w:val="24"/>
          <w:szCs w:val="24"/>
        </w:rPr>
        <w:t xml:space="preserve">Frente a los principales logros realizados durante este periodo de tiempo, se contemplan los siguientes: </w:t>
      </w:r>
    </w:p>
    <w:p w:rsidRPr="00C140A0" w:rsidR="008A79CB" w:rsidRDefault="008A79CB" w14:paraId="11C39E20" w14:textId="77777777">
      <w:pPr>
        <w:pStyle w:val="Prrafodelista"/>
        <w:numPr>
          <w:ilvl w:val="0"/>
          <w:numId w:val="63"/>
        </w:numPr>
        <w:suppressAutoHyphens/>
        <w:spacing w:after="0" w:line="360" w:lineRule="auto"/>
        <w:ind w:hanging="436"/>
        <w:jc w:val="both"/>
        <w:rPr>
          <w:rFonts w:ascii="Verdana" w:hAnsi="Verdana" w:cs="Arial"/>
          <w:sz w:val="24"/>
          <w:szCs w:val="24"/>
        </w:rPr>
      </w:pPr>
      <w:r w:rsidRPr="00C140A0">
        <w:rPr>
          <w:rFonts w:ascii="Verdana" w:hAnsi="Verdana" w:cs="Arial"/>
          <w:sz w:val="24"/>
          <w:szCs w:val="24"/>
        </w:rPr>
        <w:t xml:space="preserve">Se adelantó la articulación con el DNP y el Ministerio del Trabajo, con el propósito de reactivar el Pacto Cesar–La Guajira, incluyendo los cinco municipios del Corredor de Vida del Cesar. Este pacto </w:t>
      </w:r>
      <w:r w:rsidRPr="00C140A0">
        <w:rPr>
          <w:rFonts w:ascii="Verdana" w:hAnsi="Verdana" w:cs="Arial"/>
          <w:sz w:val="24"/>
          <w:szCs w:val="24"/>
        </w:rPr>
        <w:t>busca integrar políticas, planes y programas entre la Nación, los departamentos de Cesar y La Guajira y sus municipios, con el fin de potenciar el desarrollo territorial, contribuir a la superación de la pobreza, fortalecer las capacidades institucionales de las entidades territoriales y promover el desarrollo socioeconómico de las comunidades.</w:t>
      </w:r>
    </w:p>
    <w:p w:rsidRPr="00C140A0" w:rsidR="008A79CB" w:rsidRDefault="008A79CB" w14:paraId="1895DEBC" w14:textId="77777777">
      <w:pPr>
        <w:pStyle w:val="Prrafodelista"/>
        <w:numPr>
          <w:ilvl w:val="0"/>
          <w:numId w:val="63"/>
        </w:numPr>
        <w:suppressAutoHyphens/>
        <w:spacing w:after="0" w:line="360" w:lineRule="auto"/>
        <w:jc w:val="both"/>
        <w:rPr>
          <w:rFonts w:ascii="Verdana" w:hAnsi="Verdana" w:cs="Arial"/>
          <w:sz w:val="24"/>
          <w:szCs w:val="24"/>
        </w:rPr>
      </w:pPr>
      <w:commentRangeStart w:id="222813513"/>
      <w:r w:rsidRPr="30CF4445" w:rsidR="7B9D6C54">
        <w:rPr>
          <w:rFonts w:ascii="Verdana" w:hAnsi="Verdana" w:cs="Arial"/>
          <w:sz w:val="24"/>
          <w:szCs w:val="24"/>
        </w:rPr>
        <w:t>En este marco, se llevó a cabo una mesa de trabajo en la ciudad de Valledupar los días 9 y 10 de abril,</w:t>
      </w:r>
      <w:commentRangeEnd w:id="222813513"/>
      <w:r>
        <w:rPr>
          <w:rStyle w:val="CommentReference"/>
        </w:rPr>
        <w:commentReference w:id="222813513"/>
      </w:r>
      <w:r w:rsidRPr="30CF4445" w:rsidR="7B9D6C54">
        <w:rPr>
          <w:rFonts w:ascii="Verdana" w:hAnsi="Verdana" w:cs="Arial"/>
          <w:sz w:val="24"/>
          <w:szCs w:val="24"/>
        </w:rPr>
        <w:t xml:space="preserve"> con la participación de las cinco alcaldías de La Jagua de Ibirico, Agustín Codazzi, El Paso, Chiriguaná y Becerril, así como de DME, OAS, GGC del MME y el Ministerio del Trabajo. Durante la jornada, se identificaron 48 proyectos en distintas líneas estratégicas, entre ellas: fortalecimiento institucional (institucionalidad y gobernanza); infraestructura y progreso (transporte, vivienda y servicios públicos–energías renovables, salud y educación); desarrollo económico, ambiental, social y cultural (agricultura y desarrollo rural, comercio y desarrollo económico, ambiente y desarrollo sostenible, cultura, turismo y deporte); y seguridad y convivencia (infraestructura para la seguridad ciudadana). Desde el MME se tiene previsto apoyar técnicamente 4 proyectos de encadenamientos productivos para los municipios anteriormente descritos.</w:t>
      </w:r>
    </w:p>
    <w:p w:rsidR="008A79CB" w:rsidRDefault="008A79CB" w14:paraId="488E931C" w14:textId="77777777">
      <w:pPr>
        <w:pStyle w:val="Prrafodelista"/>
        <w:numPr>
          <w:ilvl w:val="0"/>
          <w:numId w:val="63"/>
        </w:numPr>
        <w:suppressAutoHyphens/>
        <w:spacing w:after="0" w:line="360" w:lineRule="auto"/>
        <w:jc w:val="both"/>
        <w:rPr>
          <w:rFonts w:ascii="Verdana" w:hAnsi="Verdana" w:cs="Arial"/>
          <w:sz w:val="24"/>
          <w:szCs w:val="24"/>
        </w:rPr>
      </w:pPr>
      <w:r w:rsidRPr="00C140A0">
        <w:rPr>
          <w:rFonts w:ascii="Verdana" w:hAnsi="Verdana" w:cs="Arial"/>
          <w:sz w:val="24"/>
          <w:szCs w:val="24"/>
        </w:rPr>
        <w:t>Los 48 proyectos identificados serán sometidos a un proceso de validación para su posterior inclusión en el banco de proyectos.</w:t>
      </w:r>
    </w:p>
    <w:p w:rsidRPr="00C140A0" w:rsidR="00FD68F1" w:rsidP="00D94015" w:rsidRDefault="00FD68F1" w14:paraId="20AE7795" w14:textId="77777777">
      <w:pPr>
        <w:pStyle w:val="Prrafodelista"/>
        <w:suppressAutoHyphens/>
        <w:spacing w:after="0" w:line="360" w:lineRule="auto"/>
        <w:jc w:val="both"/>
        <w:rPr>
          <w:rFonts w:ascii="Verdana" w:hAnsi="Verdana" w:cs="Arial"/>
          <w:sz w:val="24"/>
          <w:szCs w:val="24"/>
        </w:rPr>
      </w:pPr>
    </w:p>
    <w:p w:rsidRPr="00FD68F1" w:rsidR="008A79CB" w:rsidP="00D94015" w:rsidRDefault="008A79CB" w14:paraId="602E63DF" w14:textId="77777777">
      <w:pPr>
        <w:spacing w:after="0" w:line="360" w:lineRule="auto"/>
        <w:rPr>
          <w:rFonts w:ascii="Verdana" w:hAnsi="Verdana" w:cs="Arial"/>
          <w:b/>
          <w:bCs/>
          <w:sz w:val="24"/>
          <w:szCs w:val="24"/>
        </w:rPr>
      </w:pPr>
      <w:r w:rsidRPr="00FD68F1">
        <w:rPr>
          <w:rFonts w:ascii="Verdana" w:hAnsi="Verdana" w:cs="Arial"/>
          <w:b/>
          <w:bCs/>
          <w:sz w:val="24"/>
          <w:szCs w:val="24"/>
        </w:rPr>
        <w:t>Minerales Estratégicos</w:t>
      </w:r>
    </w:p>
    <w:p w:rsidRPr="00FD68F1" w:rsidR="008A79CB" w:rsidP="000E5546" w:rsidRDefault="008A79CB" w14:paraId="6EBA4C8F" w14:textId="77777777">
      <w:pPr>
        <w:spacing w:after="0" w:line="240" w:lineRule="auto"/>
        <w:rPr>
          <w:rFonts w:ascii="Verdana" w:hAnsi="Verdana" w:cs="Arial"/>
          <w:b/>
          <w:bCs/>
          <w:sz w:val="18"/>
          <w:szCs w:val="18"/>
        </w:rPr>
      </w:pPr>
    </w:p>
    <w:p w:rsidR="008A79CB" w:rsidP="000E5546" w:rsidRDefault="008A79CB" w14:paraId="7C17EF06" w14:textId="77777777">
      <w:pPr>
        <w:pStyle w:val="Descripcin"/>
        <w:spacing w:after="0"/>
        <w:jc w:val="center"/>
        <w:rPr>
          <w:rFonts w:ascii="Verdana" w:hAnsi="Verdana"/>
          <w:i w:val="0"/>
          <w:iCs w:val="0"/>
          <w:color w:val="auto"/>
        </w:rPr>
      </w:pPr>
      <w:r w:rsidRPr="00FD68F1">
        <w:rPr>
          <w:rFonts w:ascii="Verdana" w:hAnsi="Verdana"/>
          <w:i w:val="0"/>
          <w:iCs w:val="0"/>
          <w:color w:val="auto"/>
        </w:rPr>
        <w:t xml:space="preserve">Tabla </w:t>
      </w:r>
      <w:r w:rsidR="00280F0A">
        <w:rPr>
          <w:rFonts w:ascii="Verdana" w:hAnsi="Verdana"/>
          <w:i w:val="0"/>
          <w:iCs w:val="0"/>
          <w:color w:val="auto"/>
        </w:rPr>
        <w:t>No. 11</w:t>
      </w:r>
      <w:r w:rsidRPr="00FD68F1">
        <w:rPr>
          <w:rFonts w:ascii="Verdana" w:hAnsi="Verdana"/>
          <w:i w:val="0"/>
          <w:iCs w:val="0"/>
          <w:color w:val="auto"/>
        </w:rPr>
        <w:t>. Minerales Estratégicos – PES 2024-2026</w:t>
      </w:r>
    </w:p>
    <w:tbl>
      <w:tblPr>
        <w:tblStyle w:val="Tablaconcuadrcula"/>
        <w:tblW w:w="0" w:type="auto"/>
        <w:tblLook w:val="04A0" w:firstRow="1" w:lastRow="0" w:firstColumn="1" w:lastColumn="0" w:noHBand="0" w:noVBand="1"/>
      </w:tblPr>
      <w:tblGrid>
        <w:gridCol w:w="1907"/>
        <w:gridCol w:w="1812"/>
        <w:gridCol w:w="1534"/>
        <w:gridCol w:w="1073"/>
        <w:gridCol w:w="912"/>
        <w:gridCol w:w="1590"/>
      </w:tblGrid>
      <w:tr w:rsidRPr="00FD68F1" w:rsidR="00D47256" w:rsidTr="30CF4445" w14:paraId="744A775D" w14:textId="77777777">
        <w:tc>
          <w:tcPr>
            <w:tcW w:w="1907" w:type="dxa"/>
            <w:shd w:val="clear" w:color="auto" w:fill="A6A6A6" w:themeFill="background1" w:themeFillShade="A6"/>
            <w:tcMar/>
            <w:vAlign w:val="center"/>
          </w:tcPr>
          <w:p w:rsidRPr="00FD68F1" w:rsidR="00D47256" w:rsidP="00280F0A" w:rsidRDefault="00D47256" w14:paraId="3D39BABB" w14:textId="77777777">
            <w:pPr>
              <w:jc w:val="center"/>
              <w:rPr>
                <w:rFonts w:ascii="Verdana" w:hAnsi="Verdana" w:cs="Arial"/>
                <w:b/>
                <w:bCs/>
                <w:sz w:val="18"/>
                <w:szCs w:val="18"/>
              </w:rPr>
            </w:pPr>
            <w:r w:rsidRPr="00FD68F1">
              <w:rPr>
                <w:rFonts w:ascii="Verdana" w:hAnsi="Verdana" w:cs="Arial"/>
                <w:b/>
                <w:bCs/>
                <w:sz w:val="18"/>
                <w:szCs w:val="18"/>
              </w:rPr>
              <w:t>Indicador</w:t>
            </w:r>
          </w:p>
        </w:tc>
        <w:tc>
          <w:tcPr>
            <w:tcW w:w="1812" w:type="dxa"/>
            <w:shd w:val="clear" w:color="auto" w:fill="A6A6A6" w:themeFill="background1" w:themeFillShade="A6"/>
            <w:tcMar/>
            <w:vAlign w:val="center"/>
          </w:tcPr>
          <w:p w:rsidRPr="00FD68F1" w:rsidR="00D47256" w:rsidP="00280F0A" w:rsidRDefault="00D47256" w14:paraId="6ABD7405" w14:textId="32075D3D">
            <w:pPr>
              <w:jc w:val="center"/>
              <w:rPr>
                <w:rFonts w:ascii="Verdana" w:hAnsi="Verdana" w:cs="Arial"/>
                <w:b w:val="1"/>
                <w:bCs w:val="1"/>
                <w:sz w:val="18"/>
                <w:szCs w:val="18"/>
              </w:rPr>
            </w:pPr>
            <w:r w:rsidRPr="30CF4445" w:rsidR="26C4E117">
              <w:rPr>
                <w:rFonts w:ascii="Verdana" w:hAnsi="Verdana" w:cs="Arial"/>
                <w:b w:val="1"/>
                <w:bCs w:val="1"/>
                <w:sz w:val="18"/>
                <w:szCs w:val="18"/>
              </w:rPr>
              <w:t>F</w:t>
            </w:r>
            <w:r w:rsidRPr="30CF4445" w:rsidR="1B693CA3">
              <w:rPr>
                <w:rFonts w:ascii="Verdana" w:hAnsi="Verdana" w:cs="Arial"/>
                <w:b w:val="1"/>
                <w:bCs w:val="1"/>
                <w:sz w:val="18"/>
                <w:szCs w:val="18"/>
              </w:rPr>
              <w:t>ó</w:t>
            </w:r>
            <w:r w:rsidRPr="30CF4445" w:rsidR="26C4E117">
              <w:rPr>
                <w:rFonts w:ascii="Verdana" w:hAnsi="Verdana" w:cs="Arial"/>
                <w:b w:val="1"/>
                <w:bCs w:val="1"/>
                <w:sz w:val="18"/>
                <w:szCs w:val="18"/>
              </w:rPr>
              <w:t>rmula</w:t>
            </w:r>
          </w:p>
        </w:tc>
        <w:tc>
          <w:tcPr>
            <w:tcW w:w="1534" w:type="dxa"/>
            <w:shd w:val="clear" w:color="auto" w:fill="A6A6A6" w:themeFill="background1" w:themeFillShade="A6"/>
            <w:tcMar/>
            <w:vAlign w:val="center"/>
          </w:tcPr>
          <w:p w:rsidRPr="00FD68F1" w:rsidR="00D47256" w:rsidP="00280F0A" w:rsidRDefault="00D47256" w14:paraId="0118C6BA" w14:textId="77777777">
            <w:pPr>
              <w:jc w:val="center"/>
              <w:rPr>
                <w:rFonts w:ascii="Verdana" w:hAnsi="Verdana" w:cs="Arial"/>
                <w:b/>
                <w:bCs/>
                <w:sz w:val="18"/>
                <w:szCs w:val="18"/>
              </w:rPr>
            </w:pPr>
            <w:r w:rsidRPr="00FD68F1">
              <w:rPr>
                <w:rFonts w:ascii="Verdana" w:hAnsi="Verdana" w:cs="Arial"/>
                <w:b/>
                <w:bCs/>
                <w:sz w:val="18"/>
                <w:szCs w:val="18"/>
              </w:rPr>
              <w:t>Meta Cuatrienio</w:t>
            </w:r>
          </w:p>
        </w:tc>
        <w:tc>
          <w:tcPr>
            <w:tcW w:w="1073" w:type="dxa"/>
            <w:shd w:val="clear" w:color="auto" w:fill="A6A6A6" w:themeFill="background1" w:themeFillShade="A6"/>
            <w:tcMar/>
            <w:vAlign w:val="center"/>
          </w:tcPr>
          <w:p w:rsidRPr="00FD68F1" w:rsidR="00D47256" w:rsidP="00280F0A" w:rsidRDefault="00D47256" w14:paraId="2E8C780E" w14:textId="77777777">
            <w:pPr>
              <w:jc w:val="center"/>
              <w:rPr>
                <w:rFonts w:ascii="Verdana" w:hAnsi="Verdana" w:cs="Arial"/>
                <w:b/>
                <w:bCs/>
                <w:sz w:val="18"/>
                <w:szCs w:val="18"/>
              </w:rPr>
            </w:pPr>
            <w:r w:rsidRPr="00FD68F1">
              <w:rPr>
                <w:rFonts w:ascii="Verdana" w:hAnsi="Verdana" w:cs="Arial"/>
                <w:b/>
                <w:bCs/>
                <w:sz w:val="18"/>
                <w:szCs w:val="18"/>
              </w:rPr>
              <w:t>Meta 2024</w:t>
            </w:r>
          </w:p>
        </w:tc>
        <w:tc>
          <w:tcPr>
            <w:tcW w:w="912" w:type="dxa"/>
            <w:shd w:val="clear" w:color="auto" w:fill="A6A6A6" w:themeFill="background1" w:themeFillShade="A6"/>
            <w:tcMar/>
            <w:vAlign w:val="center"/>
          </w:tcPr>
          <w:p w:rsidRPr="00FD68F1" w:rsidR="00D47256" w:rsidP="00280F0A" w:rsidRDefault="00D47256" w14:paraId="5DE68A8D" w14:textId="77777777">
            <w:pPr>
              <w:jc w:val="center"/>
              <w:rPr>
                <w:rFonts w:ascii="Verdana" w:hAnsi="Verdana" w:cs="Arial"/>
                <w:b/>
                <w:bCs/>
                <w:sz w:val="18"/>
                <w:szCs w:val="18"/>
              </w:rPr>
            </w:pPr>
            <w:r w:rsidRPr="00FD68F1">
              <w:rPr>
                <w:rFonts w:ascii="Verdana" w:hAnsi="Verdana" w:cs="Arial"/>
                <w:b/>
                <w:bCs/>
                <w:sz w:val="18"/>
                <w:szCs w:val="18"/>
              </w:rPr>
              <w:t>Meta 2025</w:t>
            </w:r>
          </w:p>
        </w:tc>
        <w:tc>
          <w:tcPr>
            <w:tcW w:w="1590" w:type="dxa"/>
            <w:shd w:val="clear" w:color="auto" w:fill="A6A6A6" w:themeFill="background1" w:themeFillShade="A6"/>
            <w:tcMar/>
            <w:vAlign w:val="center"/>
          </w:tcPr>
          <w:p w:rsidRPr="00FD68F1" w:rsidR="00D47256" w:rsidP="00280F0A" w:rsidRDefault="00D47256" w14:paraId="705E23EA" w14:textId="77777777">
            <w:pPr>
              <w:jc w:val="center"/>
              <w:rPr>
                <w:rFonts w:ascii="Verdana" w:hAnsi="Verdana" w:cs="Arial"/>
                <w:b/>
                <w:bCs/>
                <w:sz w:val="18"/>
                <w:szCs w:val="18"/>
              </w:rPr>
            </w:pPr>
            <w:r w:rsidRPr="00FD68F1">
              <w:rPr>
                <w:rFonts w:ascii="Verdana" w:hAnsi="Verdana" w:cs="Arial"/>
                <w:b/>
                <w:bCs/>
                <w:sz w:val="18"/>
                <w:szCs w:val="18"/>
              </w:rPr>
              <w:t>Avance Acumulado</w:t>
            </w:r>
          </w:p>
          <w:p w:rsidRPr="00FD68F1" w:rsidR="00D47256" w:rsidP="00280F0A" w:rsidRDefault="00D47256" w14:paraId="6694C4B0" w14:textId="77777777">
            <w:pPr>
              <w:jc w:val="center"/>
              <w:rPr>
                <w:rFonts w:ascii="Verdana" w:hAnsi="Verdana" w:cs="Arial"/>
                <w:b/>
                <w:bCs/>
                <w:sz w:val="18"/>
                <w:szCs w:val="18"/>
              </w:rPr>
            </w:pPr>
            <w:r w:rsidRPr="00FD68F1">
              <w:rPr>
                <w:rFonts w:ascii="Verdana" w:hAnsi="Verdana" w:cs="Arial"/>
                <w:b/>
                <w:bCs/>
                <w:sz w:val="18"/>
                <w:szCs w:val="18"/>
              </w:rPr>
              <w:t>1° TRIM 2026</w:t>
            </w:r>
          </w:p>
        </w:tc>
      </w:tr>
      <w:tr w:rsidRPr="00FD68F1" w:rsidR="00D47256" w:rsidTr="30CF4445" w14:paraId="370E93B3" w14:textId="77777777">
        <w:tc>
          <w:tcPr>
            <w:tcW w:w="1907" w:type="dxa"/>
            <w:tcMar/>
            <w:vAlign w:val="center"/>
          </w:tcPr>
          <w:p w:rsidRPr="00FD68F1" w:rsidR="00D47256" w:rsidP="000E5546" w:rsidRDefault="00D47256" w14:paraId="67D22C69" w14:textId="77777777">
            <w:pPr>
              <w:rPr>
                <w:rFonts w:ascii="Verdana" w:hAnsi="Verdana" w:cs="Arial"/>
                <w:sz w:val="18"/>
                <w:szCs w:val="18"/>
              </w:rPr>
            </w:pPr>
            <w:r w:rsidRPr="00FD68F1">
              <w:rPr>
                <w:rFonts w:ascii="Verdana" w:hAnsi="Verdana" w:cs="Arial"/>
                <w:sz w:val="18"/>
                <w:szCs w:val="18"/>
              </w:rPr>
              <w:t>Cadenas de valor de minerales estratégicos implementadas</w:t>
            </w:r>
          </w:p>
        </w:tc>
        <w:tc>
          <w:tcPr>
            <w:tcW w:w="1812" w:type="dxa"/>
            <w:tcMar/>
            <w:vAlign w:val="center"/>
          </w:tcPr>
          <w:p w:rsidRPr="00FD68F1" w:rsidR="00D47256" w:rsidP="000E5546" w:rsidRDefault="00D47256" w14:paraId="04FE9B47" w14:textId="77777777">
            <w:pPr>
              <w:rPr>
                <w:rFonts w:ascii="Verdana" w:hAnsi="Verdana" w:cs="Arial"/>
                <w:sz w:val="18"/>
                <w:szCs w:val="18"/>
              </w:rPr>
            </w:pPr>
            <w:r w:rsidRPr="00FD68F1">
              <w:rPr>
                <w:rFonts w:ascii="Verdana" w:hAnsi="Verdana" w:cs="Arial"/>
                <w:sz w:val="18"/>
                <w:szCs w:val="18"/>
              </w:rPr>
              <w:t>Número de cadenas de valor de minerales estratégicos estructuradas</w:t>
            </w:r>
          </w:p>
        </w:tc>
        <w:tc>
          <w:tcPr>
            <w:tcW w:w="1534" w:type="dxa"/>
            <w:tcMar/>
            <w:vAlign w:val="center"/>
          </w:tcPr>
          <w:p w:rsidRPr="00FD68F1" w:rsidR="00D47256" w:rsidP="000E5546" w:rsidRDefault="00D47256" w14:paraId="3697B22F" w14:textId="77777777">
            <w:pPr>
              <w:jc w:val="center"/>
              <w:rPr>
                <w:rFonts w:ascii="Verdana" w:hAnsi="Verdana" w:cs="Arial"/>
                <w:sz w:val="18"/>
                <w:szCs w:val="18"/>
              </w:rPr>
            </w:pPr>
            <w:r w:rsidRPr="00FD68F1">
              <w:rPr>
                <w:rFonts w:ascii="Verdana" w:hAnsi="Verdana" w:cs="Arial"/>
                <w:sz w:val="18"/>
                <w:szCs w:val="18"/>
              </w:rPr>
              <w:t>4</w:t>
            </w:r>
          </w:p>
        </w:tc>
        <w:tc>
          <w:tcPr>
            <w:tcW w:w="1073" w:type="dxa"/>
            <w:tcMar/>
            <w:vAlign w:val="center"/>
          </w:tcPr>
          <w:p w:rsidRPr="00FD68F1" w:rsidR="00D47256" w:rsidP="000E5546" w:rsidRDefault="00D47256" w14:paraId="749B822C" w14:textId="77777777">
            <w:pPr>
              <w:jc w:val="center"/>
              <w:rPr>
                <w:rFonts w:ascii="Verdana" w:hAnsi="Verdana" w:cs="Arial"/>
                <w:sz w:val="18"/>
                <w:szCs w:val="18"/>
              </w:rPr>
            </w:pPr>
            <w:r w:rsidRPr="00FD68F1">
              <w:rPr>
                <w:rFonts w:ascii="Verdana" w:hAnsi="Verdana" w:cs="Arial"/>
                <w:sz w:val="18"/>
                <w:szCs w:val="18"/>
              </w:rPr>
              <w:t>1</w:t>
            </w:r>
          </w:p>
        </w:tc>
        <w:tc>
          <w:tcPr>
            <w:tcW w:w="912" w:type="dxa"/>
            <w:tcMar/>
            <w:vAlign w:val="center"/>
          </w:tcPr>
          <w:p w:rsidRPr="00FD68F1" w:rsidR="00D47256" w:rsidP="000E5546" w:rsidRDefault="00D47256" w14:paraId="0CDDCEAB" w14:textId="77777777">
            <w:pPr>
              <w:jc w:val="center"/>
              <w:rPr>
                <w:rFonts w:ascii="Verdana" w:hAnsi="Verdana" w:cs="Arial"/>
                <w:sz w:val="18"/>
                <w:szCs w:val="18"/>
              </w:rPr>
            </w:pPr>
            <w:r w:rsidRPr="00FD68F1">
              <w:rPr>
                <w:rFonts w:ascii="Verdana" w:hAnsi="Verdana" w:cs="Arial"/>
                <w:sz w:val="18"/>
                <w:szCs w:val="18"/>
              </w:rPr>
              <w:t>2</w:t>
            </w:r>
          </w:p>
        </w:tc>
        <w:tc>
          <w:tcPr>
            <w:tcW w:w="1590" w:type="dxa"/>
            <w:tcMar/>
            <w:vAlign w:val="center"/>
          </w:tcPr>
          <w:p w:rsidRPr="00FD68F1" w:rsidR="00D47256" w:rsidP="000E5546" w:rsidRDefault="00D47256" w14:paraId="344E3330" w14:textId="77777777">
            <w:pPr>
              <w:jc w:val="center"/>
              <w:rPr>
                <w:rFonts w:ascii="Verdana" w:hAnsi="Verdana" w:cs="Arial"/>
                <w:sz w:val="18"/>
                <w:szCs w:val="18"/>
              </w:rPr>
            </w:pPr>
            <w:r w:rsidRPr="00FD68F1">
              <w:rPr>
                <w:rFonts w:ascii="Verdana" w:hAnsi="Verdana" w:cs="Arial"/>
                <w:sz w:val="18"/>
                <w:szCs w:val="18"/>
              </w:rPr>
              <w:t>2</w:t>
            </w:r>
          </w:p>
        </w:tc>
      </w:tr>
    </w:tbl>
    <w:p w:rsidRPr="00FD68F1" w:rsidR="00337ABD" w:rsidP="00FD68F1" w:rsidRDefault="52FB4445" w14:paraId="45451D02" w14:textId="77777777">
      <w:pPr>
        <w:spacing w:after="0" w:line="240" w:lineRule="auto"/>
        <w:jc w:val="center"/>
        <w:rPr>
          <w:rFonts w:ascii="Verdana" w:hAnsi="Verdana" w:cs="Arial"/>
          <w:sz w:val="18"/>
          <w:szCs w:val="18"/>
        </w:rPr>
      </w:pPr>
      <w:r w:rsidRPr="180099B3">
        <w:rPr>
          <w:rFonts w:ascii="Verdana" w:hAnsi="Verdana" w:cs="Arial"/>
          <w:sz w:val="18"/>
          <w:szCs w:val="18"/>
        </w:rPr>
        <w:t xml:space="preserve">Fuente: Elaboración propia </w:t>
      </w:r>
      <w:r w:rsidRPr="180099B3" w:rsidR="1B1AF5C0">
        <w:rPr>
          <w:rFonts w:ascii="Verdana" w:hAnsi="Verdana" w:cs="Arial"/>
          <w:sz w:val="18"/>
          <w:szCs w:val="18"/>
        </w:rPr>
        <w:t xml:space="preserve">OPGI - </w:t>
      </w:r>
      <w:r w:rsidRPr="180099B3">
        <w:rPr>
          <w:rFonts w:ascii="Verdana" w:hAnsi="Verdana" w:cs="Arial"/>
          <w:sz w:val="18"/>
          <w:szCs w:val="18"/>
        </w:rPr>
        <w:t>MME, 31 de marzo 2026.</w:t>
      </w:r>
    </w:p>
    <w:p w:rsidRPr="00C140A0" w:rsidR="00337ABD" w:rsidP="00D94015" w:rsidRDefault="00337ABD" w14:paraId="0776AD8C" w14:textId="77777777">
      <w:pPr>
        <w:spacing w:after="0" w:line="360" w:lineRule="auto"/>
        <w:jc w:val="center"/>
        <w:rPr>
          <w:rFonts w:ascii="Verdana" w:hAnsi="Verdana" w:cs="Arial"/>
        </w:rPr>
      </w:pPr>
    </w:p>
    <w:p w:rsidRPr="00C140A0" w:rsidR="00050AD1" w:rsidP="00D94015" w:rsidRDefault="00050AD1" w14:paraId="6EEC82D6" w14:textId="77777777">
      <w:pPr>
        <w:spacing w:after="0" w:line="360" w:lineRule="auto"/>
        <w:jc w:val="both"/>
        <w:rPr>
          <w:rFonts w:ascii="Verdana" w:hAnsi="Verdana" w:cs="Arial"/>
          <w:sz w:val="24"/>
          <w:szCs w:val="24"/>
        </w:rPr>
      </w:pPr>
      <w:r w:rsidRPr="00C140A0">
        <w:rPr>
          <w:rFonts w:ascii="Verdana" w:hAnsi="Verdana" w:cs="Arial"/>
          <w:sz w:val="24"/>
          <w:szCs w:val="24"/>
        </w:rPr>
        <w:t xml:space="preserve">Frente a los principales logros realizados durante este periodo de tiempo, se contemplan los siguientes: </w:t>
      </w:r>
    </w:p>
    <w:p w:rsidRPr="00C140A0" w:rsidR="00050AD1" w:rsidRDefault="00050AD1" w14:paraId="026447AD" w14:textId="77777777">
      <w:pPr>
        <w:pStyle w:val="Prrafodelista"/>
        <w:numPr>
          <w:ilvl w:val="0"/>
          <w:numId w:val="64"/>
        </w:numPr>
        <w:spacing w:after="0" w:line="360" w:lineRule="auto"/>
        <w:jc w:val="both"/>
        <w:rPr>
          <w:rFonts w:ascii="Verdana" w:hAnsi="Verdana" w:cs="Arial"/>
          <w:sz w:val="24"/>
          <w:szCs w:val="24"/>
        </w:rPr>
      </w:pPr>
      <w:r w:rsidRPr="00C140A0">
        <w:rPr>
          <w:rFonts w:ascii="Verdana" w:hAnsi="Verdana" w:cs="Arial"/>
          <w:sz w:val="24"/>
          <w:szCs w:val="24"/>
        </w:rPr>
        <w:t>De acuerdo con las cadenas de valor a trabajar durante 2025, desde la DME se han seleccionado dos minerales específicos de acuerdo con los seleccionados en la resolución 1006 de 2023.</w:t>
      </w:r>
    </w:p>
    <w:p w:rsidRPr="00C140A0" w:rsidR="00050AD1" w:rsidRDefault="00050AD1" w14:paraId="5C1E7C1B" w14:textId="77777777">
      <w:pPr>
        <w:pStyle w:val="Prrafodelista"/>
        <w:numPr>
          <w:ilvl w:val="0"/>
          <w:numId w:val="64"/>
        </w:numPr>
        <w:spacing w:after="0" w:line="360" w:lineRule="auto"/>
        <w:jc w:val="both"/>
        <w:rPr>
          <w:rFonts w:ascii="Verdana" w:hAnsi="Verdana" w:cs="Arial"/>
          <w:sz w:val="24"/>
          <w:szCs w:val="24"/>
        </w:rPr>
      </w:pPr>
      <w:r w:rsidRPr="00C140A0">
        <w:rPr>
          <w:rFonts w:ascii="Verdana" w:hAnsi="Verdana" w:cs="Arial"/>
          <w:sz w:val="24"/>
          <w:szCs w:val="24"/>
        </w:rPr>
        <w:t>Hierro (Fe) y sus minerales asociados, derivados o concentrados</w:t>
      </w:r>
    </w:p>
    <w:p w:rsidRPr="00C140A0" w:rsidR="00050AD1" w:rsidRDefault="00050AD1" w14:paraId="188C03DC" w14:textId="77777777">
      <w:pPr>
        <w:pStyle w:val="Prrafodelista"/>
        <w:numPr>
          <w:ilvl w:val="0"/>
          <w:numId w:val="64"/>
        </w:numPr>
        <w:spacing w:after="0" w:line="360" w:lineRule="auto"/>
        <w:jc w:val="both"/>
        <w:rPr>
          <w:rFonts w:ascii="Verdana" w:hAnsi="Verdana" w:cs="Arial"/>
          <w:sz w:val="24"/>
          <w:szCs w:val="24"/>
        </w:rPr>
      </w:pPr>
      <w:r w:rsidRPr="00C140A0">
        <w:rPr>
          <w:rFonts w:ascii="Verdana" w:hAnsi="Verdana" w:cs="Arial"/>
          <w:sz w:val="24"/>
          <w:szCs w:val="24"/>
        </w:rPr>
        <w:t>Fosfatos [fosforita o roca fosfórica (P2O5 &gt; 20 %) y roca fosfática (P2O5 &lt; 20 %)] y sus minerales asociados, derivados o concentrados</w:t>
      </w:r>
    </w:p>
    <w:p w:rsidRPr="00C140A0" w:rsidR="00050AD1" w:rsidRDefault="1C7A5B73" w14:paraId="4E7CD68E" w14:textId="3CE7591A">
      <w:pPr>
        <w:pStyle w:val="Prrafodelista"/>
        <w:numPr>
          <w:ilvl w:val="0"/>
          <w:numId w:val="64"/>
        </w:numPr>
        <w:spacing w:after="0" w:line="360" w:lineRule="auto"/>
        <w:jc w:val="both"/>
        <w:rPr>
          <w:rFonts w:ascii="Verdana" w:hAnsi="Verdana" w:cs="Arial"/>
          <w:sz w:val="24"/>
          <w:szCs w:val="24"/>
        </w:rPr>
      </w:pPr>
      <w:r w:rsidRPr="30CF4445" w:rsidR="22C38EC3">
        <w:rPr>
          <w:rFonts w:ascii="Verdana" w:hAnsi="Verdana" w:cs="Arial"/>
          <w:sz w:val="24"/>
          <w:szCs w:val="24"/>
        </w:rPr>
        <w:t>Se suscribieron tres convenios interadministrativos los cuales tienen como uno de sus productos la entrega de las siguientes cadenas de valor: oro</w:t>
      </w:r>
      <w:r w:rsidRPr="30CF4445" w:rsidR="122C2897">
        <w:rPr>
          <w:rFonts w:ascii="Verdana" w:hAnsi="Verdana" w:cs="Arial"/>
          <w:sz w:val="24"/>
          <w:szCs w:val="24"/>
        </w:rPr>
        <w:t>,</w:t>
      </w:r>
      <w:r w:rsidRPr="30CF4445" w:rsidR="22C38EC3">
        <w:rPr>
          <w:rFonts w:ascii="Verdana" w:hAnsi="Verdana" w:cs="Arial"/>
          <w:sz w:val="24"/>
          <w:szCs w:val="24"/>
        </w:rPr>
        <w:t xml:space="preserve"> arenas </w:t>
      </w:r>
      <w:r w:rsidRPr="30CF4445" w:rsidR="1D5670AA">
        <w:rPr>
          <w:rFonts w:ascii="Verdana" w:hAnsi="Verdana" w:cs="Arial"/>
          <w:sz w:val="24"/>
          <w:szCs w:val="24"/>
        </w:rPr>
        <w:t>silíceas, roca</w:t>
      </w:r>
      <w:r w:rsidRPr="30CF4445" w:rsidR="22C38EC3">
        <w:rPr>
          <w:rFonts w:ascii="Verdana" w:hAnsi="Verdana" w:cs="Arial"/>
          <w:sz w:val="24"/>
          <w:szCs w:val="24"/>
        </w:rPr>
        <w:t xml:space="preserve"> fosfórica y calizas.</w:t>
      </w:r>
    </w:p>
    <w:p w:rsidRPr="00C140A0" w:rsidR="00050AD1" w:rsidRDefault="00050AD1" w14:paraId="263FD1F1" w14:textId="77777777">
      <w:pPr>
        <w:pStyle w:val="Prrafodelista"/>
        <w:numPr>
          <w:ilvl w:val="0"/>
          <w:numId w:val="64"/>
        </w:numPr>
        <w:spacing w:after="0" w:line="360" w:lineRule="auto"/>
        <w:jc w:val="both"/>
        <w:rPr>
          <w:rFonts w:ascii="Verdana" w:hAnsi="Verdana" w:cs="Arial"/>
          <w:sz w:val="24"/>
          <w:szCs w:val="24"/>
        </w:rPr>
      </w:pPr>
      <w:r w:rsidRPr="00C140A0">
        <w:rPr>
          <w:rFonts w:ascii="Verdana" w:hAnsi="Verdana" w:cs="Arial"/>
          <w:sz w:val="24"/>
          <w:szCs w:val="24"/>
        </w:rPr>
        <w:t>Se ha identificado el encadenamiento del hierro en el cual se produce acero, dicho encadenamiento está 40% identificado. Sin embargo, se están explorando otros procesos y posibilidades de desarrollo para dicho mineral y sus productos terminados.</w:t>
      </w:r>
    </w:p>
    <w:p w:rsidRPr="00C140A0" w:rsidR="00050AD1" w:rsidRDefault="00050AD1" w14:paraId="7965C18C" w14:textId="77777777">
      <w:pPr>
        <w:pStyle w:val="Prrafodelista"/>
        <w:numPr>
          <w:ilvl w:val="0"/>
          <w:numId w:val="64"/>
        </w:numPr>
        <w:spacing w:after="0" w:line="360" w:lineRule="auto"/>
        <w:jc w:val="both"/>
        <w:rPr>
          <w:rFonts w:ascii="Verdana" w:hAnsi="Verdana" w:cs="Arial"/>
          <w:sz w:val="24"/>
          <w:szCs w:val="24"/>
        </w:rPr>
      </w:pPr>
      <w:r w:rsidRPr="30CF4445" w:rsidR="776FE511">
        <w:rPr>
          <w:rFonts w:ascii="Verdana" w:hAnsi="Verdana" w:cs="Arial"/>
          <w:sz w:val="24"/>
          <w:szCs w:val="24"/>
        </w:rPr>
        <w:t xml:space="preserve">Se ha identificado el potencial de los fosfatos para la producción de fertilizantes. De igual manera se estima un avance del 40% en dicho encadenamiento y se exploran alternativas para lograr un mayor desarrollo </w:t>
      </w:r>
      <w:commentRangeStart w:id="2044350865"/>
      <w:r w:rsidRPr="30CF4445" w:rsidR="776FE511">
        <w:rPr>
          <w:rFonts w:ascii="Verdana" w:hAnsi="Verdana" w:cs="Arial"/>
          <w:sz w:val="24"/>
          <w:szCs w:val="24"/>
        </w:rPr>
        <w:t>asociado a dicho mineral asociados a los dos principales métodos de obtención pirometalurgia e hidrometalurgia.</w:t>
      </w:r>
      <w:commentRangeEnd w:id="2044350865"/>
      <w:r>
        <w:rPr>
          <w:rStyle w:val="CommentReference"/>
        </w:rPr>
        <w:commentReference w:id="2044350865"/>
      </w:r>
    </w:p>
    <w:p w:rsidRPr="00C140A0" w:rsidR="00050AD1" w:rsidP="00D94015" w:rsidRDefault="00050AD1" w14:paraId="4FBEFE23" w14:textId="77777777">
      <w:pPr>
        <w:pStyle w:val="Prrafodelista"/>
        <w:spacing w:after="0" w:line="360" w:lineRule="auto"/>
        <w:jc w:val="both"/>
        <w:rPr>
          <w:rFonts w:ascii="Verdana" w:hAnsi="Verdana" w:cs="Arial"/>
          <w:sz w:val="24"/>
          <w:szCs w:val="24"/>
        </w:rPr>
      </w:pPr>
    </w:p>
    <w:p w:rsidR="00050AD1" w:rsidP="00D94015" w:rsidRDefault="00050AD1" w14:paraId="6D285C4E" w14:textId="77777777">
      <w:pPr>
        <w:spacing w:after="0" w:line="360" w:lineRule="auto"/>
        <w:jc w:val="both"/>
        <w:rPr>
          <w:rFonts w:ascii="Verdana" w:hAnsi="Verdana" w:cs="Arial"/>
          <w:sz w:val="24"/>
          <w:szCs w:val="24"/>
        </w:rPr>
      </w:pPr>
      <w:r w:rsidRPr="00C140A0">
        <w:rPr>
          <w:rFonts w:ascii="Verdana" w:hAnsi="Verdana" w:cs="Arial"/>
          <w:sz w:val="24"/>
          <w:szCs w:val="24"/>
        </w:rPr>
        <w:t xml:space="preserve">El tercer pivote, enfocado en el tema de hidrocarburos, se enfoca en la gestión y aumento eficiente de reservas y producción de hidrocarburos, así como en la regulación, investigación y/o exploración de nuevos </w:t>
      </w:r>
      <w:r w:rsidRPr="00C140A0">
        <w:rPr>
          <w:rFonts w:ascii="Verdana" w:hAnsi="Verdana" w:cs="Arial"/>
          <w:sz w:val="24"/>
          <w:szCs w:val="24"/>
        </w:rPr>
        <w:t xml:space="preserve">energéticos como el hidrógeno, la energía eólica costa afuera, geotermia y bioenergía. </w:t>
      </w:r>
    </w:p>
    <w:p w:rsidRPr="00C140A0" w:rsidR="00280F0A" w:rsidP="00D94015" w:rsidRDefault="00280F0A" w14:paraId="406A0323" w14:textId="77777777">
      <w:pPr>
        <w:spacing w:after="0" w:line="360" w:lineRule="auto"/>
        <w:jc w:val="both"/>
        <w:rPr>
          <w:rFonts w:ascii="Verdana" w:hAnsi="Verdana" w:cs="Arial"/>
          <w:sz w:val="24"/>
          <w:szCs w:val="24"/>
        </w:rPr>
      </w:pPr>
    </w:p>
    <w:p w:rsidRPr="00C140A0" w:rsidR="00050AD1" w:rsidP="00D94015" w:rsidRDefault="00050AD1" w14:paraId="3E0737A6" w14:textId="77777777">
      <w:pPr>
        <w:spacing w:after="0" w:line="360" w:lineRule="auto"/>
        <w:jc w:val="both"/>
        <w:rPr>
          <w:rFonts w:ascii="Verdana" w:hAnsi="Verdana" w:cs="Arial"/>
          <w:b/>
          <w:bCs/>
          <w:sz w:val="24"/>
          <w:szCs w:val="24"/>
        </w:rPr>
      </w:pPr>
      <w:r w:rsidRPr="00C140A0">
        <w:rPr>
          <w:rFonts w:ascii="Verdana" w:hAnsi="Verdana" w:cs="Arial"/>
          <w:b/>
          <w:bCs/>
          <w:sz w:val="24"/>
          <w:szCs w:val="24"/>
        </w:rPr>
        <w:t>Incorporar reservas de hidrocarburos</w:t>
      </w:r>
    </w:p>
    <w:p w:rsidRPr="00C140A0" w:rsidR="00050AD1" w:rsidP="00D94015" w:rsidRDefault="00050AD1" w14:paraId="35EE9E4B" w14:textId="77777777">
      <w:pPr>
        <w:spacing w:after="0" w:line="360" w:lineRule="auto"/>
        <w:jc w:val="center"/>
        <w:rPr>
          <w:rFonts w:ascii="Verdana" w:hAnsi="Verdana" w:cs="Arial"/>
          <w:b/>
          <w:bCs/>
          <w:sz w:val="18"/>
          <w:szCs w:val="18"/>
        </w:rPr>
      </w:pPr>
    </w:p>
    <w:p w:rsidR="00050AD1" w:rsidP="00FD68F1" w:rsidRDefault="00050AD1" w14:paraId="1E3B658F" w14:textId="77777777">
      <w:pPr>
        <w:pStyle w:val="Descripcin"/>
        <w:spacing w:after="0"/>
        <w:jc w:val="center"/>
        <w:rPr>
          <w:rFonts w:ascii="Verdana" w:hAnsi="Verdana"/>
          <w:i w:val="0"/>
          <w:iCs w:val="0"/>
          <w:color w:val="auto"/>
        </w:rPr>
      </w:pPr>
      <w:r w:rsidRPr="00FD68F1">
        <w:rPr>
          <w:rFonts w:ascii="Verdana" w:hAnsi="Verdana"/>
          <w:i w:val="0"/>
          <w:iCs w:val="0"/>
          <w:color w:val="auto"/>
        </w:rPr>
        <w:t>Tabla</w:t>
      </w:r>
      <w:r w:rsidR="00280F0A">
        <w:rPr>
          <w:rFonts w:ascii="Verdana" w:hAnsi="Verdana"/>
          <w:i w:val="0"/>
          <w:iCs w:val="0"/>
          <w:color w:val="auto"/>
        </w:rPr>
        <w:t xml:space="preserve"> No. 12</w:t>
      </w:r>
      <w:r w:rsidRPr="00FD68F1">
        <w:rPr>
          <w:rFonts w:ascii="Verdana" w:hAnsi="Verdana"/>
          <w:i w:val="0"/>
          <w:iCs w:val="0"/>
          <w:color w:val="auto"/>
        </w:rPr>
        <w:t>. Reservas hidrocarburos – PES 2024-2026</w:t>
      </w:r>
    </w:p>
    <w:tbl>
      <w:tblPr>
        <w:tblStyle w:val="Tablaconcuadrcula"/>
        <w:tblW w:w="0" w:type="auto"/>
        <w:tblLook w:val="04A0" w:firstRow="1" w:lastRow="0" w:firstColumn="1" w:lastColumn="0" w:noHBand="0" w:noVBand="1"/>
      </w:tblPr>
      <w:tblGrid>
        <w:gridCol w:w="1776"/>
        <w:gridCol w:w="1682"/>
        <w:gridCol w:w="1553"/>
        <w:gridCol w:w="1171"/>
        <w:gridCol w:w="1056"/>
        <w:gridCol w:w="1590"/>
      </w:tblGrid>
      <w:tr w:rsidRPr="00FD68F1" w:rsidR="00CA3FF4" w:rsidTr="30CF4445" w14:paraId="784121AE" w14:textId="77777777">
        <w:tc>
          <w:tcPr>
            <w:tcW w:w="1776" w:type="dxa"/>
            <w:shd w:val="clear" w:color="auto" w:fill="A6A6A6" w:themeFill="background1" w:themeFillShade="A6"/>
            <w:tcMar/>
            <w:vAlign w:val="center"/>
          </w:tcPr>
          <w:p w:rsidRPr="00FD68F1" w:rsidR="00CA3FF4" w:rsidP="00FD68F1" w:rsidRDefault="00CA3FF4" w14:paraId="67B3EF45" w14:textId="77777777">
            <w:pPr>
              <w:jc w:val="center"/>
              <w:rPr>
                <w:rFonts w:ascii="Verdana" w:hAnsi="Verdana" w:cs="Arial"/>
                <w:b/>
                <w:bCs/>
                <w:sz w:val="18"/>
                <w:szCs w:val="18"/>
              </w:rPr>
            </w:pPr>
            <w:r w:rsidRPr="00FD68F1">
              <w:rPr>
                <w:rFonts w:ascii="Verdana" w:hAnsi="Verdana" w:cs="Arial"/>
                <w:b/>
                <w:bCs/>
                <w:sz w:val="18"/>
                <w:szCs w:val="18"/>
              </w:rPr>
              <w:t>Indicador</w:t>
            </w:r>
          </w:p>
        </w:tc>
        <w:tc>
          <w:tcPr>
            <w:tcW w:w="1682" w:type="dxa"/>
            <w:shd w:val="clear" w:color="auto" w:fill="A6A6A6" w:themeFill="background1" w:themeFillShade="A6"/>
            <w:tcMar/>
            <w:vAlign w:val="center"/>
          </w:tcPr>
          <w:p w:rsidRPr="00FD68F1" w:rsidR="00CA3FF4" w:rsidP="00FD68F1" w:rsidRDefault="00CA3FF4" w14:paraId="7CEF1F7A" w14:textId="53CCE06B">
            <w:pPr>
              <w:jc w:val="center"/>
              <w:rPr>
                <w:rFonts w:ascii="Verdana" w:hAnsi="Verdana" w:cs="Arial"/>
                <w:b w:val="1"/>
                <w:bCs w:val="1"/>
                <w:sz w:val="18"/>
                <w:szCs w:val="18"/>
              </w:rPr>
            </w:pPr>
            <w:r w:rsidRPr="30CF4445" w:rsidR="06D117DD">
              <w:rPr>
                <w:rFonts w:ascii="Verdana" w:hAnsi="Verdana" w:cs="Arial"/>
                <w:b w:val="1"/>
                <w:bCs w:val="1"/>
                <w:sz w:val="18"/>
                <w:szCs w:val="18"/>
              </w:rPr>
              <w:t>F</w:t>
            </w:r>
            <w:r w:rsidRPr="30CF4445" w:rsidR="3FEAA68E">
              <w:rPr>
                <w:rFonts w:ascii="Verdana" w:hAnsi="Verdana" w:cs="Arial"/>
                <w:b w:val="1"/>
                <w:bCs w:val="1"/>
                <w:sz w:val="18"/>
                <w:szCs w:val="18"/>
              </w:rPr>
              <w:t>ó</w:t>
            </w:r>
            <w:r w:rsidRPr="30CF4445" w:rsidR="06D117DD">
              <w:rPr>
                <w:rFonts w:ascii="Verdana" w:hAnsi="Verdana" w:cs="Arial"/>
                <w:b w:val="1"/>
                <w:bCs w:val="1"/>
                <w:sz w:val="18"/>
                <w:szCs w:val="18"/>
              </w:rPr>
              <w:t>rmula</w:t>
            </w:r>
          </w:p>
        </w:tc>
        <w:tc>
          <w:tcPr>
            <w:tcW w:w="1553" w:type="dxa"/>
            <w:shd w:val="clear" w:color="auto" w:fill="A6A6A6" w:themeFill="background1" w:themeFillShade="A6"/>
            <w:tcMar/>
            <w:vAlign w:val="center"/>
          </w:tcPr>
          <w:p w:rsidRPr="00FD68F1" w:rsidR="00CA3FF4" w:rsidP="00FD68F1" w:rsidRDefault="00CA3FF4" w14:paraId="7C977D5C" w14:textId="77777777">
            <w:pPr>
              <w:jc w:val="center"/>
              <w:rPr>
                <w:rFonts w:ascii="Verdana" w:hAnsi="Verdana" w:cs="Arial"/>
                <w:b/>
                <w:bCs/>
                <w:sz w:val="18"/>
                <w:szCs w:val="18"/>
              </w:rPr>
            </w:pPr>
            <w:r w:rsidRPr="00FD68F1">
              <w:rPr>
                <w:rFonts w:ascii="Verdana" w:hAnsi="Verdana" w:cs="Arial"/>
                <w:b/>
                <w:bCs/>
                <w:sz w:val="18"/>
                <w:szCs w:val="18"/>
              </w:rPr>
              <w:t>Meta Cuatrienio</w:t>
            </w:r>
          </w:p>
        </w:tc>
        <w:tc>
          <w:tcPr>
            <w:tcW w:w="1171" w:type="dxa"/>
            <w:shd w:val="clear" w:color="auto" w:fill="A6A6A6" w:themeFill="background1" w:themeFillShade="A6"/>
            <w:tcMar/>
            <w:vAlign w:val="center"/>
          </w:tcPr>
          <w:p w:rsidRPr="00FD68F1" w:rsidR="00CA3FF4" w:rsidP="00FD68F1" w:rsidRDefault="00CA3FF4" w14:paraId="5AB11DF1" w14:textId="77777777">
            <w:pPr>
              <w:jc w:val="center"/>
              <w:rPr>
                <w:rFonts w:ascii="Verdana" w:hAnsi="Verdana" w:cs="Arial"/>
                <w:b/>
                <w:bCs/>
                <w:sz w:val="18"/>
                <w:szCs w:val="18"/>
              </w:rPr>
            </w:pPr>
            <w:r w:rsidRPr="00FD68F1">
              <w:rPr>
                <w:rFonts w:ascii="Verdana" w:hAnsi="Verdana" w:cs="Arial"/>
                <w:b/>
                <w:bCs/>
                <w:sz w:val="18"/>
                <w:szCs w:val="18"/>
              </w:rPr>
              <w:t>Meta 2024</w:t>
            </w:r>
          </w:p>
        </w:tc>
        <w:tc>
          <w:tcPr>
            <w:tcW w:w="1056" w:type="dxa"/>
            <w:shd w:val="clear" w:color="auto" w:fill="A6A6A6" w:themeFill="background1" w:themeFillShade="A6"/>
            <w:tcMar/>
            <w:vAlign w:val="center"/>
          </w:tcPr>
          <w:p w:rsidRPr="00FD68F1" w:rsidR="00CA3FF4" w:rsidP="00FD68F1" w:rsidRDefault="00CA3FF4" w14:paraId="57D69991" w14:textId="77777777">
            <w:pPr>
              <w:jc w:val="center"/>
              <w:rPr>
                <w:rFonts w:ascii="Verdana" w:hAnsi="Verdana" w:cs="Arial"/>
                <w:b/>
                <w:bCs/>
                <w:sz w:val="18"/>
                <w:szCs w:val="18"/>
              </w:rPr>
            </w:pPr>
            <w:r w:rsidRPr="00FD68F1">
              <w:rPr>
                <w:rFonts w:ascii="Verdana" w:hAnsi="Verdana" w:cs="Arial"/>
                <w:b/>
                <w:bCs/>
                <w:sz w:val="18"/>
                <w:szCs w:val="18"/>
              </w:rPr>
              <w:t>Meta 2025</w:t>
            </w:r>
          </w:p>
        </w:tc>
        <w:tc>
          <w:tcPr>
            <w:tcW w:w="1590" w:type="dxa"/>
            <w:shd w:val="clear" w:color="auto" w:fill="A6A6A6" w:themeFill="background1" w:themeFillShade="A6"/>
            <w:tcMar/>
            <w:vAlign w:val="center"/>
          </w:tcPr>
          <w:p w:rsidRPr="00FD68F1" w:rsidR="00CA3FF4" w:rsidP="00FD68F1" w:rsidRDefault="00CA3FF4" w14:paraId="5ECE228B" w14:textId="77777777">
            <w:pPr>
              <w:jc w:val="center"/>
              <w:rPr>
                <w:rFonts w:ascii="Verdana" w:hAnsi="Verdana" w:cs="Arial"/>
                <w:b/>
                <w:bCs/>
                <w:sz w:val="18"/>
                <w:szCs w:val="18"/>
              </w:rPr>
            </w:pPr>
            <w:r w:rsidRPr="00FD68F1">
              <w:rPr>
                <w:rFonts w:ascii="Verdana" w:hAnsi="Verdana" w:cs="Arial"/>
                <w:b/>
                <w:bCs/>
                <w:sz w:val="18"/>
                <w:szCs w:val="18"/>
              </w:rPr>
              <w:t>Avance Acumulado</w:t>
            </w:r>
          </w:p>
          <w:p w:rsidRPr="00FD68F1" w:rsidR="00CA3FF4" w:rsidP="00FD68F1" w:rsidRDefault="00CA3FF4" w14:paraId="25102AA7" w14:textId="77777777">
            <w:pPr>
              <w:jc w:val="center"/>
              <w:rPr>
                <w:rFonts w:ascii="Verdana" w:hAnsi="Verdana" w:cs="Arial"/>
                <w:b/>
                <w:bCs/>
                <w:sz w:val="18"/>
                <w:szCs w:val="18"/>
              </w:rPr>
            </w:pPr>
            <w:r w:rsidRPr="00FD68F1">
              <w:rPr>
                <w:rFonts w:ascii="Verdana" w:hAnsi="Verdana" w:cs="Arial"/>
                <w:b/>
                <w:bCs/>
                <w:sz w:val="18"/>
                <w:szCs w:val="18"/>
              </w:rPr>
              <w:t>1° TRIM 2026</w:t>
            </w:r>
          </w:p>
        </w:tc>
      </w:tr>
      <w:tr w:rsidRPr="00FD68F1" w:rsidR="00CA3FF4" w:rsidTr="30CF4445" w14:paraId="55D59FF9" w14:textId="77777777">
        <w:tc>
          <w:tcPr>
            <w:tcW w:w="1776" w:type="dxa"/>
            <w:tcMar/>
            <w:vAlign w:val="center"/>
          </w:tcPr>
          <w:p w:rsidRPr="00FD68F1" w:rsidR="00CA3FF4" w:rsidP="00FD68F1" w:rsidRDefault="00CA3FF4" w14:paraId="75B60851" w14:textId="77777777">
            <w:pPr>
              <w:rPr>
                <w:rFonts w:ascii="Verdana" w:hAnsi="Verdana" w:cs="Arial"/>
                <w:sz w:val="18"/>
                <w:szCs w:val="18"/>
              </w:rPr>
            </w:pPr>
            <w:r w:rsidRPr="00FD68F1">
              <w:rPr>
                <w:rFonts w:ascii="Verdana" w:hAnsi="Verdana" w:cs="Arial"/>
                <w:sz w:val="18"/>
                <w:szCs w:val="18"/>
              </w:rPr>
              <w:t>Producción de hidrocarburos</w:t>
            </w:r>
          </w:p>
        </w:tc>
        <w:tc>
          <w:tcPr>
            <w:tcW w:w="1682" w:type="dxa"/>
            <w:tcMar/>
            <w:vAlign w:val="center"/>
          </w:tcPr>
          <w:p w:rsidRPr="00FD68F1" w:rsidR="00CA3FF4" w:rsidP="00FD68F1" w:rsidRDefault="00CA3FF4" w14:paraId="636A1238" w14:textId="77777777">
            <w:pPr>
              <w:rPr>
                <w:rFonts w:ascii="Verdana" w:hAnsi="Verdana" w:cs="Arial"/>
                <w:sz w:val="18"/>
                <w:szCs w:val="18"/>
              </w:rPr>
            </w:pPr>
            <w:r w:rsidRPr="00FD68F1">
              <w:rPr>
                <w:rFonts w:ascii="Verdana" w:hAnsi="Verdana" w:cs="Arial"/>
                <w:sz w:val="18"/>
                <w:szCs w:val="18"/>
              </w:rPr>
              <w:t>Producción de petróleo</w:t>
            </w:r>
          </w:p>
        </w:tc>
        <w:tc>
          <w:tcPr>
            <w:tcW w:w="1553" w:type="dxa"/>
            <w:tcMar/>
            <w:vAlign w:val="center"/>
          </w:tcPr>
          <w:p w:rsidRPr="00FD68F1" w:rsidR="00CA3FF4" w:rsidP="00FD68F1" w:rsidRDefault="00CA3FF4" w14:paraId="7749E5DA" w14:textId="77777777">
            <w:pPr>
              <w:jc w:val="center"/>
              <w:rPr>
                <w:rFonts w:ascii="Verdana" w:hAnsi="Verdana" w:cs="Arial"/>
                <w:sz w:val="18"/>
                <w:szCs w:val="18"/>
              </w:rPr>
            </w:pPr>
            <w:r w:rsidRPr="00FD68F1">
              <w:rPr>
                <w:rFonts w:ascii="Verdana" w:hAnsi="Verdana" w:cs="Arial"/>
                <w:sz w:val="18"/>
                <w:szCs w:val="18"/>
              </w:rPr>
              <w:t>800000</w:t>
            </w:r>
          </w:p>
        </w:tc>
        <w:tc>
          <w:tcPr>
            <w:tcW w:w="1171" w:type="dxa"/>
            <w:tcMar/>
            <w:vAlign w:val="center"/>
          </w:tcPr>
          <w:p w:rsidRPr="00FD68F1" w:rsidR="00CA3FF4" w:rsidP="00FD68F1" w:rsidRDefault="00CA3FF4" w14:paraId="6903D188" w14:textId="77777777">
            <w:pPr>
              <w:jc w:val="center"/>
              <w:rPr>
                <w:rFonts w:ascii="Verdana" w:hAnsi="Verdana" w:cs="Arial"/>
                <w:sz w:val="18"/>
                <w:szCs w:val="18"/>
              </w:rPr>
            </w:pPr>
            <w:r w:rsidRPr="00FD68F1">
              <w:rPr>
                <w:rFonts w:ascii="Verdana" w:hAnsi="Verdana" w:cs="Arial"/>
                <w:sz w:val="18"/>
                <w:szCs w:val="18"/>
              </w:rPr>
              <w:t>800000</w:t>
            </w:r>
          </w:p>
        </w:tc>
        <w:tc>
          <w:tcPr>
            <w:tcW w:w="1056" w:type="dxa"/>
            <w:tcMar/>
            <w:vAlign w:val="center"/>
          </w:tcPr>
          <w:p w:rsidRPr="00FD68F1" w:rsidR="00CA3FF4" w:rsidP="00FD68F1" w:rsidRDefault="00CA3FF4" w14:paraId="528A39A1" w14:textId="77777777">
            <w:pPr>
              <w:jc w:val="center"/>
              <w:rPr>
                <w:rFonts w:ascii="Verdana" w:hAnsi="Verdana" w:cs="Arial"/>
                <w:sz w:val="18"/>
                <w:szCs w:val="18"/>
              </w:rPr>
            </w:pPr>
            <w:r w:rsidRPr="00FD68F1">
              <w:rPr>
                <w:rFonts w:ascii="Verdana" w:hAnsi="Verdana" w:cs="Arial"/>
                <w:sz w:val="18"/>
                <w:szCs w:val="18"/>
              </w:rPr>
              <w:t>800000</w:t>
            </w:r>
          </w:p>
        </w:tc>
        <w:tc>
          <w:tcPr>
            <w:tcW w:w="1590" w:type="dxa"/>
            <w:tcMar/>
            <w:vAlign w:val="center"/>
          </w:tcPr>
          <w:p w:rsidRPr="00FD68F1" w:rsidR="00CA3FF4" w:rsidP="00FD68F1" w:rsidRDefault="00CA3FF4" w14:paraId="1BD1AC8F" w14:textId="77777777">
            <w:pPr>
              <w:jc w:val="center"/>
              <w:rPr>
                <w:rFonts w:ascii="Verdana" w:hAnsi="Verdana" w:cs="Arial"/>
                <w:sz w:val="18"/>
                <w:szCs w:val="18"/>
              </w:rPr>
            </w:pPr>
            <w:r w:rsidRPr="00FD68F1">
              <w:rPr>
                <w:rFonts w:ascii="Verdana" w:hAnsi="Verdana" w:cs="Arial"/>
                <w:sz w:val="18"/>
                <w:szCs w:val="18"/>
              </w:rPr>
              <w:t>740,977</w:t>
            </w:r>
          </w:p>
        </w:tc>
      </w:tr>
      <w:tr w:rsidRPr="00FD68F1" w:rsidR="00CA3FF4" w:rsidTr="30CF4445" w14:paraId="7A408919" w14:textId="77777777">
        <w:tc>
          <w:tcPr>
            <w:tcW w:w="1776" w:type="dxa"/>
            <w:tcMar/>
            <w:vAlign w:val="center"/>
          </w:tcPr>
          <w:p w:rsidRPr="00FD68F1" w:rsidR="00CA3FF4" w:rsidP="00FD68F1" w:rsidRDefault="00CA3FF4" w14:paraId="7F66EBDE" w14:textId="77777777">
            <w:pPr>
              <w:rPr>
                <w:rFonts w:ascii="Verdana" w:hAnsi="Verdana" w:cs="Arial"/>
                <w:sz w:val="18"/>
                <w:szCs w:val="18"/>
              </w:rPr>
            </w:pPr>
            <w:r w:rsidRPr="00FD68F1">
              <w:rPr>
                <w:rFonts w:ascii="Verdana" w:hAnsi="Verdana" w:cs="Arial"/>
                <w:sz w:val="18"/>
                <w:szCs w:val="18"/>
              </w:rPr>
              <w:t>Factor de recobro promedio</w:t>
            </w:r>
          </w:p>
        </w:tc>
        <w:tc>
          <w:tcPr>
            <w:tcW w:w="1682" w:type="dxa"/>
            <w:tcMar/>
            <w:vAlign w:val="center"/>
          </w:tcPr>
          <w:p w:rsidRPr="00FD68F1" w:rsidR="00CA3FF4" w:rsidP="00FD68F1" w:rsidRDefault="00CA3FF4" w14:paraId="2A73B0BD" w14:textId="77777777">
            <w:pPr>
              <w:rPr>
                <w:rFonts w:ascii="Verdana" w:hAnsi="Verdana" w:cs="Arial"/>
                <w:sz w:val="18"/>
                <w:szCs w:val="18"/>
              </w:rPr>
            </w:pPr>
            <w:r w:rsidRPr="00FD68F1">
              <w:rPr>
                <w:rFonts w:ascii="Verdana" w:hAnsi="Verdana" w:cs="Arial"/>
                <w:sz w:val="18"/>
                <w:szCs w:val="18"/>
              </w:rPr>
              <w:t>Porcentaje de factor de recobro último esperado</w:t>
            </w:r>
          </w:p>
        </w:tc>
        <w:tc>
          <w:tcPr>
            <w:tcW w:w="1553" w:type="dxa"/>
            <w:tcMar/>
            <w:vAlign w:val="center"/>
          </w:tcPr>
          <w:p w:rsidRPr="00FD68F1" w:rsidR="00CA3FF4" w:rsidP="00FD68F1" w:rsidRDefault="00CA3FF4" w14:paraId="33501DB3" w14:textId="77777777">
            <w:pPr>
              <w:jc w:val="center"/>
              <w:rPr>
                <w:rFonts w:ascii="Verdana" w:hAnsi="Verdana" w:cs="Arial"/>
                <w:sz w:val="18"/>
                <w:szCs w:val="18"/>
              </w:rPr>
            </w:pPr>
            <w:r w:rsidRPr="00FD68F1">
              <w:rPr>
                <w:rFonts w:ascii="Verdana" w:hAnsi="Verdana" w:cs="Arial"/>
                <w:sz w:val="18"/>
                <w:szCs w:val="18"/>
              </w:rPr>
              <w:t>0,2009</w:t>
            </w:r>
          </w:p>
        </w:tc>
        <w:tc>
          <w:tcPr>
            <w:tcW w:w="1171" w:type="dxa"/>
            <w:tcMar/>
            <w:vAlign w:val="center"/>
          </w:tcPr>
          <w:p w:rsidRPr="00FD68F1" w:rsidR="00CA3FF4" w:rsidP="00FD68F1" w:rsidRDefault="00CA3FF4" w14:paraId="23902A1B" w14:textId="77777777">
            <w:pPr>
              <w:jc w:val="center"/>
              <w:rPr>
                <w:rFonts w:ascii="Verdana" w:hAnsi="Verdana" w:cs="Arial"/>
                <w:sz w:val="18"/>
                <w:szCs w:val="18"/>
              </w:rPr>
            </w:pPr>
            <w:r w:rsidRPr="00FD68F1">
              <w:rPr>
                <w:rFonts w:ascii="Verdana" w:hAnsi="Verdana" w:cs="Arial"/>
                <w:sz w:val="18"/>
                <w:szCs w:val="18"/>
              </w:rPr>
              <w:t>0,2001</w:t>
            </w:r>
          </w:p>
        </w:tc>
        <w:tc>
          <w:tcPr>
            <w:tcW w:w="1056" w:type="dxa"/>
            <w:tcMar/>
            <w:vAlign w:val="center"/>
          </w:tcPr>
          <w:p w:rsidRPr="00FD68F1" w:rsidR="00CA3FF4" w:rsidP="00FD68F1" w:rsidRDefault="00CA3FF4" w14:paraId="6CAC0B9F" w14:textId="77777777">
            <w:pPr>
              <w:jc w:val="center"/>
              <w:rPr>
                <w:rFonts w:ascii="Verdana" w:hAnsi="Verdana" w:cs="Arial"/>
                <w:sz w:val="18"/>
                <w:szCs w:val="18"/>
              </w:rPr>
            </w:pPr>
            <w:r w:rsidRPr="00FD68F1">
              <w:rPr>
                <w:rFonts w:ascii="Verdana" w:hAnsi="Verdana" w:cs="Arial"/>
                <w:sz w:val="18"/>
                <w:szCs w:val="18"/>
              </w:rPr>
              <w:t>0,2001</w:t>
            </w:r>
          </w:p>
        </w:tc>
        <w:tc>
          <w:tcPr>
            <w:tcW w:w="1590" w:type="dxa"/>
            <w:tcMar/>
            <w:vAlign w:val="center"/>
          </w:tcPr>
          <w:p w:rsidRPr="00FD68F1" w:rsidR="00CA3FF4" w:rsidP="00FD68F1" w:rsidRDefault="00CA3FF4" w14:paraId="1F46CD59" w14:textId="77777777">
            <w:pPr>
              <w:jc w:val="center"/>
              <w:rPr>
                <w:rFonts w:ascii="Verdana" w:hAnsi="Verdana" w:cs="Arial"/>
                <w:sz w:val="18"/>
                <w:szCs w:val="18"/>
              </w:rPr>
            </w:pPr>
            <w:r w:rsidRPr="00FD68F1">
              <w:rPr>
                <w:rFonts w:ascii="Verdana" w:hAnsi="Verdana" w:cs="Arial"/>
                <w:sz w:val="18"/>
                <w:szCs w:val="18"/>
              </w:rPr>
              <w:t>19,33</w:t>
            </w:r>
          </w:p>
        </w:tc>
      </w:tr>
    </w:tbl>
    <w:p w:rsidRPr="00FD68F1" w:rsidR="00E07C13" w:rsidP="00FD68F1" w:rsidRDefault="4E9C5365" w14:paraId="18D88603" w14:textId="77777777">
      <w:pPr>
        <w:spacing w:after="0" w:line="240" w:lineRule="auto"/>
        <w:jc w:val="center"/>
        <w:rPr>
          <w:rFonts w:ascii="Verdana" w:hAnsi="Verdana" w:cs="Arial"/>
          <w:sz w:val="18"/>
          <w:szCs w:val="18"/>
        </w:rPr>
      </w:pPr>
      <w:r w:rsidRPr="180099B3">
        <w:rPr>
          <w:rFonts w:ascii="Verdana" w:hAnsi="Verdana" w:cs="Arial"/>
          <w:sz w:val="18"/>
          <w:szCs w:val="18"/>
        </w:rPr>
        <w:t xml:space="preserve">Fuente: Elaboración propia </w:t>
      </w:r>
      <w:r w:rsidRPr="180099B3" w:rsidR="44796F30">
        <w:rPr>
          <w:rFonts w:ascii="Verdana" w:hAnsi="Verdana" w:cs="Arial"/>
          <w:sz w:val="18"/>
          <w:szCs w:val="18"/>
        </w:rPr>
        <w:t xml:space="preserve">OPGI - </w:t>
      </w:r>
      <w:r w:rsidRPr="180099B3">
        <w:rPr>
          <w:rFonts w:ascii="Verdana" w:hAnsi="Verdana" w:cs="Arial"/>
          <w:sz w:val="18"/>
          <w:szCs w:val="18"/>
        </w:rPr>
        <w:t>MME, 31 de marzo 2026.</w:t>
      </w:r>
    </w:p>
    <w:p w:rsidR="00FD68F1" w:rsidP="00D94015" w:rsidRDefault="00FD68F1" w14:paraId="4599D35E" w14:textId="77777777">
      <w:pPr>
        <w:spacing w:after="0" w:line="360" w:lineRule="auto"/>
        <w:rPr>
          <w:rFonts w:ascii="Verdana" w:hAnsi="Verdana" w:cs="Arial"/>
          <w:sz w:val="24"/>
          <w:szCs w:val="24"/>
        </w:rPr>
      </w:pPr>
    </w:p>
    <w:p w:rsidRPr="00C140A0" w:rsidR="00C37B86" w:rsidP="00D94015" w:rsidRDefault="00C37B86" w14:paraId="394E926B" w14:textId="77777777">
      <w:pPr>
        <w:spacing w:after="0" w:line="360" w:lineRule="auto"/>
        <w:jc w:val="both"/>
        <w:rPr>
          <w:rFonts w:ascii="Verdana" w:hAnsi="Verdana" w:cs="Arial"/>
          <w:sz w:val="24"/>
          <w:szCs w:val="24"/>
        </w:rPr>
      </w:pPr>
      <w:r w:rsidRPr="00C140A0">
        <w:rPr>
          <w:rFonts w:ascii="Verdana" w:hAnsi="Verdana" w:cs="Arial"/>
          <w:sz w:val="24"/>
          <w:szCs w:val="24"/>
        </w:rPr>
        <w:t xml:space="preserve">Frente a los principales logros realizados durante este periodo de tiempo, se contemplan los siguientes: </w:t>
      </w:r>
    </w:p>
    <w:p w:rsidRPr="00C140A0" w:rsidR="00C37B86" w:rsidRDefault="00C37B86" w14:paraId="1653E179" w14:textId="1B0CA41D">
      <w:pPr>
        <w:pStyle w:val="Prrafodelista"/>
        <w:numPr>
          <w:ilvl w:val="0"/>
          <w:numId w:val="65"/>
        </w:numPr>
        <w:spacing w:after="0" w:line="360" w:lineRule="auto"/>
        <w:jc w:val="both"/>
        <w:rPr>
          <w:rFonts w:ascii="Verdana" w:hAnsi="Verdana" w:cs="Arial"/>
          <w:sz w:val="24"/>
          <w:szCs w:val="24"/>
        </w:rPr>
      </w:pPr>
      <w:r w:rsidRPr="30CF4445" w:rsidR="51A5623F">
        <w:rPr>
          <w:rFonts w:ascii="Verdana" w:hAnsi="Verdana" w:cs="Arial"/>
          <w:sz w:val="24"/>
          <w:szCs w:val="24"/>
        </w:rPr>
        <w:t>Durante el primer trimestre de 2026 se ha tenido una producción promedio de 740</w:t>
      </w:r>
      <w:r w:rsidRPr="30CF4445" w:rsidR="3F5C1018">
        <w:rPr>
          <w:rFonts w:ascii="Verdana" w:hAnsi="Verdana" w:cs="Arial"/>
          <w:sz w:val="24"/>
          <w:szCs w:val="24"/>
        </w:rPr>
        <w:t>,</w:t>
      </w:r>
      <w:r w:rsidRPr="30CF4445" w:rsidR="51A5623F">
        <w:rPr>
          <w:rFonts w:ascii="Verdana" w:hAnsi="Verdana" w:cs="Arial"/>
          <w:sz w:val="24"/>
          <w:szCs w:val="24"/>
        </w:rPr>
        <w:t xml:space="preserve">977 barriles de petróleo por día. Se </w:t>
      </w:r>
      <w:r w:rsidRPr="30CF4445" w:rsidR="01019AF6">
        <w:rPr>
          <w:rFonts w:ascii="Verdana" w:hAnsi="Verdana" w:cs="Arial"/>
          <w:sz w:val="24"/>
          <w:szCs w:val="24"/>
        </w:rPr>
        <w:t>calcula a</w:t>
      </w:r>
      <w:r w:rsidRPr="30CF4445" w:rsidR="51A5623F">
        <w:rPr>
          <w:rFonts w:ascii="Verdana" w:hAnsi="Verdana" w:cs="Arial"/>
          <w:sz w:val="24"/>
          <w:szCs w:val="24"/>
        </w:rPr>
        <w:t xml:space="preserve"> partir del Informe de Recursos y Reservas que es presentado anualmente el 1 de abril por las compañías operadoras.</w:t>
      </w:r>
    </w:p>
    <w:p w:rsidRPr="00C140A0" w:rsidR="00C37B86" w:rsidRDefault="00C37B86" w14:paraId="2AFDA731" w14:textId="77777777">
      <w:pPr>
        <w:pStyle w:val="Prrafodelista"/>
        <w:numPr>
          <w:ilvl w:val="0"/>
          <w:numId w:val="65"/>
        </w:numPr>
        <w:spacing w:after="0" w:line="360" w:lineRule="auto"/>
        <w:jc w:val="both"/>
        <w:rPr>
          <w:rFonts w:ascii="Verdana" w:hAnsi="Verdana" w:cs="Arial"/>
          <w:sz w:val="24"/>
          <w:szCs w:val="24"/>
        </w:rPr>
      </w:pPr>
      <w:r w:rsidRPr="00C140A0">
        <w:rPr>
          <w:rFonts w:ascii="Verdana" w:hAnsi="Verdana" w:cs="Arial"/>
          <w:sz w:val="24"/>
          <w:szCs w:val="24"/>
        </w:rPr>
        <w:t xml:space="preserve">El valor del factor de recobro último esperado de </w:t>
      </w:r>
      <w:r w:rsidRPr="00C140A0" w:rsidR="005229F9">
        <w:rPr>
          <w:rFonts w:ascii="Verdana" w:hAnsi="Verdana" w:cs="Arial"/>
          <w:sz w:val="24"/>
          <w:szCs w:val="24"/>
        </w:rPr>
        <w:t>petróleo del</w:t>
      </w:r>
      <w:r w:rsidRPr="00C140A0">
        <w:rPr>
          <w:rFonts w:ascii="Verdana" w:hAnsi="Verdana" w:cs="Arial"/>
          <w:sz w:val="24"/>
          <w:szCs w:val="24"/>
        </w:rPr>
        <w:t xml:space="preserve"> IRR 2024 oficializado en mayo 2025</w:t>
      </w:r>
      <w:r w:rsidRPr="00C140A0" w:rsidR="005229F9">
        <w:rPr>
          <w:rFonts w:ascii="Verdana" w:hAnsi="Verdana" w:cs="Arial"/>
          <w:sz w:val="24"/>
          <w:szCs w:val="24"/>
        </w:rPr>
        <w:t xml:space="preserve"> </w:t>
      </w:r>
      <w:r w:rsidRPr="00C140A0">
        <w:rPr>
          <w:rFonts w:ascii="Verdana" w:hAnsi="Verdana" w:cs="Arial"/>
          <w:sz w:val="24"/>
          <w:szCs w:val="24"/>
        </w:rPr>
        <w:t>fue de 19,3%.</w:t>
      </w:r>
    </w:p>
    <w:p w:rsidRPr="00C140A0" w:rsidR="00C37B86" w:rsidP="00D94015" w:rsidRDefault="00C37B86" w14:paraId="6003BA2C" w14:textId="77777777">
      <w:pPr>
        <w:spacing w:after="0" w:line="360" w:lineRule="auto"/>
        <w:rPr>
          <w:rFonts w:ascii="Verdana" w:hAnsi="Verdana" w:cs="Arial"/>
          <w:sz w:val="24"/>
          <w:szCs w:val="24"/>
        </w:rPr>
      </w:pPr>
    </w:p>
    <w:p w:rsidRPr="00FD68F1" w:rsidR="00C37B86" w:rsidP="00D94015" w:rsidRDefault="00C37B86" w14:paraId="0A0A0CBE" w14:textId="77777777">
      <w:pPr>
        <w:spacing w:after="0" w:line="360" w:lineRule="auto"/>
        <w:rPr>
          <w:rFonts w:ascii="Verdana" w:hAnsi="Verdana" w:cs="Arial"/>
          <w:b/>
          <w:bCs/>
          <w:sz w:val="18"/>
          <w:szCs w:val="18"/>
        </w:rPr>
      </w:pPr>
      <w:r w:rsidRPr="00C140A0">
        <w:rPr>
          <w:rFonts w:ascii="Verdana" w:hAnsi="Verdana" w:cs="Arial"/>
          <w:b/>
          <w:bCs/>
          <w:sz w:val="24"/>
          <w:szCs w:val="24"/>
        </w:rPr>
        <w:t>Hidrógeno</w:t>
      </w:r>
    </w:p>
    <w:p w:rsidRPr="00FD68F1" w:rsidR="00C37B86" w:rsidP="00D94015" w:rsidRDefault="00C37B86" w14:paraId="3E9797EF" w14:textId="77777777">
      <w:pPr>
        <w:spacing w:after="0" w:line="360" w:lineRule="auto"/>
        <w:rPr>
          <w:rFonts w:ascii="Verdana" w:hAnsi="Verdana" w:cs="Arial"/>
          <w:b/>
          <w:bCs/>
          <w:sz w:val="18"/>
          <w:szCs w:val="18"/>
        </w:rPr>
      </w:pPr>
    </w:p>
    <w:p w:rsidR="00FD68F1" w:rsidP="00FD68F1" w:rsidRDefault="00C37B86" w14:paraId="58AC8D88" w14:textId="77777777">
      <w:pPr>
        <w:pStyle w:val="Descripcin"/>
        <w:spacing w:after="0"/>
        <w:jc w:val="center"/>
        <w:rPr>
          <w:rFonts w:ascii="Verdana" w:hAnsi="Verdana"/>
          <w:i w:val="0"/>
          <w:iCs w:val="0"/>
          <w:color w:val="auto"/>
        </w:rPr>
      </w:pPr>
      <w:r w:rsidRPr="00FD68F1">
        <w:rPr>
          <w:rFonts w:ascii="Verdana" w:hAnsi="Verdana"/>
          <w:i w:val="0"/>
          <w:iCs w:val="0"/>
          <w:color w:val="auto"/>
        </w:rPr>
        <w:t>Tabla</w:t>
      </w:r>
      <w:r w:rsidR="00280F0A">
        <w:rPr>
          <w:rFonts w:ascii="Verdana" w:hAnsi="Verdana"/>
          <w:i w:val="0"/>
          <w:iCs w:val="0"/>
          <w:color w:val="auto"/>
        </w:rPr>
        <w:t xml:space="preserve"> No. 13</w:t>
      </w:r>
      <w:r w:rsidRPr="00FD68F1">
        <w:rPr>
          <w:rFonts w:ascii="Verdana" w:hAnsi="Verdana"/>
          <w:i w:val="0"/>
          <w:iCs w:val="0"/>
          <w:color w:val="auto"/>
        </w:rPr>
        <w:t>. Hidrógeno PES 2024-2026</w:t>
      </w:r>
    </w:p>
    <w:tbl>
      <w:tblPr>
        <w:tblStyle w:val="Tablaconcuadrcula"/>
        <w:tblW w:w="0" w:type="auto"/>
        <w:tblLook w:val="04A0" w:firstRow="1" w:lastRow="0" w:firstColumn="1" w:lastColumn="0" w:noHBand="0" w:noVBand="1"/>
      </w:tblPr>
      <w:tblGrid>
        <w:gridCol w:w="2236"/>
        <w:gridCol w:w="2235"/>
        <w:gridCol w:w="1359"/>
        <w:gridCol w:w="776"/>
        <w:gridCol w:w="776"/>
        <w:gridCol w:w="1446"/>
      </w:tblGrid>
      <w:tr w:rsidRPr="00FD68F1" w:rsidR="00676BCC" w:rsidTr="30CF4445" w14:paraId="60530AFF" w14:textId="77777777">
        <w:tc>
          <w:tcPr>
            <w:tcW w:w="2236" w:type="dxa"/>
            <w:shd w:val="clear" w:color="auto" w:fill="A6A6A6" w:themeFill="background1" w:themeFillShade="A6"/>
            <w:tcMar/>
            <w:vAlign w:val="center"/>
          </w:tcPr>
          <w:p w:rsidRPr="00FD68F1" w:rsidR="00676BCC" w:rsidP="00FD68F1" w:rsidRDefault="00676BCC" w14:paraId="6EBE6ED9" w14:textId="77777777">
            <w:pPr>
              <w:jc w:val="center"/>
              <w:rPr>
                <w:rFonts w:ascii="Verdana" w:hAnsi="Verdana" w:cs="Arial"/>
                <w:b/>
                <w:bCs/>
                <w:sz w:val="18"/>
                <w:szCs w:val="18"/>
              </w:rPr>
            </w:pPr>
            <w:r w:rsidRPr="00FD68F1">
              <w:rPr>
                <w:rFonts w:ascii="Verdana" w:hAnsi="Verdana" w:cs="Arial"/>
                <w:b/>
                <w:bCs/>
                <w:sz w:val="18"/>
                <w:szCs w:val="18"/>
              </w:rPr>
              <w:t>Indicador</w:t>
            </w:r>
          </w:p>
        </w:tc>
        <w:tc>
          <w:tcPr>
            <w:tcW w:w="2235" w:type="dxa"/>
            <w:shd w:val="clear" w:color="auto" w:fill="A6A6A6" w:themeFill="background1" w:themeFillShade="A6"/>
            <w:tcMar/>
            <w:vAlign w:val="center"/>
          </w:tcPr>
          <w:p w:rsidRPr="00FD68F1" w:rsidR="00676BCC" w:rsidP="00FD68F1" w:rsidRDefault="00676BCC" w14:paraId="1AAF6FDF" w14:textId="7AD0800D">
            <w:pPr>
              <w:jc w:val="center"/>
              <w:rPr>
                <w:rFonts w:ascii="Verdana" w:hAnsi="Verdana" w:cs="Arial"/>
                <w:b w:val="1"/>
                <w:bCs w:val="1"/>
                <w:sz w:val="18"/>
                <w:szCs w:val="18"/>
              </w:rPr>
            </w:pPr>
            <w:r w:rsidRPr="30CF4445" w:rsidR="4FFE8A21">
              <w:rPr>
                <w:rFonts w:ascii="Verdana" w:hAnsi="Verdana" w:cs="Arial"/>
                <w:b w:val="1"/>
                <w:bCs w:val="1"/>
                <w:sz w:val="18"/>
                <w:szCs w:val="18"/>
              </w:rPr>
              <w:t>F</w:t>
            </w:r>
            <w:r w:rsidRPr="30CF4445" w:rsidR="212A55F4">
              <w:rPr>
                <w:rFonts w:ascii="Verdana" w:hAnsi="Verdana" w:cs="Arial"/>
                <w:b w:val="1"/>
                <w:bCs w:val="1"/>
                <w:sz w:val="18"/>
                <w:szCs w:val="18"/>
              </w:rPr>
              <w:t>ó</w:t>
            </w:r>
            <w:r w:rsidRPr="30CF4445" w:rsidR="4FFE8A21">
              <w:rPr>
                <w:rFonts w:ascii="Verdana" w:hAnsi="Verdana" w:cs="Arial"/>
                <w:b w:val="1"/>
                <w:bCs w:val="1"/>
                <w:sz w:val="18"/>
                <w:szCs w:val="18"/>
              </w:rPr>
              <w:t>rmula</w:t>
            </w:r>
          </w:p>
        </w:tc>
        <w:tc>
          <w:tcPr>
            <w:tcW w:w="1359" w:type="dxa"/>
            <w:shd w:val="clear" w:color="auto" w:fill="A6A6A6" w:themeFill="background1" w:themeFillShade="A6"/>
            <w:tcMar/>
            <w:vAlign w:val="center"/>
          </w:tcPr>
          <w:p w:rsidRPr="00FD68F1" w:rsidR="00676BCC" w:rsidP="00FD68F1" w:rsidRDefault="00676BCC" w14:paraId="57638D5C" w14:textId="77777777">
            <w:pPr>
              <w:jc w:val="center"/>
              <w:rPr>
                <w:rFonts w:ascii="Verdana" w:hAnsi="Verdana" w:cs="Arial"/>
                <w:b/>
                <w:bCs/>
                <w:sz w:val="18"/>
                <w:szCs w:val="18"/>
              </w:rPr>
            </w:pPr>
            <w:r w:rsidRPr="00FD68F1">
              <w:rPr>
                <w:rFonts w:ascii="Verdana" w:hAnsi="Verdana" w:cs="Arial"/>
                <w:b/>
                <w:bCs/>
                <w:sz w:val="18"/>
                <w:szCs w:val="18"/>
              </w:rPr>
              <w:t>Meta Cuatrienio</w:t>
            </w:r>
          </w:p>
        </w:tc>
        <w:tc>
          <w:tcPr>
            <w:tcW w:w="776" w:type="dxa"/>
            <w:shd w:val="clear" w:color="auto" w:fill="A6A6A6" w:themeFill="background1" w:themeFillShade="A6"/>
            <w:tcMar/>
            <w:vAlign w:val="center"/>
          </w:tcPr>
          <w:p w:rsidRPr="00FD68F1" w:rsidR="00676BCC" w:rsidP="00FD68F1" w:rsidRDefault="00676BCC" w14:paraId="2132E9FA" w14:textId="77777777">
            <w:pPr>
              <w:jc w:val="center"/>
              <w:rPr>
                <w:rFonts w:ascii="Verdana" w:hAnsi="Verdana" w:cs="Arial"/>
                <w:b/>
                <w:bCs/>
                <w:sz w:val="18"/>
                <w:szCs w:val="18"/>
              </w:rPr>
            </w:pPr>
            <w:r w:rsidRPr="00FD68F1">
              <w:rPr>
                <w:rFonts w:ascii="Verdana" w:hAnsi="Verdana" w:cs="Arial"/>
                <w:b/>
                <w:bCs/>
                <w:sz w:val="18"/>
                <w:szCs w:val="18"/>
              </w:rPr>
              <w:t>Meta 2024</w:t>
            </w:r>
          </w:p>
        </w:tc>
        <w:tc>
          <w:tcPr>
            <w:tcW w:w="776" w:type="dxa"/>
            <w:shd w:val="clear" w:color="auto" w:fill="A6A6A6" w:themeFill="background1" w:themeFillShade="A6"/>
            <w:tcMar/>
            <w:vAlign w:val="center"/>
          </w:tcPr>
          <w:p w:rsidRPr="00FD68F1" w:rsidR="00676BCC" w:rsidP="00FD68F1" w:rsidRDefault="00676BCC" w14:paraId="3946D059" w14:textId="77777777">
            <w:pPr>
              <w:jc w:val="center"/>
              <w:rPr>
                <w:rFonts w:ascii="Verdana" w:hAnsi="Verdana" w:cs="Arial"/>
                <w:b/>
                <w:bCs/>
                <w:sz w:val="18"/>
                <w:szCs w:val="18"/>
              </w:rPr>
            </w:pPr>
            <w:r w:rsidRPr="00FD68F1">
              <w:rPr>
                <w:rFonts w:ascii="Verdana" w:hAnsi="Verdana" w:cs="Arial"/>
                <w:b/>
                <w:bCs/>
                <w:sz w:val="18"/>
                <w:szCs w:val="18"/>
              </w:rPr>
              <w:t>Meta 2025</w:t>
            </w:r>
          </w:p>
        </w:tc>
        <w:tc>
          <w:tcPr>
            <w:tcW w:w="1446" w:type="dxa"/>
            <w:shd w:val="clear" w:color="auto" w:fill="A6A6A6" w:themeFill="background1" w:themeFillShade="A6"/>
            <w:tcMar/>
            <w:vAlign w:val="center"/>
          </w:tcPr>
          <w:p w:rsidRPr="00FD68F1" w:rsidR="00676BCC" w:rsidP="00FD68F1" w:rsidRDefault="00676BCC" w14:paraId="6CB3A678" w14:textId="77777777">
            <w:pPr>
              <w:jc w:val="center"/>
              <w:rPr>
                <w:rFonts w:ascii="Verdana" w:hAnsi="Verdana" w:cs="Arial"/>
                <w:b/>
                <w:bCs/>
                <w:sz w:val="18"/>
                <w:szCs w:val="18"/>
              </w:rPr>
            </w:pPr>
            <w:r w:rsidRPr="00FD68F1">
              <w:rPr>
                <w:rFonts w:ascii="Verdana" w:hAnsi="Verdana" w:cs="Arial"/>
                <w:b/>
                <w:bCs/>
                <w:sz w:val="18"/>
                <w:szCs w:val="18"/>
              </w:rPr>
              <w:t>Avance Acumulado</w:t>
            </w:r>
          </w:p>
          <w:p w:rsidRPr="00FD68F1" w:rsidR="00676BCC" w:rsidP="00FD68F1" w:rsidRDefault="00676BCC" w14:paraId="43063604" w14:textId="77777777">
            <w:pPr>
              <w:jc w:val="center"/>
              <w:rPr>
                <w:rFonts w:ascii="Verdana" w:hAnsi="Verdana" w:cs="Arial"/>
                <w:b/>
                <w:bCs/>
                <w:sz w:val="18"/>
                <w:szCs w:val="18"/>
              </w:rPr>
            </w:pPr>
            <w:r w:rsidRPr="00FD68F1">
              <w:rPr>
                <w:rFonts w:ascii="Verdana" w:hAnsi="Verdana" w:cs="Arial"/>
                <w:b/>
                <w:bCs/>
                <w:sz w:val="18"/>
                <w:szCs w:val="18"/>
              </w:rPr>
              <w:t>1° TRIM 2026</w:t>
            </w:r>
          </w:p>
        </w:tc>
      </w:tr>
      <w:tr w:rsidRPr="00FD68F1" w:rsidR="00676BCC" w:rsidTr="30CF4445" w14:paraId="745F2796" w14:textId="77777777">
        <w:tc>
          <w:tcPr>
            <w:tcW w:w="2236" w:type="dxa"/>
            <w:tcMar/>
            <w:vAlign w:val="center"/>
          </w:tcPr>
          <w:p w:rsidRPr="00FD68F1" w:rsidR="00676BCC" w:rsidP="00FD68F1" w:rsidRDefault="00676BCC" w14:paraId="6CD9C6C7" w14:textId="77777777">
            <w:pPr>
              <w:rPr>
                <w:rFonts w:ascii="Verdana" w:hAnsi="Verdana" w:cs="Arial"/>
                <w:sz w:val="18"/>
                <w:szCs w:val="18"/>
              </w:rPr>
            </w:pPr>
            <w:r w:rsidRPr="00FD68F1">
              <w:rPr>
                <w:rFonts w:ascii="Verdana" w:hAnsi="Verdana" w:cs="Arial"/>
                <w:sz w:val="18"/>
                <w:szCs w:val="18"/>
              </w:rPr>
              <w:t>Puesta en funcionamiento de plataforma de registro de proyectos asociados con hidrógeno</w:t>
            </w:r>
          </w:p>
        </w:tc>
        <w:tc>
          <w:tcPr>
            <w:tcW w:w="2235" w:type="dxa"/>
            <w:tcMar/>
            <w:vAlign w:val="center"/>
          </w:tcPr>
          <w:p w:rsidRPr="00FD68F1" w:rsidR="00676BCC" w:rsidP="00FD68F1" w:rsidRDefault="00676BCC" w14:paraId="79ABC0F1" w14:textId="77777777">
            <w:pPr>
              <w:rPr>
                <w:rFonts w:ascii="Verdana" w:hAnsi="Verdana" w:cs="Arial"/>
                <w:sz w:val="18"/>
                <w:szCs w:val="18"/>
              </w:rPr>
            </w:pPr>
            <w:r w:rsidRPr="00FD68F1">
              <w:rPr>
                <w:rFonts w:ascii="Verdana" w:hAnsi="Verdana" w:cs="Arial"/>
                <w:sz w:val="18"/>
                <w:szCs w:val="18"/>
              </w:rPr>
              <w:t>Porcentaje de avance en la puesta en funcionamiento de plataforma de registro de proyectos asociados con hidrógeno</w:t>
            </w:r>
          </w:p>
        </w:tc>
        <w:tc>
          <w:tcPr>
            <w:tcW w:w="1359" w:type="dxa"/>
            <w:tcMar/>
            <w:vAlign w:val="center"/>
          </w:tcPr>
          <w:p w:rsidRPr="00FD68F1" w:rsidR="00676BCC" w:rsidP="00C87383" w:rsidRDefault="00676BCC" w14:paraId="4D15D91B" w14:textId="77777777">
            <w:pPr>
              <w:jc w:val="center"/>
              <w:rPr>
                <w:rFonts w:ascii="Verdana" w:hAnsi="Verdana" w:cs="Arial"/>
                <w:sz w:val="18"/>
                <w:szCs w:val="18"/>
              </w:rPr>
            </w:pPr>
            <w:r w:rsidRPr="00FD68F1">
              <w:rPr>
                <w:rFonts w:ascii="Verdana" w:hAnsi="Verdana" w:cs="Arial"/>
                <w:sz w:val="18"/>
                <w:szCs w:val="18"/>
              </w:rPr>
              <w:t>1</w:t>
            </w:r>
          </w:p>
        </w:tc>
        <w:tc>
          <w:tcPr>
            <w:tcW w:w="776" w:type="dxa"/>
            <w:tcMar/>
            <w:vAlign w:val="center"/>
          </w:tcPr>
          <w:p w:rsidRPr="00FD68F1" w:rsidR="00676BCC" w:rsidP="00C87383" w:rsidRDefault="00676BCC" w14:paraId="5A36CEE1" w14:textId="77777777">
            <w:pPr>
              <w:jc w:val="center"/>
              <w:rPr>
                <w:rFonts w:ascii="Verdana" w:hAnsi="Verdana" w:cs="Arial"/>
                <w:sz w:val="18"/>
                <w:szCs w:val="18"/>
              </w:rPr>
            </w:pPr>
            <w:r w:rsidRPr="00FD68F1">
              <w:rPr>
                <w:rFonts w:ascii="Verdana" w:hAnsi="Verdana" w:cs="Arial"/>
                <w:sz w:val="18"/>
                <w:szCs w:val="18"/>
              </w:rPr>
              <w:t>1</w:t>
            </w:r>
          </w:p>
        </w:tc>
        <w:tc>
          <w:tcPr>
            <w:tcW w:w="776" w:type="dxa"/>
            <w:tcMar/>
            <w:vAlign w:val="center"/>
          </w:tcPr>
          <w:p w:rsidRPr="00FD68F1" w:rsidR="00676BCC" w:rsidP="00C87383" w:rsidRDefault="00676BCC" w14:paraId="03AB6110" w14:textId="77777777">
            <w:pPr>
              <w:jc w:val="center"/>
              <w:rPr>
                <w:rFonts w:ascii="Verdana" w:hAnsi="Verdana" w:cs="Arial"/>
                <w:sz w:val="18"/>
                <w:szCs w:val="18"/>
              </w:rPr>
            </w:pPr>
            <w:r w:rsidRPr="00FD68F1">
              <w:rPr>
                <w:rFonts w:ascii="Verdana" w:hAnsi="Verdana" w:cs="Arial"/>
                <w:sz w:val="18"/>
                <w:szCs w:val="18"/>
              </w:rPr>
              <w:t>1</w:t>
            </w:r>
          </w:p>
        </w:tc>
        <w:tc>
          <w:tcPr>
            <w:tcW w:w="1446" w:type="dxa"/>
            <w:tcMar/>
            <w:vAlign w:val="center"/>
          </w:tcPr>
          <w:p w:rsidRPr="00FD68F1" w:rsidR="00676BCC" w:rsidP="00C87383" w:rsidRDefault="00676BCC" w14:paraId="60B755B0" w14:textId="77777777">
            <w:pPr>
              <w:jc w:val="center"/>
              <w:rPr>
                <w:rFonts w:ascii="Verdana" w:hAnsi="Verdana" w:cs="Arial"/>
                <w:sz w:val="18"/>
                <w:szCs w:val="18"/>
              </w:rPr>
            </w:pPr>
            <w:r w:rsidRPr="00FD68F1">
              <w:rPr>
                <w:rFonts w:ascii="Verdana" w:hAnsi="Verdana" w:cs="Arial"/>
                <w:sz w:val="18"/>
                <w:szCs w:val="18"/>
              </w:rPr>
              <w:t>1</w:t>
            </w:r>
          </w:p>
        </w:tc>
      </w:tr>
      <w:tr w:rsidRPr="00FD68F1" w:rsidR="00676BCC" w:rsidTr="30CF4445" w14:paraId="6CBA4502" w14:textId="77777777">
        <w:tc>
          <w:tcPr>
            <w:tcW w:w="2236" w:type="dxa"/>
            <w:tcMar/>
            <w:vAlign w:val="center"/>
          </w:tcPr>
          <w:p w:rsidRPr="00FD68F1" w:rsidR="00676BCC" w:rsidP="00FD68F1" w:rsidRDefault="00676BCC" w14:paraId="017E9FDB" w14:textId="77777777">
            <w:pPr>
              <w:rPr>
                <w:rFonts w:ascii="Verdana" w:hAnsi="Verdana" w:cs="Arial"/>
                <w:sz w:val="18"/>
                <w:szCs w:val="18"/>
              </w:rPr>
            </w:pPr>
            <w:r w:rsidRPr="00FD68F1">
              <w:rPr>
                <w:rFonts w:ascii="Verdana" w:hAnsi="Verdana" w:cs="Arial"/>
                <w:sz w:val="18"/>
                <w:szCs w:val="18"/>
              </w:rPr>
              <w:t xml:space="preserve">Expedición / ajuste de la política pública </w:t>
            </w:r>
            <w:r w:rsidRPr="00FD68F1">
              <w:rPr>
                <w:rFonts w:ascii="Verdana" w:hAnsi="Verdana" w:cs="Arial"/>
                <w:sz w:val="18"/>
                <w:szCs w:val="18"/>
              </w:rPr>
              <w:t>requerida para la promoción/incentivo y desarrollo del hidrógeno en el país</w:t>
            </w:r>
          </w:p>
        </w:tc>
        <w:tc>
          <w:tcPr>
            <w:tcW w:w="2235" w:type="dxa"/>
            <w:tcMar/>
            <w:vAlign w:val="center"/>
          </w:tcPr>
          <w:p w:rsidRPr="00FD68F1" w:rsidR="00676BCC" w:rsidP="00FD68F1" w:rsidRDefault="00676BCC" w14:paraId="71C7397F" w14:textId="77777777">
            <w:pPr>
              <w:rPr>
                <w:rFonts w:ascii="Verdana" w:hAnsi="Verdana" w:cs="Arial"/>
                <w:sz w:val="18"/>
                <w:szCs w:val="18"/>
              </w:rPr>
            </w:pPr>
            <w:r w:rsidRPr="00FD68F1">
              <w:rPr>
                <w:rFonts w:ascii="Verdana" w:hAnsi="Verdana" w:cs="Arial"/>
                <w:sz w:val="18"/>
                <w:szCs w:val="18"/>
              </w:rPr>
              <w:t xml:space="preserve">Porcentaje de avance en la expedición / </w:t>
            </w:r>
            <w:r w:rsidRPr="00FD68F1">
              <w:rPr>
                <w:rFonts w:ascii="Verdana" w:hAnsi="Verdana" w:cs="Arial"/>
                <w:sz w:val="18"/>
                <w:szCs w:val="18"/>
              </w:rPr>
              <w:t>ajuste de la política pública requerida para la promoción/incentivo y desarrollo del hidrógeno en el país</w:t>
            </w:r>
          </w:p>
        </w:tc>
        <w:tc>
          <w:tcPr>
            <w:tcW w:w="1359" w:type="dxa"/>
            <w:tcMar/>
            <w:vAlign w:val="center"/>
          </w:tcPr>
          <w:p w:rsidRPr="00FD68F1" w:rsidR="00676BCC" w:rsidP="00C87383" w:rsidRDefault="00676BCC" w14:paraId="02F5AC09" w14:textId="77777777">
            <w:pPr>
              <w:jc w:val="center"/>
              <w:rPr>
                <w:rFonts w:ascii="Verdana" w:hAnsi="Verdana" w:cs="Arial"/>
                <w:sz w:val="18"/>
                <w:szCs w:val="18"/>
              </w:rPr>
            </w:pPr>
            <w:r w:rsidRPr="00FD68F1">
              <w:rPr>
                <w:rFonts w:ascii="Verdana" w:hAnsi="Verdana" w:cs="Arial"/>
                <w:sz w:val="18"/>
                <w:szCs w:val="18"/>
              </w:rPr>
              <w:t>1</w:t>
            </w:r>
          </w:p>
        </w:tc>
        <w:tc>
          <w:tcPr>
            <w:tcW w:w="776" w:type="dxa"/>
            <w:tcMar/>
            <w:vAlign w:val="center"/>
          </w:tcPr>
          <w:p w:rsidRPr="00FD68F1" w:rsidR="00676BCC" w:rsidP="00C87383" w:rsidRDefault="00676BCC" w14:paraId="25D58DB1" w14:textId="77777777">
            <w:pPr>
              <w:jc w:val="center"/>
              <w:rPr>
                <w:rFonts w:ascii="Verdana" w:hAnsi="Verdana" w:cs="Arial"/>
                <w:sz w:val="18"/>
                <w:szCs w:val="18"/>
              </w:rPr>
            </w:pPr>
            <w:r w:rsidRPr="00FD68F1">
              <w:rPr>
                <w:rFonts w:ascii="Verdana" w:hAnsi="Verdana" w:cs="Arial"/>
                <w:sz w:val="18"/>
                <w:szCs w:val="18"/>
              </w:rPr>
              <w:t>0,4</w:t>
            </w:r>
          </w:p>
        </w:tc>
        <w:tc>
          <w:tcPr>
            <w:tcW w:w="776" w:type="dxa"/>
            <w:tcMar/>
            <w:vAlign w:val="center"/>
          </w:tcPr>
          <w:p w:rsidRPr="00FD68F1" w:rsidR="00676BCC" w:rsidP="00C87383" w:rsidRDefault="00676BCC" w14:paraId="0CA99087" w14:textId="77777777">
            <w:pPr>
              <w:jc w:val="center"/>
              <w:rPr>
                <w:rFonts w:ascii="Verdana" w:hAnsi="Verdana" w:cs="Arial"/>
                <w:sz w:val="18"/>
                <w:szCs w:val="18"/>
              </w:rPr>
            </w:pPr>
            <w:r w:rsidRPr="00FD68F1">
              <w:rPr>
                <w:rFonts w:ascii="Verdana" w:hAnsi="Verdana" w:cs="Arial"/>
                <w:sz w:val="18"/>
                <w:szCs w:val="18"/>
              </w:rPr>
              <w:t>0,7</w:t>
            </w:r>
          </w:p>
        </w:tc>
        <w:tc>
          <w:tcPr>
            <w:tcW w:w="1446" w:type="dxa"/>
            <w:tcMar/>
            <w:vAlign w:val="center"/>
          </w:tcPr>
          <w:p w:rsidRPr="00FD68F1" w:rsidR="00676BCC" w:rsidP="00C87383" w:rsidRDefault="00676BCC" w14:paraId="601A51A0" w14:textId="77777777">
            <w:pPr>
              <w:jc w:val="center"/>
              <w:rPr>
                <w:rFonts w:ascii="Verdana" w:hAnsi="Verdana" w:cs="Arial"/>
                <w:sz w:val="18"/>
                <w:szCs w:val="18"/>
              </w:rPr>
            </w:pPr>
            <w:r w:rsidRPr="00FD68F1">
              <w:rPr>
                <w:rFonts w:ascii="Verdana" w:hAnsi="Verdana" w:cs="Arial"/>
                <w:sz w:val="18"/>
                <w:szCs w:val="18"/>
              </w:rPr>
              <w:t>0,8</w:t>
            </w:r>
          </w:p>
        </w:tc>
      </w:tr>
    </w:tbl>
    <w:p w:rsidRPr="00FD68F1" w:rsidR="001F7848" w:rsidP="00C87383" w:rsidRDefault="367F5B2D" w14:paraId="40F64E6B" w14:textId="77777777">
      <w:pPr>
        <w:spacing w:after="0" w:line="360" w:lineRule="auto"/>
        <w:jc w:val="center"/>
        <w:rPr>
          <w:rFonts w:ascii="Verdana" w:hAnsi="Verdana" w:cs="Arial"/>
          <w:sz w:val="18"/>
          <w:szCs w:val="18"/>
        </w:rPr>
      </w:pPr>
      <w:r w:rsidRPr="180099B3">
        <w:rPr>
          <w:rFonts w:ascii="Verdana" w:hAnsi="Verdana" w:cs="Arial"/>
          <w:sz w:val="18"/>
          <w:szCs w:val="18"/>
        </w:rPr>
        <w:t xml:space="preserve">Fuente: Elaboración propia </w:t>
      </w:r>
      <w:r w:rsidRPr="180099B3" w:rsidR="58CEE61A">
        <w:rPr>
          <w:rFonts w:ascii="Verdana" w:hAnsi="Verdana" w:cs="Arial"/>
          <w:sz w:val="18"/>
          <w:szCs w:val="18"/>
        </w:rPr>
        <w:t xml:space="preserve">OPGI - </w:t>
      </w:r>
      <w:r w:rsidRPr="180099B3">
        <w:rPr>
          <w:rFonts w:ascii="Verdana" w:hAnsi="Verdana" w:cs="Arial"/>
          <w:sz w:val="18"/>
          <w:szCs w:val="18"/>
        </w:rPr>
        <w:t>MME, 31 de marzo 2026.</w:t>
      </w:r>
    </w:p>
    <w:p w:rsidR="00C87383" w:rsidP="00D94015" w:rsidRDefault="00C87383" w14:paraId="442B3FE7" w14:textId="77777777">
      <w:pPr>
        <w:spacing w:after="0" w:line="360" w:lineRule="auto"/>
        <w:jc w:val="both"/>
        <w:rPr>
          <w:rFonts w:ascii="Verdana" w:hAnsi="Verdana"/>
          <w:sz w:val="24"/>
          <w:szCs w:val="24"/>
        </w:rPr>
      </w:pPr>
    </w:p>
    <w:p w:rsidRPr="00C140A0" w:rsidR="00611BF6" w:rsidP="00D94015" w:rsidRDefault="00611BF6" w14:paraId="4A3F6360" w14:textId="77777777">
      <w:pPr>
        <w:spacing w:after="0" w:line="360" w:lineRule="auto"/>
        <w:jc w:val="both"/>
        <w:rPr>
          <w:rFonts w:ascii="Verdana" w:hAnsi="Verdana"/>
          <w:sz w:val="24"/>
          <w:szCs w:val="24"/>
        </w:rPr>
      </w:pPr>
      <w:r w:rsidRPr="00C140A0">
        <w:rPr>
          <w:rFonts w:ascii="Verdana" w:hAnsi="Verdana"/>
          <w:sz w:val="24"/>
          <w:szCs w:val="24"/>
        </w:rPr>
        <w:t xml:space="preserve">Frente a los principales logros realizados durante este periodo de tiempo, se contemplan los siguientes: </w:t>
      </w:r>
    </w:p>
    <w:p w:rsidRPr="00FD68F1" w:rsidR="00611BF6" w:rsidRDefault="00611BF6" w14:paraId="7CD42746" w14:textId="77777777">
      <w:pPr>
        <w:pStyle w:val="Prrafodelista"/>
        <w:numPr>
          <w:ilvl w:val="0"/>
          <w:numId w:val="69"/>
        </w:numPr>
        <w:spacing w:after="0" w:line="360" w:lineRule="auto"/>
        <w:ind w:left="709" w:hanging="425"/>
        <w:jc w:val="both"/>
        <w:rPr>
          <w:rFonts w:ascii="Verdana" w:hAnsi="Verdana"/>
          <w:sz w:val="24"/>
          <w:szCs w:val="24"/>
        </w:rPr>
      </w:pPr>
      <w:r w:rsidRPr="00FD68F1">
        <w:rPr>
          <w:rFonts w:ascii="Verdana" w:hAnsi="Verdana"/>
          <w:sz w:val="24"/>
          <w:szCs w:val="24"/>
        </w:rPr>
        <w:t>Se ha avanzado en los siguientes instrumentos normativos: (i) decreto para establecer el umbral máximo de emisiones de GEI, ya con comentarios de la ciudadanía; (ii) decreto de gobernanza, actualmente en socialización del borrador final ante todos los firmantes; (iii) decreto para agentes de la cadena de valor, ya con comentarios de la ciudadanía; y (iv) resolución para la asignación de áreas destinadas a la evaluación, exploración y explotación de hidrógeno blanco, ya con comentarios de la ciudadanía.</w:t>
      </w:r>
    </w:p>
    <w:p w:rsidRPr="00FD68F1" w:rsidR="00611BF6" w:rsidRDefault="00611BF6" w14:paraId="71F39A9E" w14:textId="0925A9D4">
      <w:pPr>
        <w:pStyle w:val="Prrafodelista"/>
        <w:numPr>
          <w:ilvl w:val="0"/>
          <w:numId w:val="69"/>
        </w:numPr>
        <w:spacing w:after="0" w:line="360" w:lineRule="auto"/>
        <w:ind w:left="709" w:hanging="425"/>
        <w:jc w:val="both"/>
        <w:rPr>
          <w:rFonts w:ascii="Verdana" w:hAnsi="Verdana"/>
          <w:sz w:val="24"/>
          <w:szCs w:val="24"/>
        </w:rPr>
      </w:pPr>
      <w:r w:rsidRPr="30CF4445" w:rsidR="6BE3EF6D">
        <w:rPr>
          <w:rFonts w:ascii="Verdana" w:hAnsi="Verdana"/>
          <w:sz w:val="24"/>
          <w:szCs w:val="24"/>
        </w:rPr>
        <w:t>Adicionalmente, se ha continuado avanzando en la formulación del CONPES de Política Pública del Hidrógeno, el cual se encuentra en proceso de concertación de acciones con las demás carteras ministeriales.</w:t>
      </w:r>
    </w:p>
    <w:p w:rsidRPr="00FD68F1" w:rsidR="00611BF6" w:rsidRDefault="00611BF6" w14:paraId="297F98B6" w14:textId="77777777">
      <w:pPr>
        <w:pStyle w:val="Prrafodelista"/>
        <w:numPr>
          <w:ilvl w:val="0"/>
          <w:numId w:val="69"/>
        </w:numPr>
        <w:spacing w:after="0" w:line="360" w:lineRule="auto"/>
        <w:ind w:left="709" w:hanging="425"/>
        <w:jc w:val="both"/>
        <w:rPr>
          <w:rFonts w:ascii="Verdana" w:hAnsi="Verdana"/>
          <w:sz w:val="24"/>
          <w:szCs w:val="24"/>
        </w:rPr>
      </w:pPr>
      <w:r w:rsidRPr="00FD68F1">
        <w:rPr>
          <w:rFonts w:ascii="Verdana" w:hAnsi="Verdana"/>
          <w:sz w:val="24"/>
          <w:szCs w:val="24"/>
        </w:rPr>
        <w:t>Se expidió la Resolución 40122 del 13 de febrero de 2026, por el cual se otorga un permiso de exploración geotérmica con fines de generación de energía eléctrica a DEWURST GROUP S.A.S. sobre el área denominada “CONDOR PAIPA”, ubicada en jurisdicción del municipio de Paipa, departamento de Boyacá.</w:t>
      </w:r>
    </w:p>
    <w:p w:rsidRPr="00C140A0" w:rsidR="00FD68F1" w:rsidP="00D94015" w:rsidRDefault="00FD68F1" w14:paraId="1F123498" w14:textId="77777777">
      <w:pPr>
        <w:spacing w:after="0" w:line="360" w:lineRule="auto"/>
        <w:jc w:val="both"/>
        <w:rPr>
          <w:rFonts w:ascii="Verdana" w:hAnsi="Verdana"/>
          <w:sz w:val="24"/>
          <w:szCs w:val="24"/>
        </w:rPr>
      </w:pPr>
    </w:p>
    <w:p w:rsidRPr="00C140A0" w:rsidR="00611BF6" w:rsidP="00D94015" w:rsidRDefault="00611BF6" w14:paraId="187860B8" w14:textId="77777777">
      <w:pPr>
        <w:spacing w:after="0" w:line="360" w:lineRule="auto"/>
        <w:rPr>
          <w:rFonts w:ascii="Verdana" w:hAnsi="Verdana"/>
          <w:b/>
          <w:bCs/>
          <w:sz w:val="24"/>
          <w:szCs w:val="24"/>
        </w:rPr>
      </w:pPr>
      <w:r w:rsidRPr="00C140A0">
        <w:rPr>
          <w:rFonts w:ascii="Verdana" w:hAnsi="Verdana"/>
          <w:b/>
          <w:bCs/>
          <w:sz w:val="24"/>
          <w:szCs w:val="24"/>
        </w:rPr>
        <w:t>Geotermia</w:t>
      </w:r>
    </w:p>
    <w:p w:rsidRPr="00C140A0" w:rsidR="00A071C5" w:rsidP="00611BF6" w:rsidRDefault="00611BF6" w14:paraId="5D2340D8" w14:textId="77777777">
      <w:pPr>
        <w:jc w:val="center"/>
        <w:rPr>
          <w:rFonts w:ascii="Verdana" w:hAnsi="Verdana"/>
          <w:sz w:val="18"/>
          <w:szCs w:val="18"/>
        </w:rPr>
      </w:pPr>
      <w:r w:rsidRPr="00C140A0">
        <w:rPr>
          <w:rFonts w:ascii="Verdana" w:hAnsi="Verdana"/>
          <w:sz w:val="18"/>
          <w:szCs w:val="18"/>
        </w:rPr>
        <w:t xml:space="preserve">Tabla </w:t>
      </w:r>
      <w:r w:rsidR="00280F0A">
        <w:rPr>
          <w:rFonts w:ascii="Verdana" w:hAnsi="Verdana"/>
          <w:sz w:val="18"/>
          <w:szCs w:val="18"/>
        </w:rPr>
        <w:t>No. 14.</w:t>
      </w:r>
      <w:r w:rsidRPr="00C140A0">
        <w:rPr>
          <w:rFonts w:ascii="Verdana" w:hAnsi="Verdana"/>
          <w:sz w:val="18"/>
          <w:szCs w:val="18"/>
        </w:rPr>
        <w:t xml:space="preserve"> Geotermia PES 2024-2026</w:t>
      </w:r>
    </w:p>
    <w:tbl>
      <w:tblPr>
        <w:tblStyle w:val="Tablaconcuadrcula"/>
        <w:tblW w:w="8784" w:type="dxa"/>
        <w:tblLayout w:type="fixed"/>
        <w:tblLook w:val="04A0" w:firstRow="1" w:lastRow="0" w:firstColumn="1" w:lastColumn="0" w:noHBand="0" w:noVBand="1"/>
      </w:tblPr>
      <w:tblGrid>
        <w:gridCol w:w="2263"/>
        <w:gridCol w:w="1843"/>
        <w:gridCol w:w="1354"/>
        <w:gridCol w:w="914"/>
        <w:gridCol w:w="851"/>
        <w:gridCol w:w="1559"/>
      </w:tblGrid>
      <w:tr w:rsidRPr="00C140A0" w:rsidR="00824E38" w:rsidTr="30CF4445" w14:paraId="1A72D26E" w14:textId="77777777">
        <w:tc>
          <w:tcPr>
            <w:tcW w:w="2263" w:type="dxa"/>
            <w:shd w:val="clear" w:color="auto" w:fill="A6A6A6" w:themeFill="background1" w:themeFillShade="A6"/>
            <w:tcMar/>
            <w:vAlign w:val="center"/>
          </w:tcPr>
          <w:p w:rsidRPr="00C140A0" w:rsidR="00824E38" w:rsidP="00280F0A" w:rsidRDefault="00824E38" w14:paraId="2C7B7BAE" w14:textId="77777777">
            <w:pPr>
              <w:jc w:val="center"/>
              <w:rPr>
                <w:rFonts w:ascii="Verdana" w:hAnsi="Verdana" w:cs="Arial"/>
                <w:b/>
                <w:bCs/>
                <w:sz w:val="18"/>
                <w:szCs w:val="18"/>
              </w:rPr>
            </w:pPr>
            <w:r w:rsidRPr="00C140A0">
              <w:rPr>
                <w:rFonts w:ascii="Verdana" w:hAnsi="Verdana" w:cs="Arial"/>
                <w:b/>
                <w:bCs/>
                <w:sz w:val="18"/>
                <w:szCs w:val="18"/>
              </w:rPr>
              <w:t>Indicador</w:t>
            </w:r>
          </w:p>
        </w:tc>
        <w:tc>
          <w:tcPr>
            <w:tcW w:w="1843" w:type="dxa"/>
            <w:shd w:val="clear" w:color="auto" w:fill="A6A6A6" w:themeFill="background1" w:themeFillShade="A6"/>
            <w:tcMar/>
            <w:vAlign w:val="center"/>
          </w:tcPr>
          <w:p w:rsidRPr="00C140A0" w:rsidR="00824E38" w:rsidP="00280F0A" w:rsidRDefault="00824E38" w14:paraId="18449A8E" w14:textId="71866951">
            <w:pPr>
              <w:jc w:val="center"/>
              <w:rPr>
                <w:rFonts w:ascii="Verdana" w:hAnsi="Verdana" w:cs="Arial"/>
                <w:b w:val="1"/>
                <w:bCs w:val="1"/>
                <w:sz w:val="18"/>
                <w:szCs w:val="18"/>
              </w:rPr>
            </w:pPr>
            <w:r w:rsidRPr="30CF4445" w:rsidR="3A7C7EE4">
              <w:rPr>
                <w:rFonts w:ascii="Verdana" w:hAnsi="Verdana" w:cs="Arial"/>
                <w:b w:val="1"/>
                <w:bCs w:val="1"/>
                <w:sz w:val="18"/>
                <w:szCs w:val="18"/>
              </w:rPr>
              <w:t>F</w:t>
            </w:r>
            <w:r w:rsidRPr="30CF4445" w:rsidR="7FC0F789">
              <w:rPr>
                <w:rFonts w:ascii="Verdana" w:hAnsi="Verdana" w:cs="Arial"/>
                <w:b w:val="1"/>
                <w:bCs w:val="1"/>
                <w:sz w:val="18"/>
                <w:szCs w:val="18"/>
              </w:rPr>
              <w:t>ó</w:t>
            </w:r>
            <w:r w:rsidRPr="30CF4445" w:rsidR="3A7C7EE4">
              <w:rPr>
                <w:rFonts w:ascii="Verdana" w:hAnsi="Verdana" w:cs="Arial"/>
                <w:b w:val="1"/>
                <w:bCs w:val="1"/>
                <w:sz w:val="18"/>
                <w:szCs w:val="18"/>
              </w:rPr>
              <w:t>rmula</w:t>
            </w:r>
          </w:p>
        </w:tc>
        <w:tc>
          <w:tcPr>
            <w:tcW w:w="1354" w:type="dxa"/>
            <w:shd w:val="clear" w:color="auto" w:fill="A6A6A6" w:themeFill="background1" w:themeFillShade="A6"/>
            <w:tcMar/>
            <w:vAlign w:val="center"/>
          </w:tcPr>
          <w:p w:rsidRPr="00C140A0" w:rsidR="00824E38" w:rsidP="00280F0A" w:rsidRDefault="00824E38" w14:paraId="1AE9F2FC" w14:textId="77777777">
            <w:pPr>
              <w:jc w:val="center"/>
              <w:rPr>
                <w:rFonts w:ascii="Verdana" w:hAnsi="Verdana" w:cs="Arial"/>
                <w:b/>
                <w:bCs/>
                <w:sz w:val="18"/>
                <w:szCs w:val="18"/>
              </w:rPr>
            </w:pPr>
            <w:r w:rsidRPr="00C140A0">
              <w:rPr>
                <w:rFonts w:ascii="Verdana" w:hAnsi="Verdana" w:cs="Arial"/>
                <w:b/>
                <w:bCs/>
                <w:sz w:val="18"/>
                <w:szCs w:val="18"/>
              </w:rPr>
              <w:t>Meta Cuatrienio</w:t>
            </w:r>
          </w:p>
        </w:tc>
        <w:tc>
          <w:tcPr>
            <w:tcW w:w="914" w:type="dxa"/>
            <w:shd w:val="clear" w:color="auto" w:fill="A6A6A6" w:themeFill="background1" w:themeFillShade="A6"/>
            <w:tcMar/>
            <w:vAlign w:val="center"/>
          </w:tcPr>
          <w:p w:rsidRPr="00C140A0" w:rsidR="00824E38" w:rsidP="00280F0A" w:rsidRDefault="00824E38" w14:paraId="1C1B6645" w14:textId="77777777">
            <w:pPr>
              <w:jc w:val="center"/>
              <w:rPr>
                <w:rFonts w:ascii="Verdana" w:hAnsi="Verdana" w:cs="Arial"/>
                <w:b/>
                <w:bCs/>
                <w:sz w:val="18"/>
                <w:szCs w:val="18"/>
              </w:rPr>
            </w:pPr>
            <w:r w:rsidRPr="00C140A0">
              <w:rPr>
                <w:rFonts w:ascii="Verdana" w:hAnsi="Verdana" w:cs="Arial"/>
                <w:b/>
                <w:bCs/>
                <w:sz w:val="18"/>
                <w:szCs w:val="18"/>
              </w:rPr>
              <w:t>Meta 2024</w:t>
            </w:r>
          </w:p>
        </w:tc>
        <w:tc>
          <w:tcPr>
            <w:tcW w:w="851" w:type="dxa"/>
            <w:shd w:val="clear" w:color="auto" w:fill="A6A6A6" w:themeFill="background1" w:themeFillShade="A6"/>
            <w:tcMar/>
            <w:vAlign w:val="center"/>
          </w:tcPr>
          <w:p w:rsidRPr="00C140A0" w:rsidR="00824E38" w:rsidP="00280F0A" w:rsidRDefault="00824E38" w14:paraId="622F2BCC" w14:textId="77777777">
            <w:pPr>
              <w:jc w:val="center"/>
              <w:rPr>
                <w:rFonts w:ascii="Verdana" w:hAnsi="Verdana" w:cs="Arial"/>
                <w:b/>
                <w:bCs/>
                <w:sz w:val="18"/>
                <w:szCs w:val="18"/>
              </w:rPr>
            </w:pPr>
            <w:r w:rsidRPr="00C140A0">
              <w:rPr>
                <w:rFonts w:ascii="Verdana" w:hAnsi="Verdana" w:cs="Arial"/>
                <w:b/>
                <w:bCs/>
                <w:sz w:val="18"/>
                <w:szCs w:val="18"/>
              </w:rPr>
              <w:t>Meta 2025</w:t>
            </w:r>
          </w:p>
        </w:tc>
        <w:tc>
          <w:tcPr>
            <w:tcW w:w="1559" w:type="dxa"/>
            <w:shd w:val="clear" w:color="auto" w:fill="A6A6A6" w:themeFill="background1" w:themeFillShade="A6"/>
            <w:tcMar/>
            <w:vAlign w:val="center"/>
          </w:tcPr>
          <w:p w:rsidRPr="00C140A0" w:rsidR="00824E38" w:rsidP="00280F0A" w:rsidRDefault="00824E38" w14:paraId="46B01CEE" w14:textId="77777777">
            <w:pPr>
              <w:jc w:val="center"/>
              <w:rPr>
                <w:rFonts w:ascii="Verdana" w:hAnsi="Verdana" w:cs="Arial"/>
                <w:b/>
                <w:bCs/>
                <w:sz w:val="18"/>
                <w:szCs w:val="18"/>
              </w:rPr>
            </w:pPr>
            <w:r w:rsidRPr="00C140A0">
              <w:rPr>
                <w:rFonts w:ascii="Verdana" w:hAnsi="Verdana" w:cs="Arial"/>
                <w:b/>
                <w:bCs/>
                <w:sz w:val="18"/>
                <w:szCs w:val="18"/>
              </w:rPr>
              <w:t>Avance Acumulado</w:t>
            </w:r>
          </w:p>
          <w:p w:rsidRPr="00C140A0" w:rsidR="00824E38" w:rsidP="00280F0A" w:rsidRDefault="00824E38" w14:paraId="6D52BEE9" w14:textId="77777777">
            <w:pPr>
              <w:jc w:val="center"/>
              <w:rPr>
                <w:rFonts w:ascii="Verdana" w:hAnsi="Verdana" w:cs="Arial"/>
                <w:b/>
                <w:bCs/>
                <w:sz w:val="18"/>
                <w:szCs w:val="18"/>
              </w:rPr>
            </w:pPr>
            <w:r w:rsidRPr="00C140A0">
              <w:rPr>
                <w:rFonts w:ascii="Verdana" w:hAnsi="Verdana" w:cs="Arial"/>
                <w:b/>
                <w:bCs/>
                <w:sz w:val="18"/>
                <w:szCs w:val="18"/>
              </w:rPr>
              <w:t>1° TRIM 2026</w:t>
            </w:r>
          </w:p>
        </w:tc>
      </w:tr>
      <w:tr w:rsidRPr="00C140A0" w:rsidR="00824E38" w:rsidTr="30CF4445" w14:paraId="3AA355BC" w14:textId="77777777">
        <w:tc>
          <w:tcPr>
            <w:tcW w:w="2263" w:type="dxa"/>
            <w:tcMar/>
            <w:vAlign w:val="center"/>
          </w:tcPr>
          <w:p w:rsidRPr="00C140A0" w:rsidR="00824E38" w:rsidP="00280F0A" w:rsidRDefault="00824E38" w14:paraId="41FF7B16" w14:textId="77777777">
            <w:pPr>
              <w:jc w:val="both"/>
              <w:rPr>
                <w:rFonts w:ascii="Verdana" w:hAnsi="Verdana" w:cs="Arial"/>
                <w:sz w:val="18"/>
                <w:szCs w:val="18"/>
              </w:rPr>
            </w:pPr>
            <w:r w:rsidRPr="00C140A0">
              <w:rPr>
                <w:rFonts w:ascii="Verdana" w:hAnsi="Verdana" w:cs="Arial"/>
                <w:sz w:val="18"/>
                <w:szCs w:val="18"/>
              </w:rPr>
              <w:t>Expedición / ajuste de la política pública requerida para la promoción/incentivo y desarrollo de la geotermia en el país</w:t>
            </w:r>
          </w:p>
        </w:tc>
        <w:tc>
          <w:tcPr>
            <w:tcW w:w="1843" w:type="dxa"/>
            <w:tcMar/>
            <w:vAlign w:val="center"/>
          </w:tcPr>
          <w:p w:rsidRPr="00C140A0" w:rsidR="00824E38" w:rsidP="00280F0A" w:rsidRDefault="00824E38" w14:paraId="0121CC85" w14:textId="77777777">
            <w:pPr>
              <w:jc w:val="both"/>
              <w:rPr>
                <w:rFonts w:ascii="Verdana" w:hAnsi="Verdana" w:cs="Arial"/>
                <w:sz w:val="18"/>
                <w:szCs w:val="18"/>
              </w:rPr>
            </w:pPr>
            <w:r w:rsidRPr="00C140A0">
              <w:rPr>
                <w:rFonts w:ascii="Verdana" w:hAnsi="Verdana" w:cs="Arial"/>
                <w:sz w:val="18"/>
                <w:szCs w:val="18"/>
              </w:rPr>
              <w:t>Porcentaje de avance en la expedición / ajuste de la política pública requerida para la promoción/incentivo y desarrollo de la geotermia en el país</w:t>
            </w:r>
          </w:p>
        </w:tc>
        <w:tc>
          <w:tcPr>
            <w:tcW w:w="1354" w:type="dxa"/>
            <w:tcMar/>
            <w:vAlign w:val="center"/>
          </w:tcPr>
          <w:p w:rsidRPr="00C140A0" w:rsidR="00824E38" w:rsidP="00280F0A" w:rsidRDefault="00824E38" w14:paraId="08AFAF69" w14:textId="77777777">
            <w:pPr>
              <w:jc w:val="center"/>
              <w:rPr>
                <w:rFonts w:ascii="Verdana" w:hAnsi="Verdana" w:cs="Arial"/>
                <w:sz w:val="18"/>
                <w:szCs w:val="18"/>
              </w:rPr>
            </w:pPr>
            <w:r w:rsidRPr="00C140A0">
              <w:rPr>
                <w:rFonts w:ascii="Verdana" w:hAnsi="Verdana" w:cs="Arial"/>
                <w:sz w:val="18"/>
                <w:szCs w:val="18"/>
              </w:rPr>
              <w:t>1</w:t>
            </w:r>
          </w:p>
        </w:tc>
        <w:tc>
          <w:tcPr>
            <w:tcW w:w="914" w:type="dxa"/>
            <w:tcMar/>
            <w:vAlign w:val="center"/>
          </w:tcPr>
          <w:p w:rsidRPr="00C140A0" w:rsidR="00824E38" w:rsidP="00280F0A" w:rsidRDefault="00824E38" w14:paraId="56E8FF40" w14:textId="77777777">
            <w:pPr>
              <w:jc w:val="center"/>
              <w:rPr>
                <w:rFonts w:ascii="Verdana" w:hAnsi="Verdana" w:cs="Arial"/>
                <w:sz w:val="18"/>
                <w:szCs w:val="18"/>
              </w:rPr>
            </w:pPr>
            <w:r w:rsidRPr="00C140A0">
              <w:rPr>
                <w:rFonts w:ascii="Verdana" w:hAnsi="Verdana" w:cs="Arial"/>
                <w:sz w:val="18"/>
                <w:szCs w:val="18"/>
              </w:rPr>
              <w:t>1</w:t>
            </w:r>
          </w:p>
        </w:tc>
        <w:tc>
          <w:tcPr>
            <w:tcW w:w="851" w:type="dxa"/>
            <w:tcMar/>
            <w:vAlign w:val="center"/>
          </w:tcPr>
          <w:p w:rsidRPr="00C140A0" w:rsidR="00824E38" w:rsidP="00280F0A" w:rsidRDefault="00824E38" w14:paraId="439510C1" w14:textId="77777777">
            <w:pPr>
              <w:ind w:right="-289" w:hanging="11"/>
              <w:jc w:val="center"/>
              <w:rPr>
                <w:rFonts w:ascii="Verdana" w:hAnsi="Verdana" w:cs="Arial"/>
                <w:sz w:val="18"/>
                <w:szCs w:val="18"/>
              </w:rPr>
            </w:pPr>
            <w:r w:rsidRPr="00C140A0">
              <w:rPr>
                <w:rFonts w:ascii="Verdana" w:hAnsi="Verdana" w:cs="Arial"/>
                <w:sz w:val="18"/>
                <w:szCs w:val="18"/>
              </w:rPr>
              <w:t>1</w:t>
            </w:r>
          </w:p>
        </w:tc>
        <w:tc>
          <w:tcPr>
            <w:tcW w:w="1559" w:type="dxa"/>
            <w:tcMar/>
            <w:vAlign w:val="center"/>
          </w:tcPr>
          <w:p w:rsidRPr="00C140A0" w:rsidR="00824E38" w:rsidP="00280F0A" w:rsidRDefault="00824E38" w14:paraId="48B09DD2" w14:textId="77777777">
            <w:pPr>
              <w:jc w:val="center"/>
              <w:rPr>
                <w:rFonts w:ascii="Verdana" w:hAnsi="Verdana" w:cs="Arial"/>
                <w:sz w:val="18"/>
                <w:szCs w:val="18"/>
              </w:rPr>
            </w:pPr>
            <w:r w:rsidRPr="00C140A0">
              <w:rPr>
                <w:rFonts w:ascii="Verdana" w:hAnsi="Verdana" w:cs="Arial"/>
                <w:sz w:val="18"/>
                <w:szCs w:val="18"/>
              </w:rPr>
              <w:t>0,7</w:t>
            </w:r>
          </w:p>
        </w:tc>
      </w:tr>
    </w:tbl>
    <w:p w:rsidR="00337ABD" w:rsidP="00625FDE" w:rsidRDefault="3C021CDA" w14:paraId="271CDBF9" w14:textId="77777777">
      <w:pPr>
        <w:jc w:val="center"/>
        <w:rPr>
          <w:rFonts w:ascii="Verdana" w:hAnsi="Verdana"/>
          <w:sz w:val="18"/>
          <w:szCs w:val="18"/>
        </w:rPr>
      </w:pPr>
      <w:r w:rsidRPr="00D94015">
        <w:rPr>
          <w:rFonts w:ascii="Verdana" w:hAnsi="Verdana"/>
          <w:sz w:val="18"/>
          <w:szCs w:val="18"/>
        </w:rPr>
        <w:t>Fuente: Elaboración propia</w:t>
      </w:r>
      <w:r w:rsidRPr="00D94015" w:rsidR="600F43DC">
        <w:rPr>
          <w:rFonts w:ascii="Verdana" w:hAnsi="Verdana"/>
          <w:sz w:val="18"/>
          <w:szCs w:val="18"/>
        </w:rPr>
        <w:t xml:space="preserve"> OPGI -</w:t>
      </w:r>
      <w:r w:rsidRPr="00D94015">
        <w:rPr>
          <w:rFonts w:ascii="Verdana" w:hAnsi="Verdana"/>
          <w:sz w:val="18"/>
          <w:szCs w:val="18"/>
        </w:rPr>
        <w:t xml:space="preserve"> MME, 31 de marzo 2026.</w:t>
      </w:r>
    </w:p>
    <w:p w:rsidRPr="00D94015" w:rsidR="00D94015" w:rsidP="00D94015" w:rsidRDefault="00D94015" w14:paraId="550CC3F8" w14:textId="77777777">
      <w:pPr>
        <w:spacing w:after="0" w:line="360" w:lineRule="auto"/>
        <w:jc w:val="center"/>
        <w:rPr>
          <w:rFonts w:ascii="Verdana" w:hAnsi="Verdana"/>
          <w:sz w:val="18"/>
          <w:szCs w:val="18"/>
        </w:rPr>
      </w:pPr>
    </w:p>
    <w:p w:rsidRPr="00C140A0" w:rsidR="00625FDE" w:rsidP="00D94015" w:rsidRDefault="00625FDE" w14:paraId="192FAEA9" w14:textId="77777777">
      <w:pPr>
        <w:spacing w:after="0" w:line="360" w:lineRule="auto"/>
        <w:jc w:val="both"/>
        <w:rPr>
          <w:rFonts w:ascii="Verdana" w:hAnsi="Verdana" w:cs="Arial"/>
          <w:sz w:val="24"/>
          <w:szCs w:val="24"/>
        </w:rPr>
      </w:pPr>
      <w:r w:rsidRPr="00D94015">
        <w:rPr>
          <w:rFonts w:ascii="Verdana" w:hAnsi="Verdana" w:cs="Arial"/>
          <w:sz w:val="24"/>
          <w:szCs w:val="24"/>
        </w:rPr>
        <w:t xml:space="preserve">Frente a los principales logros realizados durante este periodo de tiempo, se </w:t>
      </w:r>
      <w:r w:rsidRPr="00C140A0">
        <w:rPr>
          <w:rFonts w:ascii="Verdana" w:hAnsi="Verdana" w:cs="Arial"/>
          <w:sz w:val="24"/>
          <w:szCs w:val="24"/>
        </w:rPr>
        <w:t xml:space="preserve">contemplan los siguientes: </w:t>
      </w:r>
    </w:p>
    <w:p w:rsidRPr="00395DFA" w:rsidR="00625FDE" w:rsidRDefault="00625FDE" w14:paraId="554C3CA5" w14:textId="77777777">
      <w:pPr>
        <w:pStyle w:val="Prrafodelista"/>
        <w:numPr>
          <w:ilvl w:val="0"/>
          <w:numId w:val="70"/>
        </w:numPr>
        <w:suppressAutoHyphens/>
        <w:spacing w:after="0" w:line="360" w:lineRule="auto"/>
        <w:ind w:left="709" w:hanging="425"/>
        <w:jc w:val="both"/>
        <w:rPr>
          <w:rFonts w:ascii="Verdana" w:hAnsi="Verdana"/>
          <w:sz w:val="24"/>
          <w:szCs w:val="24"/>
        </w:rPr>
      </w:pPr>
      <w:r w:rsidRPr="00395DFA">
        <w:rPr>
          <w:rFonts w:ascii="Verdana" w:hAnsi="Verdana"/>
          <w:sz w:val="24"/>
          <w:szCs w:val="24"/>
        </w:rPr>
        <w:t>Se realizó la etapa de presentación y evaluación de nominación de áreas.</w:t>
      </w:r>
    </w:p>
    <w:p w:rsidRPr="00395DFA" w:rsidR="00625FDE" w:rsidRDefault="00625FDE" w14:paraId="68BF6912" w14:textId="77777777">
      <w:pPr>
        <w:pStyle w:val="Prrafodelista"/>
        <w:numPr>
          <w:ilvl w:val="0"/>
          <w:numId w:val="70"/>
        </w:numPr>
        <w:suppressAutoHyphens/>
        <w:spacing w:after="0" w:line="360" w:lineRule="auto"/>
        <w:ind w:left="709"/>
        <w:jc w:val="both"/>
        <w:rPr>
          <w:rFonts w:ascii="Verdana" w:hAnsi="Verdana"/>
          <w:sz w:val="24"/>
          <w:szCs w:val="24"/>
        </w:rPr>
      </w:pPr>
      <w:r w:rsidRPr="00395DFA">
        <w:rPr>
          <w:rFonts w:ascii="Verdana" w:hAnsi="Verdana"/>
          <w:sz w:val="24"/>
          <w:szCs w:val="24"/>
        </w:rPr>
        <w:t>Se expidió la Resolución 40337 con el mecanismo de mercado. Se estableció el pago por diferencia.</w:t>
      </w:r>
    </w:p>
    <w:p w:rsidR="00625FDE" w:rsidRDefault="00625FDE" w14:paraId="122EBD4B" w14:textId="77777777">
      <w:pPr>
        <w:pStyle w:val="Prrafodelista"/>
        <w:numPr>
          <w:ilvl w:val="0"/>
          <w:numId w:val="70"/>
        </w:numPr>
        <w:suppressAutoHyphens/>
        <w:spacing w:after="0" w:line="360" w:lineRule="auto"/>
        <w:ind w:left="709"/>
        <w:jc w:val="both"/>
        <w:rPr>
          <w:rFonts w:ascii="Verdana" w:hAnsi="Verdana"/>
          <w:sz w:val="24"/>
          <w:szCs w:val="24"/>
        </w:rPr>
      </w:pPr>
      <w:r w:rsidRPr="00395DFA">
        <w:rPr>
          <w:rFonts w:ascii="Verdana" w:hAnsi="Verdana"/>
          <w:sz w:val="24"/>
          <w:szCs w:val="24"/>
        </w:rPr>
        <w:t>Se expidió la Resolución 40337 de 2025, por medio de la cual se expide lineamiento para mecanismo de pago por diferencias</w:t>
      </w:r>
      <w:r w:rsidR="00395DFA">
        <w:rPr>
          <w:rFonts w:ascii="Verdana" w:hAnsi="Verdana"/>
          <w:sz w:val="24"/>
          <w:szCs w:val="24"/>
        </w:rPr>
        <w:t>.</w:t>
      </w:r>
    </w:p>
    <w:p w:rsidRPr="00395DFA" w:rsidR="00395DFA" w:rsidP="00D94015" w:rsidRDefault="00395DFA" w14:paraId="2620B359" w14:textId="77777777">
      <w:pPr>
        <w:pStyle w:val="Prrafodelista"/>
        <w:suppressAutoHyphens/>
        <w:spacing w:after="0" w:line="360" w:lineRule="auto"/>
        <w:ind w:left="709"/>
        <w:jc w:val="both"/>
        <w:rPr>
          <w:rFonts w:ascii="Verdana" w:hAnsi="Verdana"/>
          <w:sz w:val="24"/>
          <w:szCs w:val="24"/>
        </w:rPr>
      </w:pPr>
    </w:p>
    <w:p w:rsidRPr="00CB4CE5" w:rsidR="00625FDE" w:rsidP="00D94015" w:rsidRDefault="00625FDE" w14:paraId="4F8D33A6" w14:textId="77777777">
      <w:pPr>
        <w:spacing w:after="0" w:line="360" w:lineRule="auto"/>
        <w:jc w:val="both"/>
        <w:rPr>
          <w:rFonts w:ascii="Verdana" w:hAnsi="Verdana" w:cs="Arial"/>
          <w:b/>
          <w:bCs/>
          <w:sz w:val="18"/>
          <w:szCs w:val="18"/>
          <w:lang w:val="pt-PT"/>
        </w:rPr>
      </w:pPr>
      <w:r w:rsidRPr="00CB4CE5">
        <w:rPr>
          <w:rFonts w:ascii="Verdana" w:hAnsi="Verdana" w:cs="Arial"/>
          <w:b/>
          <w:bCs/>
          <w:sz w:val="24"/>
          <w:szCs w:val="24"/>
          <w:lang w:val="pt-PT"/>
        </w:rPr>
        <w:t>Eólica offshore</w:t>
      </w:r>
    </w:p>
    <w:p w:rsidRPr="00CB4CE5" w:rsidR="00625FDE" w:rsidP="00395DFA" w:rsidRDefault="00625FDE" w14:paraId="77034ABB" w14:textId="77777777">
      <w:pPr>
        <w:pStyle w:val="Descripcin"/>
        <w:spacing w:after="0"/>
        <w:jc w:val="center"/>
        <w:rPr>
          <w:rFonts w:ascii="Verdana" w:hAnsi="Verdana"/>
          <w:i w:val="0"/>
          <w:iCs w:val="0"/>
          <w:color w:val="auto"/>
          <w:lang w:val="pt-PT"/>
        </w:rPr>
      </w:pPr>
      <w:r w:rsidRPr="00CB4CE5">
        <w:rPr>
          <w:rFonts w:ascii="Verdana" w:hAnsi="Verdana"/>
          <w:i w:val="0"/>
          <w:iCs w:val="0"/>
          <w:color w:val="auto"/>
          <w:lang w:val="pt-PT"/>
        </w:rPr>
        <w:t>Tabla</w:t>
      </w:r>
      <w:r w:rsidRPr="00CB4CE5" w:rsidR="00280F0A">
        <w:rPr>
          <w:rFonts w:ascii="Verdana" w:hAnsi="Verdana"/>
          <w:i w:val="0"/>
          <w:iCs w:val="0"/>
          <w:color w:val="auto"/>
          <w:lang w:val="pt-PT"/>
        </w:rPr>
        <w:t xml:space="preserve"> No. 15</w:t>
      </w:r>
      <w:r w:rsidRPr="00CB4CE5">
        <w:rPr>
          <w:rFonts w:ascii="Verdana" w:hAnsi="Verdana"/>
          <w:i w:val="0"/>
          <w:iCs w:val="0"/>
          <w:color w:val="auto"/>
          <w:lang w:val="pt-PT"/>
        </w:rPr>
        <w:t>. Eólica Offshore PES 2024-2026</w:t>
      </w:r>
    </w:p>
    <w:tbl>
      <w:tblPr>
        <w:tblStyle w:val="Tablaconcuadrcula"/>
        <w:tblW w:w="8784" w:type="dxa"/>
        <w:tblLayout w:type="fixed"/>
        <w:tblLook w:val="04A0" w:firstRow="1" w:lastRow="0" w:firstColumn="1" w:lastColumn="0" w:noHBand="0" w:noVBand="1"/>
      </w:tblPr>
      <w:tblGrid>
        <w:gridCol w:w="2263"/>
        <w:gridCol w:w="1843"/>
        <w:gridCol w:w="1354"/>
        <w:gridCol w:w="914"/>
        <w:gridCol w:w="851"/>
        <w:gridCol w:w="1559"/>
      </w:tblGrid>
      <w:tr w:rsidRPr="00A528D1" w:rsidR="00550099" w:rsidTr="30CF4445" w14:paraId="4B875B20" w14:textId="77777777">
        <w:tc>
          <w:tcPr>
            <w:tcW w:w="2263" w:type="dxa"/>
            <w:shd w:val="clear" w:color="auto" w:fill="A6A6A6" w:themeFill="background1" w:themeFillShade="A6"/>
            <w:tcMar/>
            <w:vAlign w:val="center"/>
          </w:tcPr>
          <w:p w:rsidRPr="00A528D1" w:rsidR="00550099" w:rsidP="00280F0A" w:rsidRDefault="00550099" w14:paraId="5456E98F" w14:textId="77777777">
            <w:pPr>
              <w:jc w:val="center"/>
              <w:rPr>
                <w:rFonts w:ascii="Verdana" w:hAnsi="Verdana" w:cs="Arial"/>
                <w:b/>
                <w:bCs/>
                <w:sz w:val="18"/>
                <w:szCs w:val="18"/>
              </w:rPr>
            </w:pPr>
            <w:r w:rsidRPr="00A528D1">
              <w:rPr>
                <w:rFonts w:ascii="Verdana" w:hAnsi="Verdana" w:cs="Arial"/>
                <w:b/>
                <w:bCs/>
                <w:sz w:val="18"/>
                <w:szCs w:val="18"/>
              </w:rPr>
              <w:t>Indicador</w:t>
            </w:r>
          </w:p>
        </w:tc>
        <w:tc>
          <w:tcPr>
            <w:tcW w:w="1843" w:type="dxa"/>
            <w:shd w:val="clear" w:color="auto" w:fill="A6A6A6" w:themeFill="background1" w:themeFillShade="A6"/>
            <w:tcMar/>
            <w:vAlign w:val="center"/>
          </w:tcPr>
          <w:p w:rsidRPr="00A528D1" w:rsidR="00550099" w:rsidP="00280F0A" w:rsidRDefault="00550099" w14:paraId="254AF615" w14:textId="37859285">
            <w:pPr>
              <w:jc w:val="center"/>
              <w:rPr>
                <w:rFonts w:ascii="Verdana" w:hAnsi="Verdana" w:cs="Arial"/>
                <w:b w:val="1"/>
                <w:bCs w:val="1"/>
                <w:sz w:val="18"/>
                <w:szCs w:val="18"/>
              </w:rPr>
            </w:pPr>
            <w:r w:rsidRPr="30CF4445" w:rsidR="2B214B56">
              <w:rPr>
                <w:rFonts w:ascii="Verdana" w:hAnsi="Verdana" w:cs="Arial"/>
                <w:b w:val="1"/>
                <w:bCs w:val="1"/>
                <w:sz w:val="18"/>
                <w:szCs w:val="18"/>
              </w:rPr>
              <w:t>F</w:t>
            </w:r>
            <w:r w:rsidRPr="30CF4445" w:rsidR="7D69BDD1">
              <w:rPr>
                <w:rFonts w:ascii="Verdana" w:hAnsi="Verdana" w:cs="Arial"/>
                <w:b w:val="1"/>
                <w:bCs w:val="1"/>
                <w:sz w:val="18"/>
                <w:szCs w:val="18"/>
              </w:rPr>
              <w:t>ó</w:t>
            </w:r>
            <w:r w:rsidRPr="30CF4445" w:rsidR="2B214B56">
              <w:rPr>
                <w:rFonts w:ascii="Verdana" w:hAnsi="Verdana" w:cs="Arial"/>
                <w:b w:val="1"/>
                <w:bCs w:val="1"/>
                <w:sz w:val="18"/>
                <w:szCs w:val="18"/>
              </w:rPr>
              <w:t>rmula</w:t>
            </w:r>
          </w:p>
        </w:tc>
        <w:tc>
          <w:tcPr>
            <w:tcW w:w="1354" w:type="dxa"/>
            <w:shd w:val="clear" w:color="auto" w:fill="A6A6A6" w:themeFill="background1" w:themeFillShade="A6"/>
            <w:tcMar/>
            <w:vAlign w:val="center"/>
          </w:tcPr>
          <w:p w:rsidRPr="00A528D1" w:rsidR="00550099" w:rsidP="00280F0A" w:rsidRDefault="00550099" w14:paraId="47CF4305" w14:textId="77777777">
            <w:pPr>
              <w:jc w:val="center"/>
              <w:rPr>
                <w:rFonts w:ascii="Verdana" w:hAnsi="Verdana" w:cs="Arial"/>
                <w:b/>
                <w:bCs/>
                <w:sz w:val="18"/>
                <w:szCs w:val="18"/>
              </w:rPr>
            </w:pPr>
            <w:r w:rsidRPr="00A528D1">
              <w:rPr>
                <w:rFonts w:ascii="Verdana" w:hAnsi="Verdana" w:cs="Arial"/>
                <w:b/>
                <w:bCs/>
                <w:sz w:val="18"/>
                <w:szCs w:val="18"/>
              </w:rPr>
              <w:t>Meta Cuatrienio</w:t>
            </w:r>
          </w:p>
        </w:tc>
        <w:tc>
          <w:tcPr>
            <w:tcW w:w="914" w:type="dxa"/>
            <w:shd w:val="clear" w:color="auto" w:fill="A6A6A6" w:themeFill="background1" w:themeFillShade="A6"/>
            <w:tcMar/>
            <w:vAlign w:val="center"/>
          </w:tcPr>
          <w:p w:rsidRPr="00A528D1" w:rsidR="00550099" w:rsidP="00280F0A" w:rsidRDefault="00550099" w14:paraId="754AE3EA" w14:textId="77777777">
            <w:pPr>
              <w:jc w:val="center"/>
              <w:rPr>
                <w:rFonts w:ascii="Verdana" w:hAnsi="Verdana" w:cs="Arial"/>
                <w:b/>
                <w:bCs/>
                <w:sz w:val="18"/>
                <w:szCs w:val="18"/>
              </w:rPr>
            </w:pPr>
            <w:r w:rsidRPr="00A528D1">
              <w:rPr>
                <w:rFonts w:ascii="Verdana" w:hAnsi="Verdana" w:cs="Arial"/>
                <w:b/>
                <w:bCs/>
                <w:sz w:val="18"/>
                <w:szCs w:val="18"/>
              </w:rPr>
              <w:t>Meta 2024</w:t>
            </w:r>
          </w:p>
        </w:tc>
        <w:tc>
          <w:tcPr>
            <w:tcW w:w="851" w:type="dxa"/>
            <w:shd w:val="clear" w:color="auto" w:fill="A6A6A6" w:themeFill="background1" w:themeFillShade="A6"/>
            <w:tcMar/>
            <w:vAlign w:val="center"/>
          </w:tcPr>
          <w:p w:rsidRPr="00A528D1" w:rsidR="00550099" w:rsidP="00280F0A" w:rsidRDefault="00550099" w14:paraId="551684B0" w14:textId="77777777">
            <w:pPr>
              <w:jc w:val="center"/>
              <w:rPr>
                <w:rFonts w:ascii="Verdana" w:hAnsi="Verdana" w:cs="Arial"/>
                <w:b/>
                <w:bCs/>
                <w:sz w:val="18"/>
                <w:szCs w:val="18"/>
              </w:rPr>
            </w:pPr>
            <w:r w:rsidRPr="00A528D1">
              <w:rPr>
                <w:rFonts w:ascii="Verdana" w:hAnsi="Verdana" w:cs="Arial"/>
                <w:b/>
                <w:bCs/>
                <w:sz w:val="18"/>
                <w:szCs w:val="18"/>
              </w:rPr>
              <w:t>Meta 2025</w:t>
            </w:r>
          </w:p>
        </w:tc>
        <w:tc>
          <w:tcPr>
            <w:tcW w:w="1559" w:type="dxa"/>
            <w:shd w:val="clear" w:color="auto" w:fill="A6A6A6" w:themeFill="background1" w:themeFillShade="A6"/>
            <w:tcMar/>
            <w:vAlign w:val="center"/>
          </w:tcPr>
          <w:p w:rsidRPr="00A528D1" w:rsidR="00550099" w:rsidP="00280F0A" w:rsidRDefault="00550099" w14:paraId="5BED375E" w14:textId="77777777">
            <w:pPr>
              <w:jc w:val="center"/>
              <w:rPr>
                <w:rFonts w:ascii="Verdana" w:hAnsi="Verdana" w:cs="Arial"/>
                <w:b/>
                <w:bCs/>
                <w:sz w:val="18"/>
                <w:szCs w:val="18"/>
              </w:rPr>
            </w:pPr>
            <w:r w:rsidRPr="00A528D1">
              <w:rPr>
                <w:rFonts w:ascii="Verdana" w:hAnsi="Verdana" w:cs="Arial"/>
                <w:b/>
                <w:bCs/>
                <w:sz w:val="18"/>
                <w:szCs w:val="18"/>
              </w:rPr>
              <w:t>Avance Acumulado</w:t>
            </w:r>
          </w:p>
          <w:p w:rsidRPr="00A528D1" w:rsidR="00550099" w:rsidP="00280F0A" w:rsidRDefault="00550099" w14:paraId="3671EC69" w14:textId="77777777">
            <w:pPr>
              <w:jc w:val="center"/>
              <w:rPr>
                <w:rFonts w:ascii="Verdana" w:hAnsi="Verdana" w:cs="Arial"/>
                <w:b/>
                <w:bCs/>
                <w:sz w:val="18"/>
                <w:szCs w:val="18"/>
              </w:rPr>
            </w:pPr>
            <w:r w:rsidRPr="00A528D1">
              <w:rPr>
                <w:rFonts w:ascii="Verdana" w:hAnsi="Verdana" w:cs="Arial"/>
                <w:b/>
                <w:bCs/>
                <w:sz w:val="18"/>
                <w:szCs w:val="18"/>
              </w:rPr>
              <w:t>1° TRIM 2026</w:t>
            </w:r>
          </w:p>
        </w:tc>
      </w:tr>
      <w:tr w:rsidRPr="00A528D1" w:rsidR="00550099" w:rsidTr="30CF4445" w14:paraId="25E3A1A3" w14:textId="77777777">
        <w:tc>
          <w:tcPr>
            <w:tcW w:w="2263" w:type="dxa"/>
            <w:tcMar/>
            <w:vAlign w:val="center"/>
          </w:tcPr>
          <w:p w:rsidRPr="00A528D1" w:rsidR="00550099" w:rsidP="00280F0A" w:rsidRDefault="00550099" w14:paraId="22BFB271" w14:textId="77777777">
            <w:pPr>
              <w:jc w:val="both"/>
              <w:rPr>
                <w:rFonts w:ascii="Verdana" w:hAnsi="Verdana" w:cs="Arial"/>
                <w:sz w:val="18"/>
                <w:szCs w:val="18"/>
              </w:rPr>
            </w:pPr>
            <w:r w:rsidRPr="00A528D1">
              <w:rPr>
                <w:rFonts w:ascii="Verdana" w:hAnsi="Verdana" w:cs="Arial"/>
                <w:sz w:val="18"/>
                <w:szCs w:val="18"/>
              </w:rPr>
              <w:t>Asignación del permiso de ocupación temporal de áreas para generación de energía eléctrica mediante tecnologías de eólica offshore.</w:t>
            </w:r>
          </w:p>
        </w:tc>
        <w:tc>
          <w:tcPr>
            <w:tcW w:w="1843" w:type="dxa"/>
            <w:tcMar/>
            <w:vAlign w:val="center"/>
          </w:tcPr>
          <w:p w:rsidRPr="00A528D1" w:rsidR="00550099" w:rsidP="00280F0A" w:rsidRDefault="00550099" w14:paraId="2F2D6E65" w14:textId="77777777">
            <w:pPr>
              <w:jc w:val="both"/>
              <w:rPr>
                <w:rFonts w:ascii="Verdana" w:hAnsi="Verdana" w:cs="Arial"/>
                <w:sz w:val="18"/>
                <w:szCs w:val="18"/>
              </w:rPr>
            </w:pPr>
            <w:r w:rsidRPr="00A528D1">
              <w:rPr>
                <w:rFonts w:ascii="Verdana" w:hAnsi="Verdana" w:cs="Arial"/>
                <w:sz w:val="18"/>
                <w:szCs w:val="18"/>
              </w:rPr>
              <w:t>Porcentaje de avance en la asignación del permiso de ocupación temporal de áreas para generación de energía eléctrica mediante tecnologías de eólica offshore. </w:t>
            </w:r>
          </w:p>
        </w:tc>
        <w:tc>
          <w:tcPr>
            <w:tcW w:w="1354" w:type="dxa"/>
            <w:tcMar/>
            <w:vAlign w:val="center"/>
          </w:tcPr>
          <w:p w:rsidRPr="00A528D1" w:rsidR="00550099" w:rsidP="00280F0A" w:rsidRDefault="00550099" w14:paraId="7CF0EE42" w14:textId="77777777">
            <w:pPr>
              <w:jc w:val="center"/>
              <w:rPr>
                <w:rFonts w:ascii="Verdana" w:hAnsi="Verdana" w:cs="Arial"/>
                <w:sz w:val="18"/>
                <w:szCs w:val="18"/>
              </w:rPr>
            </w:pPr>
          </w:p>
          <w:p w:rsidRPr="00A528D1" w:rsidR="00550099" w:rsidP="00280F0A" w:rsidRDefault="00550099" w14:paraId="41F14473" w14:textId="77777777">
            <w:pPr>
              <w:jc w:val="center"/>
              <w:rPr>
                <w:rFonts w:ascii="Verdana" w:hAnsi="Verdana" w:cs="Arial"/>
                <w:sz w:val="18"/>
                <w:szCs w:val="18"/>
              </w:rPr>
            </w:pPr>
            <w:r w:rsidRPr="00A528D1">
              <w:rPr>
                <w:rFonts w:ascii="Verdana" w:hAnsi="Verdana" w:cs="Arial"/>
                <w:sz w:val="18"/>
                <w:szCs w:val="18"/>
              </w:rPr>
              <w:t>1</w:t>
            </w:r>
          </w:p>
        </w:tc>
        <w:tc>
          <w:tcPr>
            <w:tcW w:w="914" w:type="dxa"/>
            <w:tcMar/>
            <w:vAlign w:val="center"/>
          </w:tcPr>
          <w:p w:rsidRPr="00A528D1" w:rsidR="00550099" w:rsidP="00280F0A" w:rsidRDefault="00550099" w14:paraId="5FDBCDF6" w14:textId="77777777">
            <w:pPr>
              <w:jc w:val="center"/>
              <w:rPr>
                <w:rFonts w:ascii="Verdana" w:hAnsi="Verdana" w:cs="Arial"/>
                <w:sz w:val="18"/>
                <w:szCs w:val="18"/>
              </w:rPr>
            </w:pPr>
          </w:p>
          <w:p w:rsidRPr="00A528D1" w:rsidR="00550099" w:rsidP="00280F0A" w:rsidRDefault="00550099" w14:paraId="0E793C93" w14:textId="77777777">
            <w:pPr>
              <w:jc w:val="center"/>
              <w:rPr>
                <w:rFonts w:ascii="Verdana" w:hAnsi="Verdana" w:cs="Arial"/>
                <w:sz w:val="18"/>
                <w:szCs w:val="18"/>
              </w:rPr>
            </w:pPr>
            <w:r w:rsidRPr="00A528D1">
              <w:rPr>
                <w:rFonts w:ascii="Verdana" w:hAnsi="Verdana" w:cs="Arial"/>
                <w:sz w:val="18"/>
                <w:szCs w:val="18"/>
              </w:rPr>
              <w:t>0,4</w:t>
            </w:r>
          </w:p>
        </w:tc>
        <w:tc>
          <w:tcPr>
            <w:tcW w:w="851" w:type="dxa"/>
            <w:tcMar/>
            <w:vAlign w:val="center"/>
          </w:tcPr>
          <w:p w:rsidRPr="00A528D1" w:rsidR="00550099" w:rsidP="00280F0A" w:rsidRDefault="00550099" w14:paraId="5C157D96" w14:textId="77777777">
            <w:pPr>
              <w:ind w:right="-289" w:hanging="11"/>
              <w:jc w:val="center"/>
              <w:rPr>
                <w:rFonts w:ascii="Verdana" w:hAnsi="Verdana" w:cs="Arial"/>
                <w:sz w:val="18"/>
                <w:szCs w:val="18"/>
              </w:rPr>
            </w:pPr>
          </w:p>
          <w:p w:rsidRPr="00A528D1" w:rsidR="00550099" w:rsidP="00280F0A" w:rsidRDefault="00550099" w14:paraId="3F7FC772" w14:textId="77777777">
            <w:pPr>
              <w:ind w:right="-289" w:hanging="11"/>
              <w:jc w:val="center"/>
              <w:rPr>
                <w:rFonts w:ascii="Verdana" w:hAnsi="Verdana" w:cs="Arial"/>
                <w:sz w:val="18"/>
                <w:szCs w:val="18"/>
              </w:rPr>
            </w:pPr>
            <w:r w:rsidRPr="00A528D1">
              <w:rPr>
                <w:rFonts w:ascii="Verdana" w:hAnsi="Verdana" w:cs="Arial"/>
                <w:sz w:val="18"/>
                <w:szCs w:val="18"/>
              </w:rPr>
              <w:t>0,7</w:t>
            </w:r>
          </w:p>
        </w:tc>
        <w:tc>
          <w:tcPr>
            <w:tcW w:w="1559" w:type="dxa"/>
            <w:tcMar/>
            <w:vAlign w:val="center"/>
          </w:tcPr>
          <w:p w:rsidRPr="00A528D1" w:rsidR="00550099" w:rsidP="00280F0A" w:rsidRDefault="00550099" w14:paraId="24134618" w14:textId="77777777">
            <w:pPr>
              <w:jc w:val="center"/>
              <w:rPr>
                <w:rFonts w:ascii="Verdana" w:hAnsi="Verdana" w:cs="Arial"/>
                <w:sz w:val="18"/>
                <w:szCs w:val="18"/>
              </w:rPr>
            </w:pPr>
          </w:p>
          <w:p w:rsidRPr="00A528D1" w:rsidR="00550099" w:rsidP="00280F0A" w:rsidRDefault="00550099" w14:paraId="1274CCDB" w14:textId="77777777">
            <w:pPr>
              <w:jc w:val="center"/>
              <w:rPr>
                <w:rFonts w:ascii="Verdana" w:hAnsi="Verdana" w:cs="Arial"/>
                <w:sz w:val="18"/>
                <w:szCs w:val="18"/>
              </w:rPr>
            </w:pPr>
            <w:r w:rsidRPr="00A528D1">
              <w:rPr>
                <w:rFonts w:ascii="Verdana" w:hAnsi="Verdana" w:cs="Arial"/>
                <w:sz w:val="18"/>
                <w:szCs w:val="18"/>
              </w:rPr>
              <w:t>0,8</w:t>
            </w:r>
          </w:p>
        </w:tc>
      </w:tr>
    </w:tbl>
    <w:p w:rsidRPr="00A528D1" w:rsidR="00023342" w:rsidP="00A528D1" w:rsidRDefault="204ED0BA" w14:paraId="28BCA6E9" w14:textId="77777777">
      <w:pPr>
        <w:spacing w:after="0" w:line="240" w:lineRule="auto"/>
        <w:jc w:val="center"/>
        <w:rPr>
          <w:rFonts w:ascii="Verdana" w:hAnsi="Verdana"/>
          <w:sz w:val="18"/>
          <w:szCs w:val="18"/>
        </w:rPr>
      </w:pPr>
      <w:r w:rsidRPr="180099B3">
        <w:rPr>
          <w:rFonts w:ascii="Verdana" w:hAnsi="Verdana"/>
          <w:sz w:val="18"/>
          <w:szCs w:val="18"/>
        </w:rPr>
        <w:t xml:space="preserve">Fuente: Elaboración propia </w:t>
      </w:r>
      <w:r w:rsidRPr="180099B3" w:rsidR="7630BBC5">
        <w:rPr>
          <w:rFonts w:ascii="Verdana" w:hAnsi="Verdana"/>
          <w:sz w:val="18"/>
          <w:szCs w:val="18"/>
        </w:rPr>
        <w:t xml:space="preserve">OPGI - </w:t>
      </w:r>
      <w:r w:rsidRPr="180099B3">
        <w:rPr>
          <w:rFonts w:ascii="Verdana" w:hAnsi="Verdana"/>
          <w:sz w:val="18"/>
          <w:szCs w:val="18"/>
        </w:rPr>
        <w:t>MME, 31 de marzo 2026.</w:t>
      </w:r>
    </w:p>
    <w:p w:rsidRPr="00C140A0" w:rsidR="000F0C72" w:rsidP="00D94015" w:rsidRDefault="000F0C72" w14:paraId="685BF110" w14:textId="77777777">
      <w:pPr>
        <w:spacing w:after="0" w:line="360" w:lineRule="auto"/>
        <w:rPr>
          <w:rFonts w:ascii="Verdana" w:hAnsi="Verdana" w:cs="Arial"/>
        </w:rPr>
      </w:pPr>
    </w:p>
    <w:p w:rsidRPr="00C140A0" w:rsidR="00277AF7" w:rsidP="00D94015" w:rsidRDefault="00277AF7" w14:paraId="2A3BEA66" w14:textId="77777777">
      <w:pPr>
        <w:spacing w:after="0" w:line="360" w:lineRule="auto"/>
        <w:jc w:val="both"/>
        <w:rPr>
          <w:rFonts w:ascii="Verdana" w:hAnsi="Verdana" w:cs="Arial"/>
          <w:sz w:val="24"/>
          <w:szCs w:val="24"/>
        </w:rPr>
      </w:pPr>
      <w:r w:rsidRPr="00C140A0">
        <w:rPr>
          <w:rFonts w:ascii="Verdana" w:hAnsi="Verdana" w:cs="Arial"/>
          <w:sz w:val="24"/>
          <w:szCs w:val="24"/>
        </w:rPr>
        <w:t xml:space="preserve">Frente a los principales logros realizados durante este periodo de tiempo, se contemplan los siguientes: </w:t>
      </w:r>
    </w:p>
    <w:p w:rsidRPr="00C140A0" w:rsidR="00277AF7" w:rsidRDefault="00277AF7" w14:paraId="579C20FF" w14:textId="77777777">
      <w:pPr>
        <w:pStyle w:val="Prrafodelista"/>
        <w:numPr>
          <w:ilvl w:val="0"/>
          <w:numId w:val="66"/>
        </w:numPr>
        <w:spacing w:after="0" w:line="360" w:lineRule="auto"/>
        <w:ind w:hanging="294"/>
        <w:jc w:val="both"/>
        <w:rPr>
          <w:rFonts w:ascii="Verdana" w:hAnsi="Verdana" w:cs="Arial"/>
          <w:sz w:val="24"/>
          <w:szCs w:val="24"/>
        </w:rPr>
      </w:pPr>
      <w:r w:rsidRPr="00C140A0">
        <w:rPr>
          <w:rFonts w:ascii="Verdana" w:hAnsi="Verdana" w:cs="Arial"/>
          <w:sz w:val="24"/>
          <w:szCs w:val="24"/>
        </w:rPr>
        <w:t xml:space="preserve">La etapa de presentación de área y </w:t>
      </w:r>
      <w:r w:rsidRPr="00C140A0" w:rsidR="00A528D1">
        <w:rPr>
          <w:rFonts w:ascii="Verdana" w:hAnsi="Verdana" w:cs="Arial"/>
          <w:sz w:val="24"/>
          <w:szCs w:val="24"/>
        </w:rPr>
        <w:t>evaluación</w:t>
      </w:r>
      <w:r w:rsidRPr="00C140A0">
        <w:rPr>
          <w:rFonts w:ascii="Verdana" w:hAnsi="Verdana" w:cs="Arial"/>
          <w:sz w:val="24"/>
          <w:szCs w:val="24"/>
        </w:rPr>
        <w:t xml:space="preserve"> inició en diciembre 2025, con la presentación de 69 áreas por parte de las 8 empresas interesadas.</w:t>
      </w:r>
    </w:p>
    <w:p w:rsidRPr="00C140A0" w:rsidR="00277AF7" w:rsidRDefault="00277AF7" w14:paraId="1BAABD97" w14:textId="430CAA3B">
      <w:pPr>
        <w:pStyle w:val="Prrafodelista"/>
        <w:numPr>
          <w:ilvl w:val="0"/>
          <w:numId w:val="66"/>
        </w:numPr>
        <w:spacing w:after="0" w:line="360" w:lineRule="auto"/>
        <w:jc w:val="both"/>
        <w:rPr>
          <w:rFonts w:ascii="Verdana" w:hAnsi="Verdana" w:cs="Arial"/>
          <w:sz w:val="24"/>
          <w:szCs w:val="24"/>
        </w:rPr>
      </w:pPr>
      <w:r w:rsidRPr="30CF4445" w:rsidR="3E95559B">
        <w:rPr>
          <w:rFonts w:ascii="Verdana" w:hAnsi="Verdana" w:cs="Arial"/>
          <w:sz w:val="24"/>
          <w:szCs w:val="24"/>
        </w:rPr>
        <w:t>El Ministerio gestion</w:t>
      </w:r>
      <w:r w:rsidRPr="30CF4445" w:rsidR="37B39C75">
        <w:rPr>
          <w:rFonts w:ascii="Verdana" w:hAnsi="Verdana" w:cs="Arial"/>
          <w:sz w:val="24"/>
          <w:szCs w:val="24"/>
        </w:rPr>
        <w:t>ó</w:t>
      </w:r>
      <w:r w:rsidRPr="30CF4445" w:rsidR="3E95559B">
        <w:rPr>
          <w:rFonts w:ascii="Verdana" w:hAnsi="Verdana" w:cs="Arial"/>
          <w:sz w:val="24"/>
          <w:szCs w:val="24"/>
        </w:rPr>
        <w:t xml:space="preserve"> AB34 la solicitud de concepto ante MADS, </w:t>
      </w:r>
      <w:commentRangeStart w:id="1640990807"/>
      <w:r w:rsidRPr="30CF4445" w:rsidR="3E95559B">
        <w:rPr>
          <w:rFonts w:ascii="Verdana" w:hAnsi="Verdana" w:cs="Arial"/>
          <w:sz w:val="24"/>
          <w:szCs w:val="24"/>
        </w:rPr>
        <w:t xml:space="preserve">INCANH, AUNAP y DIMAR, en el marco de </w:t>
      </w:r>
      <w:r w:rsidRPr="30CF4445" w:rsidR="2D426ED9">
        <w:rPr>
          <w:rFonts w:ascii="Verdana" w:hAnsi="Verdana" w:cs="Arial"/>
          <w:sz w:val="24"/>
          <w:szCs w:val="24"/>
        </w:rPr>
        <w:t>su competencia</w:t>
      </w:r>
      <w:r w:rsidRPr="30CF4445" w:rsidR="3E95559B">
        <w:rPr>
          <w:rFonts w:ascii="Verdana" w:hAnsi="Verdana" w:cs="Arial"/>
          <w:sz w:val="24"/>
          <w:szCs w:val="24"/>
        </w:rPr>
        <w:t xml:space="preserve"> pueda determinar</w:t>
      </w:r>
      <w:commentRangeEnd w:id="1640990807"/>
      <w:r>
        <w:rPr>
          <w:rStyle w:val="CommentReference"/>
        </w:rPr>
        <w:commentReference w:id="1640990807"/>
      </w:r>
      <w:r w:rsidRPr="30CF4445" w:rsidR="3E95559B">
        <w:rPr>
          <w:rFonts w:ascii="Verdana" w:hAnsi="Verdana" w:cs="Arial"/>
          <w:sz w:val="24"/>
          <w:szCs w:val="24"/>
        </w:rPr>
        <w:t xml:space="preserve"> si hay alguna restricción en las áreas nominadas por la empresa habilitadas.</w:t>
      </w:r>
    </w:p>
    <w:p w:rsidRPr="00C140A0" w:rsidR="00277AF7" w:rsidRDefault="00277AF7" w14:paraId="0038135D" w14:textId="77777777">
      <w:pPr>
        <w:pStyle w:val="Prrafodelista"/>
        <w:numPr>
          <w:ilvl w:val="0"/>
          <w:numId w:val="66"/>
        </w:numPr>
        <w:spacing w:after="0" w:line="360" w:lineRule="auto"/>
        <w:jc w:val="both"/>
        <w:rPr>
          <w:rFonts w:ascii="Verdana" w:hAnsi="Verdana" w:cs="Arial"/>
          <w:sz w:val="24"/>
          <w:szCs w:val="24"/>
        </w:rPr>
      </w:pPr>
      <w:commentRangeStart w:id="653566142"/>
      <w:r w:rsidRPr="30CF4445" w:rsidR="3E95559B">
        <w:rPr>
          <w:rFonts w:ascii="Verdana" w:hAnsi="Verdana" w:cs="Arial"/>
          <w:sz w:val="24"/>
          <w:szCs w:val="24"/>
        </w:rPr>
        <w:t>La DIMAR - ANH y MME estamos en mesa de técnica para evaluar</w:t>
      </w:r>
      <w:commentRangeEnd w:id="653566142"/>
      <w:r>
        <w:rPr>
          <w:rStyle w:val="CommentReference"/>
        </w:rPr>
        <w:commentReference w:id="653566142"/>
      </w:r>
      <w:r w:rsidRPr="30CF4445" w:rsidR="3E95559B">
        <w:rPr>
          <w:rFonts w:ascii="Verdana" w:hAnsi="Verdana" w:cs="Arial"/>
          <w:sz w:val="24"/>
          <w:szCs w:val="24"/>
        </w:rPr>
        <w:t xml:space="preserve"> algunas alternativas presentadas por la empresa habilitada, con la finalidad de generar la confianza en el proceso y país para la presentación de ofertas, que se tiene para julio de 2026.</w:t>
      </w:r>
    </w:p>
    <w:p w:rsidRPr="00C140A0" w:rsidR="00277AF7" w:rsidP="00D94015" w:rsidRDefault="00277AF7" w14:paraId="024B9188" w14:textId="77777777">
      <w:pPr>
        <w:pStyle w:val="Prrafodelista"/>
        <w:spacing w:after="0" w:line="360" w:lineRule="auto"/>
        <w:jc w:val="both"/>
        <w:rPr>
          <w:rFonts w:ascii="Verdana" w:hAnsi="Verdana" w:cs="Arial"/>
          <w:sz w:val="24"/>
          <w:szCs w:val="24"/>
        </w:rPr>
      </w:pPr>
    </w:p>
    <w:p w:rsidR="005E5391" w:rsidP="30CF4445" w:rsidRDefault="00277AF7" w14:paraId="281AD178" w14:textId="2AA41B93">
      <w:pPr>
        <w:spacing w:after="0" w:line="360" w:lineRule="auto"/>
        <w:jc w:val="both"/>
        <w:rPr>
          <w:rFonts w:ascii="Verdana" w:hAnsi="Verdana" w:cs="Arial"/>
          <w:i w:val="1"/>
          <w:iCs w:val="1"/>
          <w:sz w:val="24"/>
          <w:szCs w:val="24"/>
        </w:rPr>
      </w:pPr>
      <w:r w:rsidRPr="30CF4445" w:rsidR="3E95559B">
        <w:rPr>
          <w:rFonts w:ascii="Verdana" w:hAnsi="Verdana" w:cs="Arial"/>
          <w:sz w:val="24"/>
          <w:szCs w:val="24"/>
        </w:rPr>
        <w:t xml:space="preserve">En total, el sector cuenta con 25 indicadores de cumplimiento, donde 8 son para el pivote de energía, 10 para minería y 7 para hidrocarburos. Cada meta y prioridad general tiene un líder que promueve la articulación de cada actor implicado en los procesos. El avance y el detalle de los indicadores se encuentra en el </w:t>
      </w:r>
      <w:r w:rsidRPr="30CF4445" w:rsidR="3E95559B">
        <w:rPr>
          <w:rFonts w:ascii="Verdana" w:hAnsi="Verdana" w:cs="Arial"/>
          <w:i w:val="1"/>
          <w:iCs w:val="1"/>
          <w:sz w:val="24"/>
          <w:szCs w:val="24"/>
        </w:rPr>
        <w:t>anexo 1. Denominado PES 2024- 2026.</w:t>
      </w:r>
    </w:p>
    <w:p w:rsidRPr="00C140A0" w:rsidR="00A528D1" w:rsidP="00D94015" w:rsidRDefault="00A528D1" w14:paraId="27E2C040" w14:textId="77777777">
      <w:pPr>
        <w:spacing w:after="0" w:line="360" w:lineRule="auto"/>
        <w:jc w:val="both"/>
        <w:rPr>
          <w:rFonts w:ascii="Verdana" w:hAnsi="Verdana"/>
          <w:sz w:val="24"/>
          <w:szCs w:val="24"/>
        </w:rPr>
      </w:pPr>
    </w:p>
    <w:p w:rsidRPr="00C140A0" w:rsidR="00A82055" w:rsidRDefault="00A82055" w14:paraId="40F61EC5" w14:textId="77777777">
      <w:pPr>
        <w:pStyle w:val="Ttulo2"/>
        <w:numPr>
          <w:ilvl w:val="1"/>
          <w:numId w:val="42"/>
        </w:numPr>
        <w:spacing w:before="0" w:after="0" w:line="360" w:lineRule="auto"/>
        <w:rPr>
          <w:rFonts w:ascii="Verdana" w:hAnsi="Verdana"/>
          <w:b w:val="1"/>
          <w:bCs w:val="1"/>
          <w:color w:val="auto"/>
          <w:sz w:val="24"/>
          <w:szCs w:val="24"/>
        </w:rPr>
      </w:pPr>
      <w:bookmarkStart w:name="_Toc233996720" w:id="3"/>
      <w:commentRangeStart w:id="1043464209"/>
      <w:r w:rsidRPr="30CF4445" w:rsidR="0E33390F">
        <w:rPr>
          <w:rFonts w:ascii="Verdana" w:hAnsi="Verdana"/>
          <w:b w:val="1"/>
          <w:bCs w:val="1"/>
          <w:color w:val="auto"/>
          <w:sz w:val="24"/>
          <w:szCs w:val="24"/>
        </w:rPr>
        <w:t xml:space="preserve">Plan Estratégica Institucional 2022 </w:t>
      </w:r>
      <w:r w:rsidRPr="30CF4445" w:rsidR="56474F15">
        <w:rPr>
          <w:rFonts w:ascii="Verdana" w:hAnsi="Verdana"/>
          <w:b w:val="1"/>
          <w:bCs w:val="1"/>
          <w:color w:val="auto"/>
          <w:sz w:val="24"/>
          <w:szCs w:val="24"/>
        </w:rPr>
        <w:t>–</w:t>
      </w:r>
      <w:r w:rsidRPr="30CF4445" w:rsidR="0E33390F">
        <w:rPr>
          <w:rFonts w:ascii="Verdana" w:hAnsi="Verdana"/>
          <w:b w:val="1"/>
          <w:bCs w:val="1"/>
          <w:color w:val="auto"/>
          <w:sz w:val="24"/>
          <w:szCs w:val="24"/>
        </w:rPr>
        <w:t xml:space="preserve"> 2026</w:t>
      </w:r>
      <w:bookmarkEnd w:id="3"/>
      <w:commentRangeEnd w:id="1043464209"/>
      <w:r>
        <w:rPr>
          <w:rStyle w:val="CommentReference"/>
        </w:rPr>
        <w:commentReference w:id="1043464209"/>
      </w:r>
    </w:p>
    <w:p w:rsidRPr="00C140A0" w:rsidR="0067218F" w:rsidP="00D94015" w:rsidRDefault="0067218F" w14:paraId="3D0740A6" w14:textId="77777777">
      <w:pPr>
        <w:spacing w:after="0" w:line="360" w:lineRule="auto"/>
        <w:rPr>
          <w:rFonts w:ascii="Verdana" w:hAnsi="Verdana"/>
        </w:rPr>
      </w:pPr>
    </w:p>
    <w:p w:rsidR="0067218F" w:rsidP="00D94015" w:rsidRDefault="0067218F" w14:paraId="5A47F0A0" w14:textId="77777777">
      <w:pPr>
        <w:spacing w:after="0" w:line="360" w:lineRule="auto"/>
        <w:jc w:val="both"/>
        <w:rPr>
          <w:rFonts w:ascii="Verdana" w:hAnsi="Verdana"/>
          <w:sz w:val="24"/>
          <w:szCs w:val="24"/>
        </w:rPr>
      </w:pPr>
      <w:r w:rsidRPr="00C140A0">
        <w:rPr>
          <w:rFonts w:ascii="Verdana" w:hAnsi="Verdana"/>
          <w:sz w:val="24"/>
          <w:szCs w:val="24"/>
        </w:rPr>
        <w:t>El Plan Estratégico Institucional (PEI) del Ministerio de Minas y Energía constituyó el principal instrumento de direccionamiento estratégico para fortalecer la gestión institucional, garantizar el cumplimiento de la misión de la Entidad y promover la mejora continua de los procesos. Su implementación se desarrolló en articulación con el Modelo Integrado de Planeación y Gestión (MIPG), el Sistema Integrado de Gestión (SIG) y los lineamientos del Gobierno Nacional, orientando las acciones institucionales durante el periodo comprendido entre agosto de 2022 y marzo de 2026.</w:t>
      </w:r>
    </w:p>
    <w:p w:rsidRPr="00C140A0" w:rsidR="00A528D1" w:rsidP="00D94015" w:rsidRDefault="00A528D1" w14:paraId="14E71F8A" w14:textId="77777777">
      <w:pPr>
        <w:spacing w:after="0" w:line="360" w:lineRule="auto"/>
        <w:jc w:val="both"/>
        <w:rPr>
          <w:rFonts w:ascii="Verdana" w:hAnsi="Verdana"/>
          <w:sz w:val="24"/>
          <w:szCs w:val="24"/>
        </w:rPr>
      </w:pPr>
    </w:p>
    <w:p w:rsidR="0067218F" w:rsidP="00D94015" w:rsidRDefault="0067218F" w14:paraId="01B1BCD1" w14:textId="77777777">
      <w:pPr>
        <w:spacing w:after="0" w:line="360" w:lineRule="auto"/>
        <w:jc w:val="both"/>
        <w:rPr>
          <w:rFonts w:ascii="Verdana" w:hAnsi="Verdana"/>
          <w:sz w:val="24"/>
          <w:szCs w:val="24"/>
        </w:rPr>
      </w:pPr>
      <w:r w:rsidRPr="00C140A0">
        <w:rPr>
          <w:rFonts w:ascii="Verdana" w:hAnsi="Verdana"/>
          <w:sz w:val="24"/>
          <w:szCs w:val="24"/>
        </w:rPr>
        <w:t>El PEI se estructuró alrededor de siete objetivos estratégicos institucionales que permitieron fortalecer la capacidad de gestión, la transparencia, la eficiencia administrativa, la gestión del conocimiento, la atención a los grupos de valor y la sostenibilidad organizacional.</w:t>
      </w:r>
    </w:p>
    <w:p w:rsidRPr="00C140A0" w:rsidR="00A528D1" w:rsidP="00D94015" w:rsidRDefault="00A528D1" w14:paraId="1AA53C93" w14:textId="77777777">
      <w:pPr>
        <w:spacing w:after="0" w:line="360" w:lineRule="auto"/>
        <w:jc w:val="both"/>
        <w:rPr>
          <w:rFonts w:ascii="Verdana" w:hAnsi="Verdana"/>
          <w:sz w:val="24"/>
          <w:szCs w:val="24"/>
        </w:rPr>
      </w:pPr>
    </w:p>
    <w:p w:rsidRPr="00C140A0" w:rsidR="0067218F" w:rsidP="00D94015" w:rsidRDefault="0067218F" w14:paraId="5011920B" w14:textId="77777777">
      <w:pPr>
        <w:spacing w:after="0" w:line="360" w:lineRule="auto"/>
        <w:jc w:val="both"/>
        <w:rPr>
          <w:rFonts w:ascii="Verdana" w:hAnsi="Verdana"/>
          <w:strike/>
          <w:sz w:val="24"/>
          <w:szCs w:val="24"/>
        </w:rPr>
      </w:pPr>
      <w:r w:rsidRPr="00C140A0">
        <w:rPr>
          <w:rFonts w:ascii="Verdana" w:hAnsi="Verdana"/>
          <w:sz w:val="24"/>
          <w:szCs w:val="24"/>
        </w:rPr>
        <w:t xml:space="preserve">En ese marco se formularon acciones relacionadas con: </w:t>
      </w:r>
    </w:p>
    <w:p w:rsidRPr="00C140A0" w:rsidR="0067218F" w:rsidRDefault="0067218F" w14:paraId="4D1C9B25" w14:textId="6D01E106">
      <w:pPr>
        <w:pStyle w:val="Prrafodelista"/>
        <w:numPr>
          <w:ilvl w:val="0"/>
          <w:numId w:val="67"/>
        </w:numPr>
        <w:suppressAutoHyphens/>
        <w:spacing w:after="0" w:line="360" w:lineRule="auto"/>
        <w:jc w:val="both"/>
        <w:rPr>
          <w:rFonts w:ascii="Verdana" w:hAnsi="Verdana"/>
          <w:sz w:val="24"/>
          <w:szCs w:val="24"/>
        </w:rPr>
      </w:pPr>
      <w:r w:rsidRPr="30CF4445" w:rsidR="56474F15">
        <w:rPr>
          <w:rFonts w:ascii="Verdana" w:hAnsi="Verdana"/>
          <w:sz w:val="24"/>
          <w:szCs w:val="24"/>
        </w:rPr>
        <w:t>Implementación de auditoría energética y acciones de mejora derivadas</w:t>
      </w:r>
      <w:r w:rsidRPr="30CF4445" w:rsidR="0D1BD9BA">
        <w:rPr>
          <w:rFonts w:ascii="Verdana" w:hAnsi="Verdana"/>
          <w:sz w:val="24"/>
          <w:szCs w:val="24"/>
        </w:rPr>
        <w:t>.</w:t>
      </w:r>
    </w:p>
    <w:p w:rsidRPr="00C140A0" w:rsidR="0067218F" w:rsidRDefault="0067218F" w14:paraId="5D78AA8A" w14:textId="2BD4C6FD">
      <w:pPr>
        <w:pStyle w:val="Prrafodelista"/>
        <w:numPr>
          <w:ilvl w:val="0"/>
          <w:numId w:val="67"/>
        </w:numPr>
        <w:suppressAutoHyphens/>
        <w:spacing w:after="0" w:line="360" w:lineRule="auto"/>
        <w:jc w:val="both"/>
        <w:rPr>
          <w:rFonts w:ascii="Verdana" w:hAnsi="Verdana"/>
          <w:sz w:val="24"/>
          <w:szCs w:val="24"/>
        </w:rPr>
      </w:pPr>
      <w:r w:rsidRPr="30CF4445" w:rsidR="56474F15">
        <w:rPr>
          <w:rFonts w:ascii="Verdana" w:hAnsi="Verdana"/>
          <w:sz w:val="24"/>
          <w:szCs w:val="24"/>
        </w:rPr>
        <w:t>Aplicación de la política de gobierno digital</w:t>
      </w:r>
      <w:r w:rsidRPr="30CF4445" w:rsidR="321A418A">
        <w:rPr>
          <w:rFonts w:ascii="Verdana" w:hAnsi="Verdana"/>
          <w:sz w:val="24"/>
          <w:szCs w:val="24"/>
        </w:rPr>
        <w:t>.</w:t>
      </w:r>
    </w:p>
    <w:p w:rsidRPr="00C140A0" w:rsidR="0067218F" w:rsidRDefault="0067218F" w14:paraId="793350A3" w14:textId="046E8914">
      <w:pPr>
        <w:pStyle w:val="Prrafodelista"/>
        <w:numPr>
          <w:ilvl w:val="0"/>
          <w:numId w:val="67"/>
        </w:numPr>
        <w:suppressAutoHyphens/>
        <w:spacing w:after="0" w:line="360" w:lineRule="auto"/>
        <w:jc w:val="both"/>
        <w:rPr>
          <w:rFonts w:ascii="Verdana" w:hAnsi="Verdana"/>
          <w:sz w:val="24"/>
          <w:szCs w:val="24"/>
        </w:rPr>
      </w:pPr>
      <w:r w:rsidRPr="30CF4445" w:rsidR="56474F15">
        <w:rPr>
          <w:rFonts w:ascii="Verdana" w:hAnsi="Verdana"/>
          <w:sz w:val="24"/>
          <w:szCs w:val="24"/>
        </w:rPr>
        <w:t>Creación del Instituto de Investigación de Energías Limpias</w:t>
      </w:r>
      <w:r w:rsidRPr="30CF4445" w:rsidR="455EAA4D">
        <w:rPr>
          <w:rFonts w:ascii="Verdana" w:hAnsi="Verdana"/>
          <w:sz w:val="24"/>
          <w:szCs w:val="24"/>
        </w:rPr>
        <w:t>.</w:t>
      </w:r>
    </w:p>
    <w:p w:rsidRPr="00C140A0" w:rsidR="0067218F" w:rsidRDefault="0067218F" w14:paraId="40A97B9F" w14:textId="3CAD0A97">
      <w:pPr>
        <w:pStyle w:val="Prrafodelista"/>
        <w:numPr>
          <w:ilvl w:val="0"/>
          <w:numId w:val="67"/>
        </w:numPr>
        <w:suppressAutoHyphens/>
        <w:spacing w:after="0" w:line="360" w:lineRule="auto"/>
        <w:jc w:val="both"/>
        <w:rPr>
          <w:rFonts w:ascii="Verdana" w:hAnsi="Verdana"/>
          <w:sz w:val="24"/>
          <w:szCs w:val="24"/>
        </w:rPr>
      </w:pPr>
      <w:r w:rsidRPr="30CF4445" w:rsidR="56474F15">
        <w:rPr>
          <w:rFonts w:ascii="Verdana" w:hAnsi="Verdana"/>
          <w:sz w:val="24"/>
          <w:szCs w:val="24"/>
        </w:rPr>
        <w:t>Certificación Institucional</w:t>
      </w:r>
      <w:r w:rsidRPr="30CF4445" w:rsidR="1ACBCACC">
        <w:rPr>
          <w:rFonts w:ascii="Verdana" w:hAnsi="Verdana"/>
          <w:sz w:val="24"/>
          <w:szCs w:val="24"/>
        </w:rPr>
        <w:t>.</w:t>
      </w:r>
    </w:p>
    <w:p w:rsidRPr="00C140A0" w:rsidR="0067218F" w:rsidRDefault="0067218F" w14:paraId="40F846B9" w14:textId="3EB4DF05">
      <w:pPr>
        <w:pStyle w:val="Prrafodelista"/>
        <w:numPr>
          <w:ilvl w:val="0"/>
          <w:numId w:val="67"/>
        </w:numPr>
        <w:suppressAutoHyphens/>
        <w:spacing w:after="0" w:line="360" w:lineRule="auto"/>
        <w:jc w:val="both"/>
        <w:rPr>
          <w:rFonts w:ascii="Verdana" w:hAnsi="Verdana"/>
          <w:sz w:val="24"/>
          <w:szCs w:val="24"/>
        </w:rPr>
      </w:pPr>
      <w:r w:rsidRPr="30CF4445" w:rsidR="56474F15">
        <w:rPr>
          <w:rFonts w:ascii="Verdana" w:hAnsi="Verdana"/>
          <w:sz w:val="24"/>
          <w:szCs w:val="24"/>
        </w:rPr>
        <w:t xml:space="preserve">Implementar lineamientos frente a la Estrategia de Relacionamiento Territorial con enfoque de DDHH, </w:t>
      </w:r>
      <w:r w:rsidRPr="30CF4445" w:rsidR="5EEB883F">
        <w:rPr>
          <w:rFonts w:ascii="Verdana" w:hAnsi="Verdana"/>
          <w:sz w:val="24"/>
          <w:szCs w:val="24"/>
        </w:rPr>
        <w:t>g</w:t>
      </w:r>
      <w:r w:rsidRPr="30CF4445" w:rsidR="56474F15">
        <w:rPr>
          <w:rFonts w:ascii="Verdana" w:hAnsi="Verdana"/>
          <w:sz w:val="24"/>
          <w:szCs w:val="24"/>
        </w:rPr>
        <w:t xml:space="preserve">énero y </w:t>
      </w:r>
      <w:r w:rsidRPr="30CF4445" w:rsidR="01019AF6">
        <w:rPr>
          <w:rFonts w:ascii="Verdana" w:hAnsi="Verdana"/>
          <w:sz w:val="24"/>
          <w:szCs w:val="24"/>
        </w:rPr>
        <w:t>étnico</w:t>
      </w:r>
      <w:r w:rsidRPr="30CF4445" w:rsidR="56474F15">
        <w:rPr>
          <w:rFonts w:ascii="Verdana" w:hAnsi="Verdana"/>
          <w:sz w:val="24"/>
          <w:szCs w:val="24"/>
        </w:rPr>
        <w:t xml:space="preserve"> que permita alinear las estrategias de trabajo priorizadas encaminadas hacia una </w:t>
      </w:r>
      <w:r w:rsidRPr="30CF4445" w:rsidR="12D9784C">
        <w:rPr>
          <w:rFonts w:ascii="Verdana" w:hAnsi="Verdana"/>
          <w:sz w:val="24"/>
          <w:szCs w:val="24"/>
        </w:rPr>
        <w:t>T</w:t>
      </w:r>
      <w:r w:rsidRPr="30CF4445" w:rsidR="56474F15">
        <w:rPr>
          <w:rFonts w:ascii="Verdana" w:hAnsi="Verdana"/>
          <w:sz w:val="24"/>
          <w:szCs w:val="24"/>
        </w:rPr>
        <w:t xml:space="preserve">ransición </w:t>
      </w:r>
      <w:r w:rsidRPr="30CF4445" w:rsidR="4ACC7893">
        <w:rPr>
          <w:rFonts w:ascii="Verdana" w:hAnsi="Verdana"/>
          <w:sz w:val="24"/>
          <w:szCs w:val="24"/>
        </w:rPr>
        <w:t>E</w:t>
      </w:r>
      <w:r w:rsidRPr="30CF4445" w:rsidR="56474F15">
        <w:rPr>
          <w:rFonts w:ascii="Verdana" w:hAnsi="Verdana"/>
          <w:sz w:val="24"/>
          <w:szCs w:val="24"/>
        </w:rPr>
        <w:t xml:space="preserve">nergética </w:t>
      </w:r>
      <w:r w:rsidRPr="30CF4445" w:rsidR="1D4B1579">
        <w:rPr>
          <w:rFonts w:ascii="Verdana" w:hAnsi="Verdana"/>
          <w:sz w:val="24"/>
          <w:szCs w:val="24"/>
        </w:rPr>
        <w:t>J</w:t>
      </w:r>
      <w:r w:rsidRPr="30CF4445" w:rsidR="56474F15">
        <w:rPr>
          <w:rFonts w:ascii="Verdana" w:hAnsi="Verdana"/>
          <w:sz w:val="24"/>
          <w:szCs w:val="24"/>
        </w:rPr>
        <w:t>usta</w:t>
      </w:r>
      <w:r w:rsidRPr="30CF4445" w:rsidR="72E4FEC8">
        <w:rPr>
          <w:rFonts w:ascii="Verdana" w:hAnsi="Verdana"/>
          <w:sz w:val="24"/>
          <w:szCs w:val="24"/>
        </w:rPr>
        <w:t>.</w:t>
      </w:r>
    </w:p>
    <w:p w:rsidRPr="00C140A0" w:rsidR="0067218F" w:rsidRDefault="0067218F" w14:paraId="0FBDF762" w14:textId="09CA1D27">
      <w:pPr>
        <w:pStyle w:val="Prrafodelista"/>
        <w:numPr>
          <w:ilvl w:val="0"/>
          <w:numId w:val="67"/>
        </w:numPr>
        <w:suppressAutoHyphens/>
        <w:spacing w:after="0" w:line="360" w:lineRule="auto"/>
        <w:jc w:val="both"/>
        <w:rPr>
          <w:rFonts w:ascii="Verdana" w:hAnsi="Verdana"/>
          <w:sz w:val="24"/>
          <w:szCs w:val="24"/>
        </w:rPr>
      </w:pPr>
      <w:r w:rsidRPr="30CF4445" w:rsidR="56474F15">
        <w:rPr>
          <w:rFonts w:ascii="Verdana" w:hAnsi="Verdana"/>
          <w:sz w:val="24"/>
          <w:szCs w:val="24"/>
        </w:rPr>
        <w:t xml:space="preserve">Implementar lineamientos para la Estrategia de Comunicación Popular </w:t>
      </w:r>
      <w:r w:rsidRPr="30CF4445" w:rsidR="01019AF6">
        <w:rPr>
          <w:rFonts w:ascii="Verdana" w:hAnsi="Verdana"/>
          <w:sz w:val="24"/>
          <w:szCs w:val="24"/>
        </w:rPr>
        <w:t>d</w:t>
      </w:r>
      <w:r w:rsidRPr="30CF4445" w:rsidR="56474F15">
        <w:rPr>
          <w:rFonts w:ascii="Verdana" w:hAnsi="Verdana"/>
          <w:sz w:val="24"/>
          <w:szCs w:val="24"/>
        </w:rPr>
        <w:t xml:space="preserve">onde se </w:t>
      </w:r>
      <w:r w:rsidRPr="30CF4445" w:rsidR="01019AF6">
        <w:rPr>
          <w:rFonts w:ascii="Verdana" w:hAnsi="Verdana"/>
          <w:sz w:val="24"/>
          <w:szCs w:val="24"/>
        </w:rPr>
        <w:t>pueda</w:t>
      </w:r>
      <w:r w:rsidRPr="30CF4445" w:rsidR="030BE4AB">
        <w:rPr>
          <w:rFonts w:ascii="Verdana" w:hAnsi="Verdana"/>
          <w:sz w:val="24"/>
          <w:szCs w:val="24"/>
        </w:rPr>
        <w:t>n</w:t>
      </w:r>
      <w:r w:rsidRPr="30CF4445" w:rsidR="01019AF6">
        <w:rPr>
          <w:rFonts w:ascii="Verdana" w:hAnsi="Verdana"/>
          <w:sz w:val="24"/>
          <w:szCs w:val="24"/>
        </w:rPr>
        <w:t xml:space="preserve"> democratizar</w:t>
      </w:r>
      <w:r w:rsidRPr="30CF4445" w:rsidR="56474F15">
        <w:rPr>
          <w:rFonts w:ascii="Verdana" w:hAnsi="Verdana"/>
          <w:sz w:val="24"/>
          <w:szCs w:val="24"/>
        </w:rPr>
        <w:t xml:space="preserve"> los saberes </w:t>
      </w:r>
      <w:r w:rsidRPr="30CF4445" w:rsidR="2D426ED9">
        <w:rPr>
          <w:rFonts w:ascii="Verdana" w:hAnsi="Verdana"/>
          <w:sz w:val="24"/>
          <w:szCs w:val="24"/>
        </w:rPr>
        <w:t>en los</w:t>
      </w:r>
      <w:r w:rsidRPr="30CF4445" w:rsidR="56474F15">
        <w:rPr>
          <w:rFonts w:ascii="Verdana" w:hAnsi="Verdana"/>
          <w:sz w:val="24"/>
          <w:szCs w:val="24"/>
        </w:rPr>
        <w:t xml:space="preserve"> territorios relacionados en el SME con el fin de fomentar su participación.</w:t>
      </w:r>
    </w:p>
    <w:p w:rsidRPr="00C140A0" w:rsidR="0067218F" w:rsidRDefault="0067218F" w14:paraId="05C82BB8" w14:textId="248B7564">
      <w:pPr>
        <w:pStyle w:val="Prrafodelista"/>
        <w:numPr>
          <w:ilvl w:val="0"/>
          <w:numId w:val="67"/>
        </w:numPr>
        <w:suppressAutoHyphens/>
        <w:spacing w:after="0" w:line="360" w:lineRule="auto"/>
        <w:jc w:val="both"/>
        <w:rPr>
          <w:rFonts w:ascii="Verdana" w:hAnsi="Verdana"/>
          <w:sz w:val="24"/>
          <w:szCs w:val="24"/>
        </w:rPr>
      </w:pPr>
      <w:r w:rsidRPr="30CF4445" w:rsidR="56474F15">
        <w:rPr>
          <w:rFonts w:ascii="Verdana" w:hAnsi="Verdana"/>
          <w:sz w:val="24"/>
          <w:szCs w:val="24"/>
        </w:rPr>
        <w:t>Implementación y medición del nivel de Gobernanza Ambiental del sector minero</w:t>
      </w:r>
      <w:r w:rsidRPr="30CF4445" w:rsidR="775D442E">
        <w:rPr>
          <w:rFonts w:ascii="Verdana" w:hAnsi="Verdana"/>
          <w:sz w:val="24"/>
          <w:szCs w:val="24"/>
        </w:rPr>
        <w:t>-</w:t>
      </w:r>
      <w:r w:rsidRPr="30CF4445" w:rsidR="56474F15">
        <w:rPr>
          <w:rFonts w:ascii="Verdana" w:hAnsi="Verdana"/>
          <w:sz w:val="24"/>
          <w:szCs w:val="24"/>
        </w:rPr>
        <w:t>energético</w:t>
      </w:r>
      <w:r w:rsidRPr="30CF4445" w:rsidR="3F619527">
        <w:rPr>
          <w:rFonts w:ascii="Verdana" w:hAnsi="Verdana"/>
          <w:sz w:val="24"/>
          <w:szCs w:val="24"/>
        </w:rPr>
        <w:t>.</w:t>
      </w:r>
    </w:p>
    <w:p w:rsidR="00A528D1" w:rsidP="00D94015" w:rsidRDefault="00A528D1" w14:paraId="6B41DF66" w14:textId="77777777">
      <w:pPr>
        <w:spacing w:after="0" w:line="360" w:lineRule="auto"/>
        <w:jc w:val="both"/>
        <w:rPr>
          <w:rFonts w:ascii="Verdana" w:hAnsi="Verdana"/>
          <w:sz w:val="24"/>
          <w:szCs w:val="24"/>
        </w:rPr>
      </w:pPr>
    </w:p>
    <w:p w:rsidR="0067218F" w:rsidP="00D94015" w:rsidRDefault="0067218F" w14:paraId="592436AD" w14:textId="77777777">
      <w:pPr>
        <w:spacing w:after="0" w:line="360" w:lineRule="auto"/>
        <w:jc w:val="both"/>
        <w:rPr>
          <w:rFonts w:ascii="Verdana" w:hAnsi="Verdana"/>
          <w:sz w:val="24"/>
          <w:szCs w:val="24"/>
        </w:rPr>
      </w:pPr>
      <w:r w:rsidRPr="00C140A0">
        <w:rPr>
          <w:rFonts w:ascii="Verdana" w:hAnsi="Verdana"/>
          <w:sz w:val="24"/>
          <w:szCs w:val="24"/>
        </w:rPr>
        <w:t xml:space="preserve">La implementación de las prioridades institucionales definidas durante el periodo 2022–2026 estuvo estrechamente articulada con los objetivos estratégicos del Plan Estratégico Institucional (PEI), contribuyendo al fortalecimiento de la gestión administrativa, técnica y misional del Ministerio de Minas y Energía. En este sentido, la ejecución de auditorías energéticas y la implementación de acciones de mejora derivadas de sus resultados aportaron al cumplimiento del objetivo relacionado con el uso racional y eficiente de los recursos, permitiendo optimizar el desempeño </w:t>
      </w:r>
      <w:r w:rsidRPr="00C140A0">
        <w:rPr>
          <w:rFonts w:ascii="Verdana" w:hAnsi="Verdana"/>
          <w:sz w:val="24"/>
          <w:szCs w:val="24"/>
        </w:rPr>
        <w:t>ambiental institucional, reducir consumos asociados a la operación administrativa y consolidar una cultura organizacional orientada a la sostenibilidad y la mejora continua.</w:t>
      </w:r>
    </w:p>
    <w:p w:rsidRPr="00C140A0" w:rsidR="00280F0A" w:rsidP="00D94015" w:rsidRDefault="00280F0A" w14:paraId="5D5276F8" w14:textId="77777777">
      <w:pPr>
        <w:spacing w:after="0" w:line="360" w:lineRule="auto"/>
        <w:jc w:val="both"/>
        <w:rPr>
          <w:rFonts w:ascii="Verdana" w:hAnsi="Verdana"/>
          <w:sz w:val="24"/>
          <w:szCs w:val="24"/>
        </w:rPr>
      </w:pPr>
    </w:p>
    <w:p w:rsidRPr="00C140A0" w:rsidR="0067218F" w:rsidP="00D94015" w:rsidRDefault="0067218F" w14:paraId="3FAAE60E" w14:textId="77777777">
      <w:pPr>
        <w:spacing w:after="0" w:line="360" w:lineRule="auto"/>
        <w:jc w:val="both"/>
        <w:rPr>
          <w:rFonts w:ascii="Verdana" w:hAnsi="Verdana"/>
          <w:sz w:val="24"/>
          <w:szCs w:val="24"/>
        </w:rPr>
      </w:pPr>
      <w:r w:rsidRPr="00C140A0">
        <w:rPr>
          <w:rFonts w:ascii="Verdana" w:hAnsi="Verdana"/>
          <w:sz w:val="24"/>
          <w:szCs w:val="24"/>
        </w:rPr>
        <w:t>De igual manera, la aplicación de la Política de Gobierno Digital fortaleció los objetivos asociados a la gestión del conocimiento, la información y la innovación, así como aquellos relacionados con la satisfacción de los grupos de valor y partes interesadas. La incorporación de herramientas tecnológicas, la modernización de procesos y el fortalecimiento de la seguridad de la información contribuyeron a mejorar la eficiencia institucional, ampliar la disponibilidad de servicios digitales y facilitar el acceso oportuno a la información por parte de la ciudadanía y los diferentes actores del sector.</w:t>
      </w:r>
    </w:p>
    <w:p w:rsidR="00A528D1" w:rsidP="00D94015" w:rsidRDefault="00A528D1" w14:paraId="1A487863" w14:textId="77777777">
      <w:pPr>
        <w:spacing w:after="0" w:line="360" w:lineRule="auto"/>
        <w:jc w:val="both"/>
        <w:rPr>
          <w:rFonts w:ascii="Verdana" w:hAnsi="Verdana"/>
          <w:sz w:val="24"/>
          <w:szCs w:val="24"/>
        </w:rPr>
      </w:pPr>
    </w:p>
    <w:p w:rsidRPr="00C140A0" w:rsidR="0067218F" w:rsidP="00D94015" w:rsidRDefault="0067218F" w14:paraId="693F2483" w14:textId="77777777">
      <w:pPr>
        <w:spacing w:after="0" w:line="360" w:lineRule="auto"/>
        <w:jc w:val="both"/>
        <w:rPr>
          <w:rFonts w:ascii="Verdana" w:hAnsi="Verdana"/>
          <w:sz w:val="24"/>
          <w:szCs w:val="24"/>
        </w:rPr>
      </w:pPr>
      <w:r w:rsidRPr="00C140A0">
        <w:rPr>
          <w:rFonts w:ascii="Verdana" w:hAnsi="Verdana"/>
          <w:sz w:val="24"/>
          <w:szCs w:val="24"/>
        </w:rPr>
        <w:t>Por su parte, los procesos de certificación institucional contribuyeron directamente al cumplimiento de los objetivos orientados a asegurar el cumplimiento de los requisitos legales y normativos, promover la apropiación del Sistema Integrado de Gestión y fortalecer los mecanismos de seguimiento y mejora continua. Estas certificaciones permitieron evidenciar la madurez de los procesos institucionales, consolidar buenas prácticas de gestión y garantizar la alineación de la Entidad con estándares reconocidos en materia de calidad, gestión ambiental, seguridad y salud en el trabajo y gestión organizacional.</w:t>
      </w:r>
    </w:p>
    <w:p w:rsidR="00A528D1" w:rsidP="00D94015" w:rsidRDefault="00A528D1" w14:paraId="3668986C" w14:textId="77777777">
      <w:pPr>
        <w:spacing w:after="0" w:line="360" w:lineRule="auto"/>
        <w:jc w:val="both"/>
        <w:rPr>
          <w:rFonts w:ascii="Verdana" w:hAnsi="Verdana"/>
          <w:sz w:val="24"/>
          <w:szCs w:val="24"/>
        </w:rPr>
      </w:pPr>
    </w:p>
    <w:p w:rsidR="0067218F" w:rsidP="00D94015" w:rsidRDefault="0067218F" w14:paraId="65AC311D" w14:textId="77777777">
      <w:pPr>
        <w:spacing w:after="0" w:line="360" w:lineRule="auto"/>
        <w:jc w:val="both"/>
        <w:rPr>
          <w:rFonts w:ascii="Verdana" w:hAnsi="Verdana"/>
          <w:sz w:val="24"/>
          <w:szCs w:val="24"/>
        </w:rPr>
      </w:pPr>
      <w:r w:rsidRPr="00C140A0">
        <w:rPr>
          <w:rFonts w:ascii="Verdana" w:hAnsi="Verdana"/>
          <w:sz w:val="24"/>
          <w:szCs w:val="24"/>
        </w:rPr>
        <w:t xml:space="preserve">Asimismo, la implementación de lineamientos para la Estrategia de Relacionamiento Territorial con enfoque de derechos humanos, género y enfoque étnico fortaleció el objetivo de incrementar la satisfacción de los grupos de valor y partes interesadas, promoviendo una gestión institucional más participativa, incluyente y territorial. Esta estrategia permitió mejorar la articulación con comunidades, autoridades </w:t>
      </w:r>
      <w:r w:rsidRPr="00C140A0">
        <w:rPr>
          <w:rFonts w:ascii="Verdana" w:hAnsi="Verdana"/>
          <w:sz w:val="24"/>
          <w:szCs w:val="24"/>
        </w:rPr>
        <w:t>territoriales y actores del sector, favoreciendo la construcción de confianza y el desarrollo de acciones encaminadas a la implementación de una Transición Energética Justa con enfoque diferencial y territorial.</w:t>
      </w:r>
    </w:p>
    <w:p w:rsidRPr="00C140A0" w:rsidR="00280F0A" w:rsidP="00D94015" w:rsidRDefault="00280F0A" w14:paraId="19E50320" w14:textId="77777777">
      <w:pPr>
        <w:spacing w:after="0" w:line="360" w:lineRule="auto"/>
        <w:jc w:val="both"/>
        <w:rPr>
          <w:rFonts w:ascii="Verdana" w:hAnsi="Verdana"/>
          <w:sz w:val="24"/>
          <w:szCs w:val="24"/>
        </w:rPr>
      </w:pPr>
    </w:p>
    <w:p w:rsidRPr="00C140A0" w:rsidR="0067218F" w:rsidP="00D94015" w:rsidRDefault="0067218F" w14:paraId="01B59116" w14:textId="77777777">
      <w:pPr>
        <w:spacing w:after="0" w:line="360" w:lineRule="auto"/>
        <w:jc w:val="both"/>
        <w:rPr>
          <w:rFonts w:ascii="Verdana" w:hAnsi="Verdana"/>
          <w:sz w:val="24"/>
          <w:szCs w:val="24"/>
        </w:rPr>
      </w:pPr>
      <w:r w:rsidRPr="00C140A0">
        <w:rPr>
          <w:rFonts w:ascii="Verdana" w:hAnsi="Verdana"/>
          <w:sz w:val="24"/>
          <w:szCs w:val="24"/>
        </w:rPr>
        <w:t>Complementariamente, la Estrategia de Comunicación Popular contribuyó a democratizar el acceso a la información y al conocimiento sobre el sector minero-energético, fortaleciendo la participación ciudadana y promoviendo una mayor apropiación social de las políticas, programas y proyectos sectoriales. Esta prioridad se relacionó directamente con los objetivos de satisfacción de los grupos de valor, gestión del conocimiento y fortalecimiento institucional, al facilitar canales de comunicación más cercanos, accesibles y adaptados a las realidades de los territorios.</w:t>
      </w:r>
    </w:p>
    <w:p w:rsidR="00A528D1" w:rsidP="00D94015" w:rsidRDefault="00A528D1" w14:paraId="2D8B9DC9" w14:textId="77777777">
      <w:pPr>
        <w:spacing w:after="0" w:line="360" w:lineRule="auto"/>
        <w:jc w:val="both"/>
        <w:rPr>
          <w:rFonts w:ascii="Verdana" w:hAnsi="Verdana"/>
          <w:sz w:val="24"/>
          <w:szCs w:val="24"/>
        </w:rPr>
      </w:pPr>
    </w:p>
    <w:p w:rsidRPr="00C140A0" w:rsidR="0067218F" w:rsidP="00D94015" w:rsidRDefault="0067218F" w14:paraId="6030E29D" w14:textId="5D652A19">
      <w:pPr>
        <w:spacing w:after="0" w:line="360" w:lineRule="auto"/>
        <w:jc w:val="both"/>
        <w:rPr>
          <w:rFonts w:ascii="Verdana" w:hAnsi="Verdana"/>
          <w:sz w:val="24"/>
          <w:szCs w:val="24"/>
        </w:rPr>
      </w:pPr>
      <w:r w:rsidRPr="30CF4445" w:rsidR="56474F15">
        <w:rPr>
          <w:rFonts w:ascii="Verdana" w:hAnsi="Verdana"/>
          <w:sz w:val="24"/>
          <w:szCs w:val="24"/>
        </w:rPr>
        <w:t>Finalmente, la implementación y medición del nivel de Gobernanza Ambiental del sector minero-energético permitió avanzar en los objetivos asociados al cumplimiento de compromisos ambientales, la gestión basada en riesgos y la mejora continua institucional. Este ejercicio fortaleció las capacidades de seguimiento, evaluación y toma de decisiones del sector, promoviendo una gestión más transparente, sostenible y articulada con los principios de</w:t>
      </w:r>
      <w:r w:rsidRPr="30CF4445" w:rsidR="406EEBC5">
        <w:rPr>
          <w:rFonts w:ascii="Verdana" w:hAnsi="Verdana"/>
          <w:sz w:val="24"/>
          <w:szCs w:val="24"/>
        </w:rPr>
        <w:t>l</w:t>
      </w:r>
      <w:r w:rsidRPr="30CF4445" w:rsidR="56474F15">
        <w:rPr>
          <w:rFonts w:ascii="Verdana" w:hAnsi="Verdana"/>
          <w:sz w:val="24"/>
          <w:szCs w:val="24"/>
        </w:rPr>
        <w:t xml:space="preserve"> desarrollo sostenible y transición energética justa.</w:t>
      </w:r>
    </w:p>
    <w:p w:rsidR="00A528D1" w:rsidP="00D94015" w:rsidRDefault="00A528D1" w14:paraId="4E729386" w14:textId="77777777">
      <w:pPr>
        <w:spacing w:after="0" w:line="360" w:lineRule="auto"/>
        <w:jc w:val="both"/>
        <w:rPr>
          <w:rFonts w:ascii="Verdana" w:hAnsi="Verdana"/>
          <w:sz w:val="24"/>
          <w:szCs w:val="24"/>
        </w:rPr>
      </w:pPr>
    </w:p>
    <w:p w:rsidRPr="00C140A0" w:rsidR="0067218F" w:rsidP="00D94015" w:rsidRDefault="0067218F" w14:paraId="1C926A80" w14:textId="77777777">
      <w:pPr>
        <w:spacing w:after="0" w:line="360" w:lineRule="auto"/>
        <w:jc w:val="both"/>
        <w:rPr>
          <w:rFonts w:ascii="Verdana" w:hAnsi="Verdana"/>
          <w:sz w:val="24"/>
          <w:szCs w:val="24"/>
        </w:rPr>
      </w:pPr>
      <w:r w:rsidRPr="00C140A0">
        <w:rPr>
          <w:rFonts w:ascii="Verdana" w:hAnsi="Verdana"/>
          <w:sz w:val="24"/>
          <w:szCs w:val="24"/>
        </w:rPr>
        <w:t>En conjunto, estas prioridades institucionales se constituyeron en instrumentos fundamentales para materializar los objetivos estratégicos del Plan Estratégico Institucional, fortaleciendo la capacidad de gestión del Ministerio, mejorando el desempeño organizacional y contribuyendo al cumplimiento de la misión institucional durante el cuatrienio 2022–2026.</w:t>
      </w:r>
    </w:p>
    <w:p w:rsidR="00A528D1" w:rsidP="00D94015" w:rsidRDefault="00A528D1" w14:paraId="380C7CC7" w14:textId="77777777">
      <w:pPr>
        <w:spacing w:after="0" w:line="360" w:lineRule="auto"/>
        <w:jc w:val="both"/>
        <w:rPr>
          <w:rFonts w:ascii="Verdana" w:hAnsi="Verdana"/>
          <w:sz w:val="24"/>
          <w:szCs w:val="24"/>
        </w:rPr>
      </w:pPr>
    </w:p>
    <w:p w:rsidRPr="00C140A0" w:rsidR="0067218F" w:rsidP="00D94015" w:rsidRDefault="286F0F4F" w14:paraId="521BB4AF" w14:textId="77777777">
      <w:pPr>
        <w:spacing w:after="0" w:line="360" w:lineRule="auto"/>
        <w:jc w:val="both"/>
        <w:rPr>
          <w:rFonts w:ascii="Verdana" w:hAnsi="Verdana"/>
          <w:sz w:val="24"/>
          <w:szCs w:val="24"/>
        </w:rPr>
      </w:pPr>
      <w:r w:rsidRPr="180099B3">
        <w:rPr>
          <w:rFonts w:ascii="Verdana" w:hAnsi="Verdana"/>
          <w:sz w:val="24"/>
          <w:szCs w:val="24"/>
        </w:rPr>
        <w:t>A continuación, se presenta el balance de los indicadores del Plan Estratégico Institucional (PEI) del Ministerio de Minas y Energía con corte al 31 de marzo de 2026. Esta fecha corresponde al último seguimiento trimestral consolidado disponible y constituye el punto de referencia para el análisis de avances, resultados y desempeño institucional incluidos en el presente informe.</w:t>
      </w:r>
    </w:p>
    <w:p w:rsidR="180099B3" w:rsidP="00D94015" w:rsidRDefault="180099B3" w14:paraId="0BEF87FA" w14:textId="77777777">
      <w:pPr>
        <w:spacing w:after="0" w:line="360" w:lineRule="auto"/>
        <w:jc w:val="both"/>
        <w:rPr>
          <w:rFonts w:ascii="Verdana" w:hAnsi="Verdana"/>
          <w:sz w:val="24"/>
          <w:szCs w:val="24"/>
        </w:rPr>
      </w:pPr>
    </w:p>
    <w:p w:rsidR="00AE0779" w:rsidP="00A528D1" w:rsidRDefault="00AE0779" w14:paraId="7F403298" w14:textId="77777777">
      <w:pPr>
        <w:pStyle w:val="Descripcin"/>
        <w:spacing w:after="0"/>
        <w:jc w:val="center"/>
        <w:rPr>
          <w:rFonts w:ascii="Verdana" w:hAnsi="Verdana"/>
          <w:i w:val="0"/>
          <w:iCs w:val="0"/>
          <w:color w:val="auto"/>
        </w:rPr>
      </w:pPr>
      <w:r w:rsidRPr="00A528D1">
        <w:rPr>
          <w:rFonts w:ascii="Verdana" w:hAnsi="Verdana"/>
          <w:i w:val="0"/>
          <w:iCs w:val="0"/>
          <w:color w:val="auto"/>
        </w:rPr>
        <w:t>Tabla</w:t>
      </w:r>
      <w:r w:rsidR="00280F0A">
        <w:rPr>
          <w:rFonts w:ascii="Verdana" w:hAnsi="Verdana"/>
          <w:i w:val="0"/>
          <w:iCs w:val="0"/>
          <w:color w:val="auto"/>
        </w:rPr>
        <w:t xml:space="preserve"> No. 16</w:t>
      </w:r>
      <w:r w:rsidRPr="00A528D1">
        <w:rPr>
          <w:rFonts w:ascii="Verdana" w:hAnsi="Verdana"/>
          <w:i w:val="0"/>
          <w:iCs w:val="0"/>
          <w:color w:val="auto"/>
        </w:rPr>
        <w:t>. Indicadores PEI 2024-2026</w:t>
      </w:r>
    </w:p>
    <w:tbl>
      <w:tblPr>
        <w:tblW w:w="8500" w:type="dxa"/>
        <w:tblCellMar>
          <w:left w:w="70" w:type="dxa"/>
          <w:right w:w="70" w:type="dxa"/>
        </w:tblCellMar>
        <w:tblLook w:val="04A0" w:firstRow="1" w:lastRow="0" w:firstColumn="1" w:lastColumn="0" w:noHBand="0" w:noVBand="1"/>
      </w:tblPr>
      <w:tblGrid>
        <w:gridCol w:w="3252"/>
        <w:gridCol w:w="1445"/>
        <w:gridCol w:w="1704"/>
        <w:gridCol w:w="2099"/>
      </w:tblGrid>
      <w:tr w:rsidRPr="00280F0A" w:rsidR="00D81E38" w:rsidTr="30CF4445" w14:paraId="30D05424" w14:textId="77777777">
        <w:trPr>
          <w:trHeight w:val="900"/>
        </w:trPr>
        <w:tc>
          <w:tcPr>
            <w:tcW w:w="3252"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E7E6E6"/>
            <w:tcMar/>
            <w:vAlign w:val="center"/>
            <w:hideMark/>
          </w:tcPr>
          <w:p w:rsidRPr="00280F0A" w:rsidR="00D81E38" w:rsidP="00A528D1" w:rsidRDefault="00D81E38" w14:paraId="5CE1FAEF" w14:textId="77777777">
            <w:pPr>
              <w:spacing w:after="0" w:line="240" w:lineRule="auto"/>
              <w:jc w:val="center"/>
              <w:rPr>
                <w:rFonts w:ascii="Verdana" w:hAnsi="Verdana" w:eastAsia="Times New Roman" w:cs="Calibri"/>
                <w:b/>
                <w:bCs/>
                <w:color w:val="000000"/>
                <w:sz w:val="16"/>
                <w:szCs w:val="16"/>
                <w:lang w:eastAsia="es-MX"/>
              </w:rPr>
            </w:pPr>
            <w:r w:rsidRPr="00280F0A">
              <w:rPr>
                <w:rFonts w:ascii="Verdana" w:hAnsi="Verdana" w:eastAsia="Times New Roman" w:cs="Calibri"/>
                <w:b/>
                <w:bCs/>
                <w:color w:val="000000"/>
                <w:sz w:val="16"/>
                <w:szCs w:val="16"/>
                <w:lang w:eastAsia="es-MX"/>
              </w:rPr>
              <w:t>INDICADOR</w:t>
            </w:r>
          </w:p>
        </w:tc>
        <w:tc>
          <w:tcPr>
            <w:tcW w:w="1445" w:type="dxa"/>
            <w:tcBorders>
              <w:top w:val="single" w:color="000000" w:themeColor="text1" w:sz="4" w:space="0"/>
              <w:left w:val="nil"/>
              <w:bottom w:val="single" w:color="000000" w:themeColor="text1" w:sz="4" w:space="0"/>
              <w:right w:val="single" w:color="000000" w:themeColor="text1" w:sz="4" w:space="0"/>
            </w:tcBorders>
            <w:shd w:val="clear" w:color="auto" w:fill="E7E6E6"/>
            <w:tcMar/>
            <w:vAlign w:val="center"/>
            <w:hideMark/>
          </w:tcPr>
          <w:p w:rsidRPr="00280F0A" w:rsidR="00D81E38" w:rsidP="00A528D1" w:rsidRDefault="00D81E38" w14:paraId="64649DA1" w14:textId="77777777">
            <w:pPr>
              <w:spacing w:after="0" w:line="240" w:lineRule="auto"/>
              <w:jc w:val="center"/>
              <w:rPr>
                <w:rFonts w:ascii="Verdana" w:hAnsi="Verdana" w:eastAsia="Times New Roman" w:cs="Calibri"/>
                <w:b/>
                <w:bCs/>
                <w:color w:val="000000"/>
                <w:sz w:val="16"/>
                <w:szCs w:val="16"/>
                <w:lang w:eastAsia="es-MX"/>
              </w:rPr>
            </w:pPr>
            <w:r w:rsidRPr="00280F0A">
              <w:rPr>
                <w:rFonts w:ascii="Verdana" w:hAnsi="Verdana" w:eastAsia="Times New Roman" w:cs="Calibri"/>
                <w:b/>
                <w:bCs/>
                <w:color w:val="000000"/>
                <w:sz w:val="16"/>
                <w:szCs w:val="16"/>
                <w:lang w:eastAsia="es-MX"/>
              </w:rPr>
              <w:t>META CUATRIENIO</w:t>
            </w:r>
          </w:p>
        </w:tc>
        <w:tc>
          <w:tcPr>
            <w:tcW w:w="1704" w:type="dxa"/>
            <w:tcBorders>
              <w:top w:val="single" w:color="auto" w:sz="4" w:space="0"/>
              <w:left w:val="nil"/>
              <w:bottom w:val="single" w:color="auto" w:sz="4" w:space="0"/>
              <w:right w:val="single" w:color="auto" w:sz="4" w:space="0"/>
            </w:tcBorders>
            <w:shd w:val="clear" w:color="auto" w:fill="E7E6E6"/>
            <w:tcMar/>
            <w:vAlign w:val="center"/>
            <w:hideMark/>
          </w:tcPr>
          <w:p w:rsidRPr="00280F0A" w:rsidR="00D81E38" w:rsidP="00A528D1" w:rsidRDefault="00D81E38" w14:paraId="03001E88" w14:textId="77777777">
            <w:pPr>
              <w:spacing w:after="0" w:line="240" w:lineRule="auto"/>
              <w:jc w:val="center"/>
              <w:rPr>
                <w:rFonts w:ascii="Verdana" w:hAnsi="Verdana" w:eastAsia="Times New Roman" w:cs="Calibri"/>
                <w:b/>
                <w:bCs/>
                <w:color w:val="000000"/>
                <w:sz w:val="16"/>
                <w:szCs w:val="16"/>
                <w:lang w:eastAsia="es-MX"/>
              </w:rPr>
            </w:pPr>
            <w:r w:rsidRPr="00280F0A">
              <w:rPr>
                <w:rFonts w:ascii="Verdana" w:hAnsi="Verdana" w:eastAsia="Times New Roman" w:cs="Calibri"/>
                <w:b/>
                <w:bCs/>
                <w:color w:val="000000"/>
                <w:sz w:val="16"/>
                <w:szCs w:val="16"/>
                <w:lang w:eastAsia="es-MX"/>
              </w:rPr>
              <w:t>AVANCE CUANTITATIVO TRIM 1 2026</w:t>
            </w:r>
          </w:p>
        </w:tc>
        <w:tc>
          <w:tcPr>
            <w:tcW w:w="2099" w:type="dxa"/>
            <w:tcBorders>
              <w:top w:val="single" w:color="auto" w:sz="4" w:space="0"/>
              <w:left w:val="nil"/>
              <w:bottom w:val="single" w:color="auto" w:sz="4" w:space="0"/>
              <w:right w:val="single" w:color="auto" w:sz="4" w:space="0"/>
            </w:tcBorders>
            <w:shd w:val="clear" w:color="auto" w:fill="E7E6E6"/>
            <w:tcMar/>
            <w:vAlign w:val="center"/>
            <w:hideMark/>
          </w:tcPr>
          <w:p w:rsidRPr="00280F0A" w:rsidR="00D81E38" w:rsidP="00A528D1" w:rsidRDefault="00D81E38" w14:paraId="369FF03E" w14:textId="77777777">
            <w:pPr>
              <w:spacing w:after="0" w:line="240" w:lineRule="auto"/>
              <w:jc w:val="center"/>
              <w:rPr>
                <w:rFonts w:ascii="Verdana" w:hAnsi="Verdana" w:eastAsia="Times New Roman" w:cs="Calibri"/>
                <w:b/>
                <w:bCs/>
                <w:color w:val="000000"/>
                <w:sz w:val="16"/>
                <w:szCs w:val="16"/>
                <w:lang w:eastAsia="es-MX"/>
              </w:rPr>
            </w:pPr>
            <w:r w:rsidRPr="00280F0A">
              <w:rPr>
                <w:rFonts w:ascii="Verdana" w:hAnsi="Verdana" w:eastAsia="Times New Roman" w:cs="Calibri"/>
                <w:b/>
                <w:bCs/>
                <w:color w:val="000000"/>
                <w:sz w:val="16"/>
                <w:szCs w:val="16"/>
                <w:lang w:eastAsia="es-MX"/>
              </w:rPr>
              <w:t>BALANCE CUMPLIMIENTO TRIM 1 2026</w:t>
            </w:r>
          </w:p>
        </w:tc>
      </w:tr>
      <w:tr w:rsidRPr="00280F0A" w:rsidR="00D81E38" w:rsidTr="30CF4445" w14:paraId="1A13D8AB" w14:textId="77777777">
        <w:trPr>
          <w:trHeight w:val="680"/>
        </w:trPr>
        <w:tc>
          <w:tcPr>
            <w:tcW w:w="3252" w:type="dxa"/>
            <w:tcBorders>
              <w:top w:val="nil"/>
              <w:left w:val="single" w:color="000000" w:themeColor="text1" w:sz="4" w:space="0"/>
              <w:bottom w:val="single" w:color="000000" w:themeColor="text1" w:sz="4" w:space="0"/>
              <w:right w:val="single" w:color="000000" w:themeColor="text1" w:sz="4" w:space="0"/>
            </w:tcBorders>
            <w:shd w:val="clear" w:color="auto" w:fill="FFFFFF" w:themeFill="background1"/>
            <w:tcMar/>
            <w:vAlign w:val="center"/>
            <w:hideMark/>
          </w:tcPr>
          <w:p w:rsidRPr="00280F0A" w:rsidR="00D81E38" w:rsidP="00A528D1" w:rsidRDefault="00D81E38" w14:paraId="4338BCD9" w14:textId="77777777">
            <w:pPr>
              <w:spacing w:after="0" w:line="240" w:lineRule="auto"/>
              <w:rPr>
                <w:rFonts w:ascii="Verdana" w:hAnsi="Verdana" w:eastAsia="Times New Roman" w:cs="Calibri"/>
                <w:color w:val="000000"/>
                <w:sz w:val="16"/>
                <w:szCs w:val="16"/>
                <w:lang w:eastAsia="es-MX"/>
              </w:rPr>
            </w:pPr>
            <w:r w:rsidRPr="00280F0A">
              <w:rPr>
                <w:rFonts w:ascii="Verdana" w:hAnsi="Verdana" w:eastAsia="Times New Roman" w:cs="Calibri"/>
                <w:color w:val="000000"/>
                <w:sz w:val="16"/>
                <w:szCs w:val="16"/>
                <w:lang w:eastAsia="es-MX"/>
              </w:rPr>
              <w:t xml:space="preserve">Porcentaje de avance en la implementación del plan de acción de auditoría energética en el MME </w:t>
            </w:r>
          </w:p>
        </w:tc>
        <w:tc>
          <w:tcPr>
            <w:tcW w:w="1445" w:type="dxa"/>
            <w:tcBorders>
              <w:top w:val="nil"/>
              <w:left w:val="nil"/>
              <w:bottom w:val="single" w:color="000000" w:themeColor="text1" w:sz="4" w:space="0"/>
              <w:right w:val="single" w:color="000000" w:themeColor="text1" w:sz="4" w:space="0"/>
            </w:tcBorders>
            <w:shd w:val="clear" w:color="auto" w:fill="FFFFFF" w:themeFill="background1"/>
            <w:tcMar/>
            <w:vAlign w:val="center"/>
            <w:hideMark/>
          </w:tcPr>
          <w:p w:rsidRPr="00280F0A" w:rsidR="00D81E38" w:rsidP="00A528D1" w:rsidRDefault="00D81E38" w14:paraId="72B1AD84" w14:textId="77777777">
            <w:pPr>
              <w:spacing w:after="0" w:line="240" w:lineRule="auto"/>
              <w:jc w:val="center"/>
              <w:rPr>
                <w:rFonts w:ascii="Verdana" w:hAnsi="Verdana" w:eastAsia="Times New Roman" w:cs="Calibri"/>
                <w:color w:val="000000"/>
                <w:sz w:val="16"/>
                <w:szCs w:val="16"/>
                <w:lang w:eastAsia="es-MX"/>
              </w:rPr>
            </w:pPr>
            <w:r w:rsidRPr="00280F0A">
              <w:rPr>
                <w:rFonts w:ascii="Verdana" w:hAnsi="Verdana" w:eastAsia="Times New Roman" w:cs="Calibri"/>
                <w:color w:val="000000"/>
                <w:sz w:val="16"/>
                <w:szCs w:val="16"/>
                <w:lang w:eastAsia="es-MX"/>
              </w:rPr>
              <w:t>1</w:t>
            </w:r>
          </w:p>
        </w:tc>
        <w:tc>
          <w:tcPr>
            <w:tcW w:w="1704" w:type="dxa"/>
            <w:tcBorders>
              <w:top w:val="nil"/>
              <w:left w:val="nil"/>
              <w:bottom w:val="single" w:color="auto" w:sz="4" w:space="0"/>
              <w:right w:val="single" w:color="auto" w:sz="4" w:space="0"/>
            </w:tcBorders>
            <w:noWrap/>
            <w:tcMar/>
            <w:vAlign w:val="center"/>
            <w:hideMark/>
          </w:tcPr>
          <w:p w:rsidRPr="00280F0A" w:rsidR="00D81E38" w:rsidP="00A528D1" w:rsidRDefault="00D81E38" w14:paraId="255A953E" w14:textId="77777777">
            <w:pPr>
              <w:spacing w:after="0" w:line="240" w:lineRule="auto"/>
              <w:jc w:val="center"/>
              <w:rPr>
                <w:rFonts w:ascii="Verdana" w:hAnsi="Verdana" w:eastAsia="Times New Roman" w:cs="Calibri"/>
                <w:color w:val="000000"/>
                <w:sz w:val="16"/>
                <w:szCs w:val="16"/>
                <w:lang w:eastAsia="es-MX"/>
              </w:rPr>
            </w:pPr>
            <w:r w:rsidRPr="00280F0A">
              <w:rPr>
                <w:rFonts w:ascii="Verdana" w:hAnsi="Verdana" w:eastAsia="Times New Roman" w:cs="Calibri"/>
                <w:color w:val="000000"/>
                <w:sz w:val="16"/>
                <w:szCs w:val="16"/>
                <w:lang w:eastAsia="es-MX"/>
              </w:rPr>
              <w:t>90%</w:t>
            </w:r>
          </w:p>
        </w:tc>
        <w:tc>
          <w:tcPr>
            <w:tcW w:w="2099" w:type="dxa"/>
            <w:tcBorders>
              <w:top w:val="nil"/>
              <w:left w:val="nil"/>
              <w:bottom w:val="single" w:color="auto" w:sz="4" w:space="0"/>
              <w:right w:val="single" w:color="auto" w:sz="4" w:space="0"/>
            </w:tcBorders>
            <w:shd w:val="clear" w:color="auto" w:fill="FFEB9C"/>
            <w:tcMar/>
            <w:vAlign w:val="center"/>
            <w:hideMark/>
          </w:tcPr>
          <w:p w:rsidRPr="00280F0A" w:rsidR="00D81E38" w:rsidP="00A528D1" w:rsidRDefault="00D81E38" w14:paraId="1F1C41C5" w14:textId="77777777">
            <w:pPr>
              <w:spacing w:after="0" w:line="240" w:lineRule="auto"/>
              <w:jc w:val="center"/>
              <w:rPr>
                <w:rFonts w:ascii="Verdana" w:hAnsi="Verdana" w:eastAsia="Times New Roman" w:cs="Calibri"/>
                <w:color w:val="9C5700"/>
                <w:sz w:val="16"/>
                <w:szCs w:val="16"/>
                <w:lang w:eastAsia="es-MX"/>
              </w:rPr>
            </w:pPr>
            <w:r w:rsidRPr="00280F0A">
              <w:rPr>
                <w:rFonts w:ascii="Verdana" w:hAnsi="Verdana" w:eastAsia="Times New Roman" w:cs="Calibri"/>
                <w:color w:val="9C5700"/>
                <w:sz w:val="16"/>
                <w:szCs w:val="16"/>
                <w:lang w:eastAsia="es-MX"/>
              </w:rPr>
              <w:t>Meta cumplida parcialmente</w:t>
            </w:r>
          </w:p>
        </w:tc>
      </w:tr>
      <w:tr w:rsidRPr="00280F0A" w:rsidR="00D81E38" w:rsidTr="30CF4445" w14:paraId="3F6136C9" w14:textId="77777777">
        <w:trPr>
          <w:trHeight w:val="900"/>
        </w:trPr>
        <w:tc>
          <w:tcPr>
            <w:tcW w:w="3252" w:type="dxa"/>
            <w:tcBorders>
              <w:top w:val="nil"/>
              <w:left w:val="single" w:color="000000" w:themeColor="text1" w:sz="4" w:space="0"/>
              <w:bottom w:val="single" w:color="000000" w:themeColor="text1" w:sz="4" w:space="0"/>
              <w:right w:val="single" w:color="000000" w:themeColor="text1" w:sz="4" w:space="0"/>
            </w:tcBorders>
            <w:shd w:val="clear" w:color="auto" w:fill="FFFFFF" w:themeFill="background1"/>
            <w:tcMar/>
            <w:vAlign w:val="center"/>
            <w:hideMark/>
          </w:tcPr>
          <w:p w:rsidRPr="00280F0A" w:rsidR="00D81E38" w:rsidP="00A528D1" w:rsidRDefault="00D81E38" w14:paraId="066BD125" w14:textId="77777777">
            <w:pPr>
              <w:spacing w:after="0" w:line="240" w:lineRule="auto"/>
              <w:rPr>
                <w:rFonts w:ascii="Verdana" w:hAnsi="Verdana" w:eastAsia="Times New Roman" w:cs="Calibri"/>
                <w:color w:val="000000"/>
                <w:sz w:val="16"/>
                <w:szCs w:val="16"/>
                <w:lang w:eastAsia="es-MX"/>
              </w:rPr>
            </w:pPr>
            <w:r w:rsidRPr="00280F0A">
              <w:rPr>
                <w:rFonts w:ascii="Verdana" w:hAnsi="Verdana" w:eastAsia="Times New Roman" w:cs="Calibri"/>
                <w:color w:val="000000"/>
                <w:sz w:val="16"/>
                <w:szCs w:val="16"/>
                <w:lang w:eastAsia="es-MX"/>
              </w:rPr>
              <w:t xml:space="preserve">Porcentaje de avance en la Implementación de la política de gobierno digital </w:t>
            </w:r>
          </w:p>
        </w:tc>
        <w:tc>
          <w:tcPr>
            <w:tcW w:w="1445" w:type="dxa"/>
            <w:tcBorders>
              <w:top w:val="nil"/>
              <w:left w:val="nil"/>
              <w:bottom w:val="single" w:color="000000" w:themeColor="text1" w:sz="4" w:space="0"/>
              <w:right w:val="single" w:color="000000" w:themeColor="text1" w:sz="4" w:space="0"/>
            </w:tcBorders>
            <w:shd w:val="clear" w:color="auto" w:fill="FFFFFF" w:themeFill="background1"/>
            <w:tcMar/>
            <w:vAlign w:val="center"/>
            <w:hideMark/>
          </w:tcPr>
          <w:p w:rsidRPr="00280F0A" w:rsidR="00D81E38" w:rsidP="00A528D1" w:rsidRDefault="00D81E38" w14:paraId="714334AE" w14:textId="77777777">
            <w:pPr>
              <w:spacing w:after="0" w:line="240" w:lineRule="auto"/>
              <w:jc w:val="center"/>
              <w:rPr>
                <w:rFonts w:ascii="Verdana" w:hAnsi="Verdana" w:eastAsia="Times New Roman" w:cs="Calibri"/>
                <w:color w:val="000000"/>
                <w:sz w:val="16"/>
                <w:szCs w:val="16"/>
                <w:lang w:eastAsia="es-MX"/>
              </w:rPr>
            </w:pPr>
            <w:r w:rsidRPr="00280F0A">
              <w:rPr>
                <w:rFonts w:ascii="Verdana" w:hAnsi="Verdana" w:eastAsia="Times New Roman" w:cs="Calibri"/>
                <w:color w:val="000000"/>
                <w:sz w:val="16"/>
                <w:szCs w:val="16"/>
                <w:lang w:eastAsia="es-MX"/>
              </w:rPr>
              <w:t>1</w:t>
            </w:r>
          </w:p>
        </w:tc>
        <w:tc>
          <w:tcPr>
            <w:tcW w:w="1704" w:type="dxa"/>
            <w:tcBorders>
              <w:top w:val="nil"/>
              <w:left w:val="nil"/>
              <w:bottom w:val="single" w:color="auto" w:sz="4" w:space="0"/>
              <w:right w:val="single" w:color="auto" w:sz="4" w:space="0"/>
            </w:tcBorders>
            <w:noWrap/>
            <w:tcMar/>
            <w:vAlign w:val="center"/>
            <w:hideMark/>
          </w:tcPr>
          <w:p w:rsidRPr="00280F0A" w:rsidR="00D81E38" w:rsidP="00A528D1" w:rsidRDefault="00D81E38" w14:paraId="3A48F8EA" w14:textId="77777777">
            <w:pPr>
              <w:spacing w:after="0" w:line="240" w:lineRule="auto"/>
              <w:jc w:val="center"/>
              <w:rPr>
                <w:rFonts w:ascii="Verdana" w:hAnsi="Verdana" w:eastAsia="Times New Roman" w:cs="Calibri"/>
                <w:color w:val="000000"/>
                <w:sz w:val="16"/>
                <w:szCs w:val="16"/>
                <w:lang w:eastAsia="es-MX"/>
              </w:rPr>
            </w:pPr>
            <w:r w:rsidRPr="00280F0A">
              <w:rPr>
                <w:rFonts w:ascii="Verdana" w:hAnsi="Verdana" w:eastAsia="Times New Roman" w:cs="Calibri"/>
                <w:color w:val="000000"/>
                <w:sz w:val="16"/>
                <w:szCs w:val="16"/>
                <w:lang w:eastAsia="es-MX"/>
              </w:rPr>
              <w:t>90%</w:t>
            </w:r>
          </w:p>
        </w:tc>
        <w:tc>
          <w:tcPr>
            <w:tcW w:w="2099" w:type="dxa"/>
            <w:tcBorders>
              <w:top w:val="nil"/>
              <w:left w:val="nil"/>
              <w:bottom w:val="single" w:color="auto" w:sz="4" w:space="0"/>
              <w:right w:val="single" w:color="auto" w:sz="4" w:space="0"/>
            </w:tcBorders>
            <w:shd w:val="clear" w:color="auto" w:fill="FFEB9C"/>
            <w:tcMar/>
            <w:vAlign w:val="center"/>
            <w:hideMark/>
          </w:tcPr>
          <w:p w:rsidRPr="00280F0A" w:rsidR="00D81E38" w:rsidP="00A528D1" w:rsidRDefault="00D81E38" w14:paraId="1C81ECAC" w14:textId="77777777">
            <w:pPr>
              <w:spacing w:after="0" w:line="240" w:lineRule="auto"/>
              <w:jc w:val="center"/>
              <w:rPr>
                <w:rFonts w:ascii="Verdana" w:hAnsi="Verdana" w:eastAsia="Times New Roman" w:cs="Calibri"/>
                <w:color w:val="9C5700"/>
                <w:sz w:val="16"/>
                <w:szCs w:val="16"/>
                <w:lang w:eastAsia="es-MX"/>
              </w:rPr>
            </w:pPr>
            <w:r w:rsidRPr="00280F0A">
              <w:rPr>
                <w:rFonts w:ascii="Verdana" w:hAnsi="Verdana" w:eastAsia="Times New Roman" w:cs="Calibri"/>
                <w:color w:val="9C5700"/>
                <w:sz w:val="16"/>
                <w:szCs w:val="16"/>
                <w:lang w:eastAsia="es-MX"/>
              </w:rPr>
              <w:t>Meta cumplida parcialmente</w:t>
            </w:r>
          </w:p>
        </w:tc>
      </w:tr>
      <w:tr w:rsidRPr="00280F0A" w:rsidR="00D81E38" w:rsidTr="30CF4445" w14:paraId="2D9471B8" w14:textId="77777777">
        <w:trPr>
          <w:trHeight w:val="680"/>
        </w:trPr>
        <w:tc>
          <w:tcPr>
            <w:tcW w:w="3252" w:type="dxa"/>
            <w:tcBorders>
              <w:top w:val="nil"/>
              <w:left w:val="single" w:color="000000" w:themeColor="text1" w:sz="4" w:space="0"/>
              <w:bottom w:val="single" w:color="000000" w:themeColor="text1" w:sz="4" w:space="0"/>
              <w:right w:val="single" w:color="000000" w:themeColor="text1" w:sz="4" w:space="0"/>
            </w:tcBorders>
            <w:shd w:val="clear" w:color="auto" w:fill="FFFFFF" w:themeFill="background1"/>
            <w:tcMar/>
            <w:vAlign w:val="center"/>
            <w:hideMark/>
          </w:tcPr>
          <w:p w:rsidRPr="00280F0A" w:rsidR="00D81E38" w:rsidP="00A528D1" w:rsidRDefault="00D81E38" w14:paraId="0F7F8E9F" w14:textId="77777777">
            <w:pPr>
              <w:spacing w:after="0" w:line="240" w:lineRule="auto"/>
              <w:rPr>
                <w:rFonts w:ascii="Verdana" w:hAnsi="Verdana" w:eastAsia="Times New Roman" w:cs="Calibri"/>
                <w:color w:val="000000"/>
                <w:sz w:val="16"/>
                <w:szCs w:val="16"/>
                <w:lang w:eastAsia="es-MX"/>
              </w:rPr>
            </w:pPr>
            <w:r w:rsidRPr="00280F0A">
              <w:rPr>
                <w:rFonts w:ascii="Verdana" w:hAnsi="Verdana" w:eastAsia="Times New Roman" w:cs="Calibri"/>
                <w:color w:val="000000"/>
                <w:sz w:val="16"/>
                <w:szCs w:val="16"/>
                <w:lang w:eastAsia="es-MX"/>
              </w:rPr>
              <w:t>Porcentaje de avance del plan de acción para la creación del instituto de energías limpias</w:t>
            </w:r>
          </w:p>
        </w:tc>
        <w:tc>
          <w:tcPr>
            <w:tcW w:w="1445" w:type="dxa"/>
            <w:tcBorders>
              <w:top w:val="nil"/>
              <w:left w:val="nil"/>
              <w:bottom w:val="single" w:color="000000" w:themeColor="text1" w:sz="4" w:space="0"/>
              <w:right w:val="single" w:color="000000" w:themeColor="text1" w:sz="4" w:space="0"/>
            </w:tcBorders>
            <w:shd w:val="clear" w:color="auto" w:fill="FFFFFF" w:themeFill="background1"/>
            <w:tcMar/>
            <w:vAlign w:val="center"/>
            <w:hideMark/>
          </w:tcPr>
          <w:p w:rsidRPr="00280F0A" w:rsidR="00D81E38" w:rsidP="00A528D1" w:rsidRDefault="00D81E38" w14:paraId="2B8F15D2" w14:textId="77777777">
            <w:pPr>
              <w:spacing w:after="0" w:line="240" w:lineRule="auto"/>
              <w:jc w:val="center"/>
              <w:rPr>
                <w:rFonts w:ascii="Verdana" w:hAnsi="Verdana" w:eastAsia="Times New Roman" w:cs="Calibri"/>
                <w:color w:val="000000"/>
                <w:sz w:val="16"/>
                <w:szCs w:val="16"/>
                <w:lang w:eastAsia="es-MX"/>
              </w:rPr>
            </w:pPr>
            <w:r w:rsidRPr="00280F0A">
              <w:rPr>
                <w:rFonts w:ascii="Verdana" w:hAnsi="Verdana" w:eastAsia="Times New Roman" w:cs="Calibri"/>
                <w:color w:val="000000"/>
                <w:sz w:val="16"/>
                <w:szCs w:val="16"/>
                <w:lang w:eastAsia="es-MX"/>
              </w:rPr>
              <w:t>1</w:t>
            </w:r>
          </w:p>
        </w:tc>
        <w:tc>
          <w:tcPr>
            <w:tcW w:w="1704" w:type="dxa"/>
            <w:tcBorders>
              <w:top w:val="nil"/>
              <w:left w:val="nil"/>
              <w:bottom w:val="single" w:color="auto" w:sz="4" w:space="0"/>
              <w:right w:val="single" w:color="auto" w:sz="4" w:space="0"/>
            </w:tcBorders>
            <w:noWrap/>
            <w:tcMar/>
            <w:vAlign w:val="center"/>
            <w:hideMark/>
          </w:tcPr>
          <w:p w:rsidRPr="00280F0A" w:rsidR="00D81E38" w:rsidP="00A528D1" w:rsidRDefault="00D81E38" w14:paraId="2B44EBA3" w14:textId="77777777">
            <w:pPr>
              <w:spacing w:after="0" w:line="240" w:lineRule="auto"/>
              <w:jc w:val="center"/>
              <w:rPr>
                <w:rFonts w:ascii="Verdana" w:hAnsi="Verdana" w:eastAsia="Times New Roman" w:cs="Calibri"/>
                <w:color w:val="000000"/>
                <w:sz w:val="16"/>
                <w:szCs w:val="16"/>
                <w:lang w:eastAsia="es-MX"/>
              </w:rPr>
            </w:pPr>
            <w:r w:rsidRPr="00280F0A">
              <w:rPr>
                <w:rFonts w:ascii="Verdana" w:hAnsi="Verdana" w:eastAsia="Times New Roman" w:cs="Calibri"/>
                <w:color w:val="000000"/>
                <w:sz w:val="16"/>
                <w:szCs w:val="16"/>
                <w:lang w:eastAsia="es-MX"/>
              </w:rPr>
              <w:t>60%</w:t>
            </w:r>
          </w:p>
        </w:tc>
        <w:tc>
          <w:tcPr>
            <w:tcW w:w="2099" w:type="dxa"/>
            <w:tcBorders>
              <w:top w:val="nil"/>
              <w:left w:val="nil"/>
              <w:bottom w:val="single" w:color="auto" w:sz="4" w:space="0"/>
              <w:right w:val="single" w:color="auto" w:sz="4" w:space="0"/>
            </w:tcBorders>
            <w:shd w:val="clear" w:color="auto" w:fill="FFEB9C"/>
            <w:tcMar/>
            <w:vAlign w:val="center"/>
            <w:hideMark/>
          </w:tcPr>
          <w:p w:rsidRPr="00280F0A" w:rsidR="00D81E38" w:rsidP="00A528D1" w:rsidRDefault="00D81E38" w14:paraId="0E109799" w14:textId="77777777">
            <w:pPr>
              <w:spacing w:after="0" w:line="240" w:lineRule="auto"/>
              <w:jc w:val="center"/>
              <w:rPr>
                <w:rFonts w:ascii="Verdana" w:hAnsi="Verdana" w:eastAsia="Times New Roman" w:cs="Calibri"/>
                <w:color w:val="9C5700"/>
                <w:sz w:val="16"/>
                <w:szCs w:val="16"/>
                <w:lang w:eastAsia="es-MX"/>
              </w:rPr>
            </w:pPr>
            <w:r w:rsidRPr="00280F0A">
              <w:rPr>
                <w:rFonts w:ascii="Verdana" w:hAnsi="Verdana" w:eastAsia="Times New Roman" w:cs="Calibri"/>
                <w:color w:val="9C5700"/>
                <w:sz w:val="16"/>
                <w:szCs w:val="16"/>
                <w:lang w:eastAsia="es-MX"/>
              </w:rPr>
              <w:t>Meta cumplida parcialmente</w:t>
            </w:r>
          </w:p>
        </w:tc>
      </w:tr>
      <w:tr w:rsidRPr="00280F0A" w:rsidR="00D81E38" w:rsidTr="30CF4445" w14:paraId="34FFC1CE" w14:textId="77777777">
        <w:trPr>
          <w:trHeight w:val="900"/>
        </w:trPr>
        <w:tc>
          <w:tcPr>
            <w:tcW w:w="3252" w:type="dxa"/>
            <w:tcBorders>
              <w:top w:val="nil"/>
              <w:left w:val="single" w:color="000000" w:themeColor="text1" w:sz="4" w:space="0"/>
              <w:bottom w:val="single" w:color="000000" w:themeColor="text1" w:sz="4" w:space="0"/>
              <w:right w:val="single" w:color="000000" w:themeColor="text1" w:sz="4" w:space="0"/>
            </w:tcBorders>
            <w:shd w:val="clear" w:color="auto" w:fill="FFFFFF" w:themeFill="background1"/>
            <w:tcMar/>
            <w:vAlign w:val="center"/>
            <w:hideMark/>
          </w:tcPr>
          <w:p w:rsidRPr="00280F0A" w:rsidR="00D81E38" w:rsidP="00A528D1" w:rsidRDefault="00D81E38" w14:paraId="32DB6EF8" w14:textId="77777777">
            <w:pPr>
              <w:spacing w:after="0" w:line="240" w:lineRule="auto"/>
              <w:rPr>
                <w:rFonts w:ascii="Verdana" w:hAnsi="Verdana" w:eastAsia="Times New Roman" w:cs="Calibri"/>
                <w:color w:val="000000"/>
                <w:sz w:val="16"/>
                <w:szCs w:val="16"/>
                <w:lang w:eastAsia="es-MX"/>
              </w:rPr>
            </w:pPr>
            <w:r w:rsidRPr="00280F0A">
              <w:rPr>
                <w:rFonts w:ascii="Verdana" w:hAnsi="Verdana" w:eastAsia="Times New Roman" w:cs="Calibri"/>
                <w:color w:val="000000"/>
                <w:sz w:val="16"/>
                <w:szCs w:val="16"/>
                <w:lang w:eastAsia="es-MX"/>
              </w:rPr>
              <w:t>Porcentaje de avance en la implementación de los numerales de la norma ISO 9001: 2015 - ISO 14001:2015 e ISO 45001:2018</w:t>
            </w:r>
          </w:p>
        </w:tc>
        <w:tc>
          <w:tcPr>
            <w:tcW w:w="1445" w:type="dxa"/>
            <w:tcBorders>
              <w:top w:val="nil"/>
              <w:left w:val="nil"/>
              <w:bottom w:val="single" w:color="000000" w:themeColor="text1" w:sz="4" w:space="0"/>
              <w:right w:val="single" w:color="000000" w:themeColor="text1" w:sz="4" w:space="0"/>
            </w:tcBorders>
            <w:shd w:val="clear" w:color="auto" w:fill="FFFFFF" w:themeFill="background1"/>
            <w:tcMar/>
            <w:vAlign w:val="center"/>
            <w:hideMark/>
          </w:tcPr>
          <w:p w:rsidRPr="00280F0A" w:rsidR="00D81E38" w:rsidP="00A528D1" w:rsidRDefault="00D81E38" w14:paraId="273CF2BE" w14:textId="77777777">
            <w:pPr>
              <w:spacing w:after="0" w:line="240" w:lineRule="auto"/>
              <w:jc w:val="center"/>
              <w:rPr>
                <w:rFonts w:ascii="Verdana" w:hAnsi="Verdana" w:eastAsia="Times New Roman" w:cs="Calibri"/>
                <w:color w:val="000000"/>
                <w:sz w:val="16"/>
                <w:szCs w:val="16"/>
                <w:lang w:eastAsia="es-MX"/>
              </w:rPr>
            </w:pPr>
            <w:r w:rsidRPr="00280F0A">
              <w:rPr>
                <w:rFonts w:ascii="Verdana" w:hAnsi="Verdana" w:eastAsia="Times New Roman" w:cs="Calibri"/>
                <w:color w:val="000000"/>
                <w:sz w:val="16"/>
                <w:szCs w:val="16"/>
                <w:lang w:eastAsia="es-MX"/>
              </w:rPr>
              <w:t>1</w:t>
            </w:r>
          </w:p>
        </w:tc>
        <w:tc>
          <w:tcPr>
            <w:tcW w:w="1704" w:type="dxa"/>
            <w:tcBorders>
              <w:top w:val="nil"/>
              <w:left w:val="nil"/>
              <w:bottom w:val="single" w:color="auto" w:sz="4" w:space="0"/>
              <w:right w:val="single" w:color="auto" w:sz="4" w:space="0"/>
            </w:tcBorders>
            <w:shd w:val="clear" w:color="auto" w:fill="FFFFFF" w:themeFill="background1"/>
            <w:noWrap/>
            <w:tcMar/>
            <w:vAlign w:val="center"/>
            <w:hideMark/>
          </w:tcPr>
          <w:p w:rsidRPr="00280F0A" w:rsidR="00D81E38" w:rsidP="00A528D1" w:rsidRDefault="00D81E38" w14:paraId="683923E9" w14:textId="77777777">
            <w:pPr>
              <w:spacing w:after="0" w:line="240" w:lineRule="auto"/>
              <w:jc w:val="center"/>
              <w:rPr>
                <w:rFonts w:ascii="Verdana" w:hAnsi="Verdana" w:eastAsia="Times New Roman" w:cs="Calibri"/>
                <w:color w:val="000000"/>
                <w:sz w:val="16"/>
                <w:szCs w:val="16"/>
                <w:lang w:eastAsia="es-MX"/>
              </w:rPr>
            </w:pPr>
            <w:r w:rsidRPr="00280F0A">
              <w:rPr>
                <w:rFonts w:ascii="Verdana" w:hAnsi="Verdana" w:eastAsia="Times New Roman" w:cs="Calibri"/>
                <w:color w:val="000000"/>
                <w:sz w:val="16"/>
                <w:szCs w:val="16"/>
                <w:lang w:eastAsia="es-MX"/>
              </w:rPr>
              <w:t>5%</w:t>
            </w:r>
          </w:p>
        </w:tc>
        <w:tc>
          <w:tcPr>
            <w:tcW w:w="2099" w:type="dxa"/>
            <w:tcBorders>
              <w:top w:val="single" w:color="auto" w:sz="4" w:space="0"/>
              <w:left w:val="single" w:color="auto" w:sz="4" w:space="0"/>
              <w:bottom w:val="single" w:color="auto" w:sz="4" w:space="0"/>
              <w:right w:val="single" w:color="auto" w:sz="4" w:space="0"/>
            </w:tcBorders>
            <w:shd w:val="clear" w:color="auto" w:fill="C6EFCE"/>
            <w:tcMar/>
            <w:vAlign w:val="center"/>
            <w:hideMark/>
          </w:tcPr>
          <w:p w:rsidRPr="00280F0A" w:rsidR="00D81E38" w:rsidP="00A528D1" w:rsidRDefault="00D81E38" w14:paraId="73238705" w14:textId="77777777">
            <w:pPr>
              <w:spacing w:after="0" w:line="240" w:lineRule="auto"/>
              <w:jc w:val="center"/>
              <w:rPr>
                <w:rFonts w:ascii="Verdana" w:hAnsi="Verdana" w:eastAsia="Times New Roman" w:cs="Calibri"/>
                <w:color w:val="006100"/>
                <w:sz w:val="16"/>
                <w:szCs w:val="16"/>
                <w:lang w:eastAsia="es-MX"/>
              </w:rPr>
            </w:pPr>
            <w:r w:rsidRPr="00280F0A">
              <w:rPr>
                <w:rFonts w:ascii="Verdana" w:hAnsi="Verdana" w:eastAsia="Times New Roman" w:cs="Calibri"/>
                <w:color w:val="006100"/>
                <w:sz w:val="16"/>
                <w:szCs w:val="16"/>
                <w:lang w:eastAsia="es-MX"/>
              </w:rPr>
              <w:t>Meta cumplida</w:t>
            </w:r>
          </w:p>
        </w:tc>
      </w:tr>
      <w:tr w:rsidRPr="00280F0A" w:rsidR="00D81E38" w:rsidTr="30CF4445" w14:paraId="40866F24" w14:textId="77777777">
        <w:trPr>
          <w:trHeight w:val="1500"/>
        </w:trPr>
        <w:tc>
          <w:tcPr>
            <w:tcW w:w="3252" w:type="dxa"/>
            <w:tcBorders>
              <w:top w:val="nil"/>
              <w:left w:val="single" w:color="000000" w:themeColor="text1" w:sz="4" w:space="0"/>
              <w:bottom w:val="single" w:color="000000" w:themeColor="text1" w:sz="4" w:space="0"/>
              <w:right w:val="single" w:color="000000" w:themeColor="text1" w:sz="4" w:space="0"/>
            </w:tcBorders>
            <w:shd w:val="clear" w:color="auto" w:fill="FFFFFF" w:themeFill="background1"/>
            <w:tcMar/>
            <w:hideMark/>
          </w:tcPr>
          <w:p w:rsidRPr="00280F0A" w:rsidR="00D81E38" w:rsidP="00A528D1" w:rsidRDefault="00D81E38" w14:paraId="52BAC065" w14:textId="77777777">
            <w:pPr>
              <w:spacing w:after="0" w:line="240" w:lineRule="auto"/>
              <w:rPr>
                <w:rFonts w:ascii="Verdana" w:hAnsi="Verdana" w:eastAsia="Times New Roman" w:cs="Calibri"/>
                <w:color w:val="000000"/>
                <w:sz w:val="16"/>
                <w:szCs w:val="16"/>
                <w:lang w:eastAsia="es-MX"/>
              </w:rPr>
            </w:pPr>
            <w:r w:rsidRPr="00280F0A">
              <w:rPr>
                <w:rFonts w:ascii="Verdana" w:hAnsi="Verdana" w:eastAsia="Times New Roman" w:cs="Calibri"/>
                <w:color w:val="000000"/>
                <w:sz w:val="16"/>
                <w:szCs w:val="16"/>
                <w:lang w:eastAsia="es-MX"/>
              </w:rPr>
              <w:t xml:space="preserve">Porcentaje de avance en el diseño e implementación de </w:t>
            </w:r>
            <w:r w:rsidRPr="00280F0A" w:rsidR="005229F9">
              <w:rPr>
                <w:rFonts w:ascii="Verdana" w:hAnsi="Verdana" w:eastAsia="Times New Roman" w:cs="Calibri"/>
                <w:color w:val="000000"/>
                <w:sz w:val="16"/>
                <w:szCs w:val="16"/>
                <w:lang w:eastAsia="es-MX"/>
              </w:rPr>
              <w:t>una Estrategia</w:t>
            </w:r>
            <w:r w:rsidRPr="00280F0A">
              <w:rPr>
                <w:rFonts w:ascii="Verdana" w:hAnsi="Verdana" w:eastAsia="Times New Roman" w:cs="Calibri"/>
                <w:color w:val="000000"/>
                <w:sz w:val="16"/>
                <w:szCs w:val="16"/>
                <w:lang w:eastAsia="es-MX"/>
              </w:rPr>
              <w:t xml:space="preserve"> de Relacionamiento Territorial con enfoque de DDHH, Género y étnico que permita alinear las estrategias de trabajo priorizadas encaminadas hacia una transición energética justa</w:t>
            </w:r>
          </w:p>
        </w:tc>
        <w:tc>
          <w:tcPr>
            <w:tcW w:w="1445" w:type="dxa"/>
            <w:tcBorders>
              <w:top w:val="nil"/>
              <w:left w:val="nil"/>
              <w:bottom w:val="single" w:color="000000" w:themeColor="text1" w:sz="4" w:space="0"/>
              <w:right w:val="single" w:color="000000" w:themeColor="text1" w:sz="4" w:space="0"/>
            </w:tcBorders>
            <w:shd w:val="clear" w:color="auto" w:fill="FFFFFF" w:themeFill="background1"/>
            <w:tcMar/>
            <w:vAlign w:val="center"/>
            <w:hideMark/>
          </w:tcPr>
          <w:p w:rsidRPr="00280F0A" w:rsidR="00D81E38" w:rsidP="00A528D1" w:rsidRDefault="00D81E38" w14:paraId="6173C43F" w14:textId="77777777">
            <w:pPr>
              <w:spacing w:after="0" w:line="240" w:lineRule="auto"/>
              <w:jc w:val="center"/>
              <w:rPr>
                <w:rFonts w:ascii="Verdana" w:hAnsi="Verdana" w:eastAsia="Times New Roman" w:cs="Calibri"/>
                <w:color w:val="000000"/>
                <w:sz w:val="16"/>
                <w:szCs w:val="16"/>
                <w:lang w:eastAsia="es-MX"/>
              </w:rPr>
            </w:pPr>
            <w:r w:rsidRPr="00280F0A">
              <w:rPr>
                <w:rFonts w:ascii="Verdana" w:hAnsi="Verdana" w:eastAsia="Times New Roman" w:cs="Calibri"/>
                <w:color w:val="000000"/>
                <w:sz w:val="16"/>
                <w:szCs w:val="16"/>
                <w:lang w:eastAsia="es-MX"/>
              </w:rPr>
              <w:t>1</w:t>
            </w:r>
          </w:p>
        </w:tc>
        <w:tc>
          <w:tcPr>
            <w:tcW w:w="1704" w:type="dxa"/>
            <w:tcBorders>
              <w:top w:val="nil"/>
              <w:left w:val="nil"/>
              <w:bottom w:val="single" w:color="auto" w:sz="4" w:space="0"/>
              <w:right w:val="single" w:color="auto" w:sz="4" w:space="0"/>
            </w:tcBorders>
            <w:shd w:val="clear" w:color="auto" w:fill="FFFFFF" w:themeFill="background1"/>
            <w:tcMar/>
            <w:vAlign w:val="center"/>
            <w:hideMark/>
          </w:tcPr>
          <w:p w:rsidRPr="00280F0A" w:rsidR="00D81E38" w:rsidP="00A528D1" w:rsidRDefault="00D81E38" w14:paraId="313C91C2" w14:textId="77777777">
            <w:pPr>
              <w:spacing w:after="0" w:line="240" w:lineRule="auto"/>
              <w:jc w:val="center"/>
              <w:rPr>
                <w:rFonts w:ascii="Verdana" w:hAnsi="Verdana" w:eastAsia="Times New Roman" w:cs="Calibri"/>
                <w:color w:val="000000"/>
                <w:sz w:val="16"/>
                <w:szCs w:val="16"/>
                <w:lang w:eastAsia="es-MX"/>
              </w:rPr>
            </w:pPr>
            <w:r w:rsidRPr="00280F0A">
              <w:rPr>
                <w:rFonts w:ascii="Verdana" w:hAnsi="Verdana" w:eastAsia="Times New Roman" w:cs="Calibri"/>
                <w:color w:val="000000"/>
                <w:sz w:val="16"/>
                <w:szCs w:val="16"/>
                <w:lang w:eastAsia="es-MX"/>
              </w:rPr>
              <w:t>70%</w:t>
            </w:r>
          </w:p>
        </w:tc>
        <w:tc>
          <w:tcPr>
            <w:tcW w:w="2099" w:type="dxa"/>
            <w:tcBorders>
              <w:top w:val="nil"/>
              <w:left w:val="nil"/>
              <w:bottom w:val="single" w:color="auto" w:sz="4" w:space="0"/>
              <w:right w:val="single" w:color="auto" w:sz="4" w:space="0"/>
            </w:tcBorders>
            <w:shd w:val="clear" w:color="auto" w:fill="FFEB9C"/>
            <w:tcMar/>
            <w:vAlign w:val="center"/>
            <w:hideMark/>
          </w:tcPr>
          <w:p w:rsidRPr="00280F0A" w:rsidR="00D81E38" w:rsidP="00A528D1" w:rsidRDefault="00D81E38" w14:paraId="7BB09664" w14:textId="77777777">
            <w:pPr>
              <w:spacing w:after="0" w:line="240" w:lineRule="auto"/>
              <w:jc w:val="center"/>
              <w:rPr>
                <w:rFonts w:ascii="Verdana" w:hAnsi="Verdana" w:eastAsia="Times New Roman" w:cs="Calibri"/>
                <w:color w:val="9C5700"/>
                <w:sz w:val="16"/>
                <w:szCs w:val="16"/>
                <w:lang w:eastAsia="es-MX"/>
              </w:rPr>
            </w:pPr>
            <w:r w:rsidRPr="00280F0A">
              <w:rPr>
                <w:rFonts w:ascii="Verdana" w:hAnsi="Verdana" w:eastAsia="Times New Roman" w:cs="Calibri"/>
                <w:color w:val="9C5700"/>
                <w:sz w:val="16"/>
                <w:szCs w:val="16"/>
                <w:lang w:eastAsia="es-MX"/>
              </w:rPr>
              <w:t>Meta cumplida parcialmente</w:t>
            </w:r>
          </w:p>
        </w:tc>
      </w:tr>
      <w:tr w:rsidRPr="00280F0A" w:rsidR="00D81E38" w:rsidTr="30CF4445" w14:paraId="385849AC" w14:textId="77777777">
        <w:trPr>
          <w:trHeight w:val="1200"/>
        </w:trPr>
        <w:tc>
          <w:tcPr>
            <w:tcW w:w="3252" w:type="dxa"/>
            <w:tcBorders>
              <w:top w:val="nil"/>
              <w:left w:val="single" w:color="000000" w:themeColor="text1" w:sz="4" w:space="0"/>
              <w:bottom w:val="single" w:color="000000" w:themeColor="text1" w:sz="4" w:space="0"/>
              <w:right w:val="single" w:color="000000" w:themeColor="text1" w:sz="4" w:space="0"/>
            </w:tcBorders>
            <w:shd w:val="clear" w:color="auto" w:fill="FFFFFF" w:themeFill="background1"/>
            <w:tcMar/>
            <w:vAlign w:val="center"/>
            <w:hideMark/>
          </w:tcPr>
          <w:p w:rsidRPr="00280F0A" w:rsidR="00D81E38" w:rsidP="00A528D1" w:rsidRDefault="00D81E38" w14:paraId="006298D1" w14:textId="06CB4C0F">
            <w:pPr>
              <w:spacing w:after="0" w:line="240" w:lineRule="auto"/>
              <w:rPr>
                <w:rFonts w:ascii="Verdana" w:hAnsi="Verdana" w:eastAsia="Times New Roman" w:cs="Calibri"/>
                <w:color w:val="000000"/>
                <w:sz w:val="16"/>
                <w:szCs w:val="16"/>
                <w:lang w:eastAsia="es-MX"/>
              </w:rPr>
            </w:pPr>
            <w:r w:rsidRPr="30CF4445" w:rsidR="2C959999">
              <w:rPr>
                <w:rFonts w:ascii="Verdana" w:hAnsi="Verdana" w:eastAsia="Times New Roman" w:cs="Calibri"/>
                <w:color w:val="000000" w:themeColor="text1" w:themeTint="FF" w:themeShade="FF"/>
                <w:sz w:val="16"/>
                <w:szCs w:val="16"/>
                <w:lang w:eastAsia="es-MX"/>
              </w:rPr>
              <w:t xml:space="preserve">Diseño e implementación de una Estrategia de Comunicación </w:t>
            </w:r>
            <w:r w:rsidRPr="30CF4445" w:rsidR="01019AF6">
              <w:rPr>
                <w:rFonts w:ascii="Verdana" w:hAnsi="Verdana" w:eastAsia="Times New Roman" w:cs="Calibri"/>
                <w:color w:val="000000" w:themeColor="text1" w:themeTint="FF" w:themeShade="FF"/>
                <w:sz w:val="16"/>
                <w:szCs w:val="16"/>
                <w:lang w:eastAsia="es-MX"/>
              </w:rPr>
              <w:t>Popular donde</w:t>
            </w:r>
            <w:r w:rsidRPr="30CF4445" w:rsidR="2C959999">
              <w:rPr>
                <w:rFonts w:ascii="Verdana" w:hAnsi="Verdana" w:eastAsia="Times New Roman" w:cs="Calibri"/>
                <w:color w:val="000000" w:themeColor="text1" w:themeTint="FF" w:themeShade="FF"/>
                <w:sz w:val="16"/>
                <w:szCs w:val="16"/>
                <w:lang w:eastAsia="es-MX"/>
              </w:rPr>
              <w:t xml:space="preserve"> se </w:t>
            </w:r>
            <w:r w:rsidRPr="30CF4445" w:rsidR="01019AF6">
              <w:rPr>
                <w:rFonts w:ascii="Verdana" w:hAnsi="Verdana" w:eastAsia="Times New Roman" w:cs="Calibri"/>
                <w:color w:val="000000" w:themeColor="text1" w:themeTint="FF" w:themeShade="FF"/>
                <w:sz w:val="16"/>
                <w:szCs w:val="16"/>
                <w:lang w:eastAsia="es-MX"/>
              </w:rPr>
              <w:t>pueda</w:t>
            </w:r>
            <w:r w:rsidRPr="30CF4445" w:rsidR="01019AF6">
              <w:rPr>
                <w:rFonts w:ascii="Verdana" w:hAnsi="Verdana" w:eastAsia="Times New Roman" w:cs="Calibri"/>
                <w:color w:val="000000" w:themeColor="text1" w:themeTint="FF" w:themeShade="FF"/>
                <w:sz w:val="16"/>
                <w:szCs w:val="16"/>
                <w:lang w:eastAsia="es-MX"/>
              </w:rPr>
              <w:t xml:space="preserve"> democratizar</w:t>
            </w:r>
            <w:r w:rsidRPr="30CF4445" w:rsidR="2C959999">
              <w:rPr>
                <w:rFonts w:ascii="Verdana" w:hAnsi="Verdana" w:eastAsia="Times New Roman" w:cs="Calibri"/>
                <w:color w:val="000000" w:themeColor="text1" w:themeTint="FF" w:themeShade="FF"/>
                <w:sz w:val="16"/>
                <w:szCs w:val="16"/>
                <w:lang w:eastAsia="es-MX"/>
              </w:rPr>
              <w:t xml:space="preserve"> los saberes en los territorios relacionados en el SME con el fin de fomentar su participación.</w:t>
            </w:r>
          </w:p>
        </w:tc>
        <w:tc>
          <w:tcPr>
            <w:tcW w:w="1445" w:type="dxa"/>
            <w:tcBorders>
              <w:top w:val="nil"/>
              <w:left w:val="nil"/>
              <w:bottom w:val="single" w:color="000000" w:themeColor="text1" w:sz="4" w:space="0"/>
              <w:right w:val="single" w:color="000000" w:themeColor="text1" w:sz="4" w:space="0"/>
            </w:tcBorders>
            <w:shd w:val="clear" w:color="auto" w:fill="FFFFFF" w:themeFill="background1"/>
            <w:tcMar/>
            <w:vAlign w:val="center"/>
            <w:hideMark/>
          </w:tcPr>
          <w:p w:rsidRPr="00280F0A" w:rsidR="00D81E38" w:rsidP="00A528D1" w:rsidRDefault="00D81E38" w14:paraId="618D2A25" w14:textId="77777777">
            <w:pPr>
              <w:spacing w:after="0" w:line="240" w:lineRule="auto"/>
              <w:jc w:val="center"/>
              <w:rPr>
                <w:rFonts w:ascii="Verdana" w:hAnsi="Verdana" w:eastAsia="Times New Roman" w:cs="Calibri"/>
                <w:color w:val="000000"/>
                <w:sz w:val="16"/>
                <w:szCs w:val="16"/>
                <w:lang w:eastAsia="es-MX"/>
              </w:rPr>
            </w:pPr>
            <w:r w:rsidRPr="00280F0A">
              <w:rPr>
                <w:rFonts w:ascii="Verdana" w:hAnsi="Verdana" w:eastAsia="Times New Roman" w:cs="Calibri"/>
                <w:color w:val="000000"/>
                <w:sz w:val="16"/>
                <w:szCs w:val="16"/>
                <w:lang w:eastAsia="es-MX"/>
              </w:rPr>
              <w:t>1</w:t>
            </w:r>
          </w:p>
        </w:tc>
        <w:tc>
          <w:tcPr>
            <w:tcW w:w="1704" w:type="dxa"/>
            <w:tcBorders>
              <w:top w:val="nil"/>
              <w:left w:val="nil"/>
              <w:bottom w:val="single" w:color="auto" w:sz="4" w:space="0"/>
              <w:right w:val="single" w:color="auto" w:sz="4" w:space="0"/>
            </w:tcBorders>
            <w:shd w:val="clear" w:color="auto" w:fill="FFFFFF" w:themeFill="background1"/>
            <w:tcMar/>
            <w:vAlign w:val="center"/>
            <w:hideMark/>
          </w:tcPr>
          <w:p w:rsidRPr="00280F0A" w:rsidR="00D81E38" w:rsidP="00A528D1" w:rsidRDefault="00D81E38" w14:paraId="7F96AB53" w14:textId="77777777">
            <w:pPr>
              <w:spacing w:after="0" w:line="240" w:lineRule="auto"/>
              <w:jc w:val="center"/>
              <w:rPr>
                <w:rFonts w:ascii="Verdana" w:hAnsi="Verdana" w:eastAsia="Times New Roman" w:cs="Calibri"/>
                <w:color w:val="000000"/>
                <w:sz w:val="16"/>
                <w:szCs w:val="16"/>
                <w:lang w:eastAsia="es-MX"/>
              </w:rPr>
            </w:pPr>
            <w:r w:rsidRPr="00280F0A">
              <w:rPr>
                <w:rFonts w:ascii="Verdana" w:hAnsi="Verdana" w:eastAsia="Times New Roman" w:cs="Calibri"/>
                <w:color w:val="000000"/>
                <w:sz w:val="16"/>
                <w:szCs w:val="16"/>
                <w:lang w:eastAsia="es-MX"/>
              </w:rPr>
              <w:t>75%</w:t>
            </w:r>
          </w:p>
        </w:tc>
        <w:tc>
          <w:tcPr>
            <w:tcW w:w="2099" w:type="dxa"/>
            <w:tcBorders>
              <w:top w:val="single" w:color="auto" w:sz="4" w:space="0"/>
              <w:left w:val="single" w:color="auto" w:sz="4" w:space="0"/>
              <w:bottom w:val="single" w:color="auto" w:sz="4" w:space="0"/>
              <w:right w:val="single" w:color="auto" w:sz="4" w:space="0"/>
            </w:tcBorders>
            <w:shd w:val="clear" w:color="auto" w:fill="C6EFCE"/>
            <w:tcMar/>
            <w:vAlign w:val="center"/>
            <w:hideMark/>
          </w:tcPr>
          <w:p w:rsidRPr="00280F0A" w:rsidR="00D81E38" w:rsidP="00A528D1" w:rsidRDefault="00D81E38" w14:paraId="52378E3B" w14:textId="77777777">
            <w:pPr>
              <w:spacing w:after="0" w:line="240" w:lineRule="auto"/>
              <w:jc w:val="center"/>
              <w:rPr>
                <w:rFonts w:ascii="Verdana" w:hAnsi="Verdana" w:eastAsia="Times New Roman" w:cs="Calibri"/>
                <w:color w:val="006100"/>
                <w:sz w:val="16"/>
                <w:szCs w:val="16"/>
                <w:lang w:eastAsia="es-MX"/>
              </w:rPr>
            </w:pPr>
            <w:r w:rsidRPr="00280F0A">
              <w:rPr>
                <w:rFonts w:ascii="Verdana" w:hAnsi="Verdana" w:eastAsia="Times New Roman" w:cs="Calibri"/>
                <w:color w:val="006100"/>
                <w:sz w:val="16"/>
                <w:szCs w:val="16"/>
                <w:lang w:eastAsia="es-MX"/>
              </w:rPr>
              <w:t>Meta cumplida</w:t>
            </w:r>
          </w:p>
        </w:tc>
      </w:tr>
      <w:tr w:rsidRPr="00280F0A" w:rsidR="00D81E38" w:rsidTr="30CF4445" w14:paraId="1FC9B5D1" w14:textId="77777777">
        <w:trPr>
          <w:trHeight w:val="600"/>
        </w:trPr>
        <w:tc>
          <w:tcPr>
            <w:tcW w:w="3252" w:type="dxa"/>
            <w:tcBorders>
              <w:top w:val="nil"/>
              <w:left w:val="single" w:color="000000" w:themeColor="text1" w:sz="4" w:space="0"/>
              <w:bottom w:val="single" w:color="000000" w:themeColor="text1" w:sz="4" w:space="0"/>
              <w:right w:val="single" w:color="000000" w:themeColor="text1" w:sz="4" w:space="0"/>
            </w:tcBorders>
            <w:shd w:val="clear" w:color="auto" w:fill="FFFFFF" w:themeFill="background1"/>
            <w:tcMar/>
            <w:vAlign w:val="center"/>
            <w:hideMark/>
          </w:tcPr>
          <w:p w:rsidRPr="00280F0A" w:rsidR="00D81E38" w:rsidP="00A528D1" w:rsidRDefault="00D81E38" w14:paraId="2E0F15F7" w14:textId="31F69331">
            <w:pPr>
              <w:spacing w:after="0" w:line="240" w:lineRule="auto"/>
              <w:rPr>
                <w:rFonts w:ascii="Verdana" w:hAnsi="Verdana" w:eastAsia="Times New Roman" w:cs="Calibri"/>
                <w:color w:val="000000"/>
                <w:sz w:val="16"/>
                <w:szCs w:val="16"/>
                <w:lang w:eastAsia="es-MX"/>
              </w:rPr>
            </w:pPr>
            <w:r w:rsidRPr="30CF4445" w:rsidR="2C959999">
              <w:rPr>
                <w:rFonts w:ascii="Verdana" w:hAnsi="Verdana" w:eastAsia="Times New Roman" w:cs="Calibri"/>
                <w:color w:val="000000" w:themeColor="text1" w:themeTint="FF" w:themeShade="FF"/>
                <w:sz w:val="16"/>
                <w:szCs w:val="16"/>
                <w:lang w:eastAsia="es-MX"/>
              </w:rPr>
              <w:t xml:space="preserve">Implementación y </w:t>
            </w:r>
            <w:r w:rsidRPr="30CF4445" w:rsidR="01019AF6">
              <w:rPr>
                <w:rFonts w:ascii="Verdana" w:hAnsi="Verdana" w:eastAsia="Times New Roman" w:cs="Calibri"/>
                <w:color w:val="000000" w:themeColor="text1" w:themeTint="FF" w:themeShade="FF"/>
                <w:sz w:val="16"/>
                <w:szCs w:val="16"/>
                <w:lang w:eastAsia="es-MX"/>
              </w:rPr>
              <w:t>medición</w:t>
            </w:r>
            <w:r w:rsidRPr="30CF4445" w:rsidR="2C959999">
              <w:rPr>
                <w:rFonts w:ascii="Verdana" w:hAnsi="Verdana" w:eastAsia="Times New Roman" w:cs="Calibri"/>
                <w:color w:val="000000" w:themeColor="text1" w:themeTint="FF" w:themeShade="FF"/>
                <w:sz w:val="16"/>
                <w:szCs w:val="16"/>
                <w:lang w:eastAsia="es-MX"/>
              </w:rPr>
              <w:t xml:space="preserve"> del nivel de Gobernanza Ambiental del sector minero</w:t>
            </w:r>
            <w:r w:rsidRPr="30CF4445" w:rsidR="30A57D27">
              <w:rPr>
                <w:rFonts w:ascii="Verdana" w:hAnsi="Verdana" w:eastAsia="Times New Roman" w:cs="Calibri"/>
                <w:color w:val="000000" w:themeColor="text1" w:themeTint="FF" w:themeShade="FF"/>
                <w:sz w:val="16"/>
                <w:szCs w:val="16"/>
                <w:lang w:eastAsia="es-MX"/>
              </w:rPr>
              <w:t>-</w:t>
            </w:r>
            <w:r w:rsidRPr="30CF4445" w:rsidR="01019AF6">
              <w:rPr>
                <w:rFonts w:ascii="Verdana" w:hAnsi="Verdana" w:eastAsia="Times New Roman" w:cs="Calibri"/>
                <w:color w:val="000000" w:themeColor="text1" w:themeTint="FF" w:themeShade="FF"/>
                <w:sz w:val="16"/>
                <w:szCs w:val="16"/>
                <w:lang w:eastAsia="es-MX"/>
              </w:rPr>
              <w:t>energético</w:t>
            </w:r>
            <w:r w:rsidRPr="30CF4445" w:rsidR="2C959999">
              <w:rPr>
                <w:rFonts w:ascii="Verdana" w:hAnsi="Verdana" w:eastAsia="Times New Roman" w:cs="Calibri"/>
                <w:color w:val="000000" w:themeColor="text1" w:themeTint="FF" w:themeShade="FF"/>
                <w:sz w:val="16"/>
                <w:szCs w:val="16"/>
                <w:lang w:eastAsia="es-MX"/>
              </w:rPr>
              <w:t xml:space="preserve"> </w:t>
            </w:r>
          </w:p>
        </w:tc>
        <w:tc>
          <w:tcPr>
            <w:tcW w:w="1445" w:type="dxa"/>
            <w:tcBorders>
              <w:top w:val="nil"/>
              <w:left w:val="nil"/>
              <w:bottom w:val="single" w:color="000000" w:themeColor="text1" w:sz="4" w:space="0"/>
              <w:right w:val="single" w:color="000000" w:themeColor="text1" w:sz="4" w:space="0"/>
            </w:tcBorders>
            <w:shd w:val="clear" w:color="auto" w:fill="FFFFFF" w:themeFill="background1"/>
            <w:tcMar/>
            <w:vAlign w:val="center"/>
            <w:hideMark/>
          </w:tcPr>
          <w:p w:rsidRPr="00280F0A" w:rsidR="00D81E38" w:rsidP="00A528D1" w:rsidRDefault="00D81E38" w14:paraId="13CA6D57" w14:textId="77777777">
            <w:pPr>
              <w:spacing w:after="0" w:line="240" w:lineRule="auto"/>
              <w:jc w:val="center"/>
              <w:rPr>
                <w:rFonts w:ascii="Verdana" w:hAnsi="Verdana" w:eastAsia="Times New Roman" w:cs="Calibri"/>
                <w:color w:val="000000"/>
                <w:sz w:val="16"/>
                <w:szCs w:val="16"/>
                <w:lang w:eastAsia="es-MX"/>
              </w:rPr>
            </w:pPr>
            <w:r w:rsidRPr="00280F0A">
              <w:rPr>
                <w:rFonts w:ascii="Verdana" w:hAnsi="Verdana" w:eastAsia="Times New Roman" w:cs="Calibri"/>
                <w:color w:val="000000"/>
                <w:sz w:val="16"/>
                <w:szCs w:val="16"/>
                <w:lang w:eastAsia="es-MX"/>
              </w:rPr>
              <w:t>1</w:t>
            </w:r>
          </w:p>
        </w:tc>
        <w:tc>
          <w:tcPr>
            <w:tcW w:w="1704" w:type="dxa"/>
            <w:tcBorders>
              <w:top w:val="nil"/>
              <w:left w:val="nil"/>
              <w:bottom w:val="single" w:color="auto" w:sz="4" w:space="0"/>
              <w:right w:val="single" w:color="auto" w:sz="4" w:space="0"/>
            </w:tcBorders>
            <w:shd w:val="clear" w:color="auto" w:fill="FFFFFF" w:themeFill="background1"/>
            <w:tcMar/>
            <w:vAlign w:val="center"/>
            <w:hideMark/>
          </w:tcPr>
          <w:p w:rsidRPr="00280F0A" w:rsidR="00D81E38" w:rsidP="00A528D1" w:rsidRDefault="00D81E38" w14:paraId="57D15674" w14:textId="77777777">
            <w:pPr>
              <w:spacing w:after="0" w:line="240" w:lineRule="auto"/>
              <w:jc w:val="center"/>
              <w:rPr>
                <w:rFonts w:ascii="Verdana" w:hAnsi="Verdana" w:eastAsia="Times New Roman" w:cs="Calibri"/>
                <w:color w:val="000000"/>
                <w:sz w:val="16"/>
                <w:szCs w:val="16"/>
                <w:lang w:eastAsia="es-MX"/>
              </w:rPr>
            </w:pPr>
            <w:r w:rsidRPr="00280F0A">
              <w:rPr>
                <w:rFonts w:ascii="Verdana" w:hAnsi="Verdana" w:eastAsia="Times New Roman" w:cs="Calibri"/>
                <w:color w:val="000000"/>
                <w:sz w:val="16"/>
                <w:szCs w:val="16"/>
                <w:lang w:eastAsia="es-MX"/>
              </w:rPr>
              <w:t>75%</w:t>
            </w:r>
          </w:p>
        </w:tc>
        <w:tc>
          <w:tcPr>
            <w:tcW w:w="2099" w:type="dxa"/>
            <w:tcBorders>
              <w:top w:val="single" w:color="auto" w:sz="4" w:space="0"/>
              <w:left w:val="single" w:color="auto" w:sz="4" w:space="0"/>
              <w:bottom w:val="single" w:color="auto" w:sz="4" w:space="0"/>
              <w:right w:val="single" w:color="auto" w:sz="4" w:space="0"/>
            </w:tcBorders>
            <w:shd w:val="clear" w:color="auto" w:fill="C6EFCE"/>
            <w:tcMar/>
            <w:vAlign w:val="center"/>
            <w:hideMark/>
          </w:tcPr>
          <w:p w:rsidRPr="00280F0A" w:rsidR="00D81E38" w:rsidP="00A528D1" w:rsidRDefault="00D81E38" w14:paraId="14EE94A8" w14:textId="77777777">
            <w:pPr>
              <w:spacing w:after="0" w:line="240" w:lineRule="auto"/>
              <w:jc w:val="center"/>
              <w:rPr>
                <w:rFonts w:ascii="Verdana" w:hAnsi="Verdana" w:eastAsia="Times New Roman" w:cs="Calibri"/>
                <w:color w:val="006100"/>
                <w:sz w:val="16"/>
                <w:szCs w:val="16"/>
                <w:lang w:eastAsia="es-MX"/>
              </w:rPr>
            </w:pPr>
            <w:r w:rsidRPr="00280F0A">
              <w:rPr>
                <w:rFonts w:ascii="Verdana" w:hAnsi="Verdana" w:eastAsia="Times New Roman" w:cs="Calibri"/>
                <w:color w:val="006100"/>
                <w:sz w:val="16"/>
                <w:szCs w:val="16"/>
                <w:lang w:eastAsia="es-MX"/>
              </w:rPr>
              <w:t>Meta cumplida</w:t>
            </w:r>
          </w:p>
        </w:tc>
      </w:tr>
    </w:tbl>
    <w:p w:rsidRPr="00A528D1" w:rsidR="00A528D1" w:rsidP="00A528D1" w:rsidRDefault="00A528D1" w14:paraId="1850E307" w14:textId="77777777">
      <w:pPr>
        <w:spacing w:after="0" w:line="240" w:lineRule="auto"/>
        <w:jc w:val="center"/>
        <w:rPr>
          <w:rFonts w:ascii="Verdana" w:hAnsi="Verdana"/>
          <w:sz w:val="10"/>
          <w:szCs w:val="10"/>
        </w:rPr>
      </w:pPr>
    </w:p>
    <w:p w:rsidRPr="00C140A0" w:rsidR="0067218F" w:rsidP="00A528D1" w:rsidRDefault="194FC008" w14:paraId="72223DAF" w14:textId="77777777">
      <w:pPr>
        <w:spacing w:after="0" w:line="240" w:lineRule="auto"/>
        <w:jc w:val="center"/>
        <w:rPr>
          <w:rFonts w:ascii="Verdana" w:hAnsi="Verdana"/>
          <w:sz w:val="18"/>
          <w:szCs w:val="18"/>
        </w:rPr>
      </w:pPr>
      <w:r w:rsidRPr="180099B3">
        <w:rPr>
          <w:rFonts w:ascii="Verdana" w:hAnsi="Verdana"/>
          <w:sz w:val="18"/>
          <w:szCs w:val="18"/>
        </w:rPr>
        <w:t xml:space="preserve">Fuente: elaboración propia </w:t>
      </w:r>
      <w:r w:rsidRPr="180099B3" w:rsidR="41FE4C9F">
        <w:rPr>
          <w:rFonts w:ascii="Verdana" w:hAnsi="Verdana"/>
          <w:sz w:val="18"/>
          <w:szCs w:val="18"/>
        </w:rPr>
        <w:t xml:space="preserve">OPGI - </w:t>
      </w:r>
      <w:r w:rsidRPr="180099B3">
        <w:rPr>
          <w:rFonts w:ascii="Verdana" w:hAnsi="Verdana"/>
          <w:sz w:val="18"/>
          <w:szCs w:val="18"/>
        </w:rPr>
        <w:t>MME, 31 de marzo 2026.</w:t>
      </w:r>
    </w:p>
    <w:p w:rsidRPr="00C140A0" w:rsidR="0067218F" w:rsidP="00D94015" w:rsidRDefault="0067218F" w14:paraId="26A560FB" w14:textId="77777777">
      <w:pPr>
        <w:spacing w:after="0" w:line="360" w:lineRule="auto"/>
        <w:rPr>
          <w:rFonts w:ascii="Verdana" w:hAnsi="Verdana"/>
        </w:rPr>
      </w:pPr>
    </w:p>
    <w:p w:rsidRPr="00C140A0" w:rsidR="00A82055" w:rsidRDefault="00A82055" w14:paraId="31864125" w14:textId="1B3A6547">
      <w:pPr>
        <w:pStyle w:val="Ttulo2"/>
        <w:numPr>
          <w:ilvl w:val="1"/>
          <w:numId w:val="42"/>
        </w:numPr>
        <w:spacing w:before="0" w:after="0" w:line="360" w:lineRule="auto"/>
        <w:rPr>
          <w:rFonts w:ascii="Verdana" w:hAnsi="Verdana"/>
          <w:b w:val="1"/>
          <w:bCs w:val="1"/>
          <w:color w:val="auto"/>
          <w:sz w:val="24"/>
          <w:szCs w:val="24"/>
        </w:rPr>
      </w:pPr>
      <w:bookmarkStart w:name="_Toc233996721" w:id="4"/>
      <w:r w:rsidRPr="30CF4445" w:rsidR="0E33390F">
        <w:rPr>
          <w:rFonts w:ascii="Verdana" w:hAnsi="Verdana"/>
          <w:b w:val="1"/>
          <w:bCs w:val="1"/>
          <w:color w:val="auto"/>
          <w:sz w:val="24"/>
          <w:szCs w:val="24"/>
        </w:rPr>
        <w:t>Planeación Anual Institucional (incluye Plan de Acción y estado general de los planes institucionales al finalizar el cuatrienio</w:t>
      </w:r>
      <w:r w:rsidRPr="30CF4445" w:rsidR="250B201F">
        <w:rPr>
          <w:rFonts w:ascii="Verdana" w:hAnsi="Verdana"/>
          <w:b w:val="1"/>
          <w:bCs w:val="1"/>
          <w:color w:val="auto"/>
          <w:sz w:val="24"/>
          <w:szCs w:val="24"/>
        </w:rPr>
        <w:t>)</w:t>
      </w:r>
      <w:bookmarkEnd w:id="4"/>
    </w:p>
    <w:p w:rsidRPr="00C140A0" w:rsidR="4B50F055" w:rsidP="00D94015" w:rsidRDefault="4B50F055" w14:paraId="067DF89E" w14:textId="77777777">
      <w:pPr>
        <w:spacing w:after="0" w:line="360" w:lineRule="auto"/>
        <w:rPr>
          <w:rFonts w:ascii="Verdana" w:hAnsi="Verdana" w:eastAsiaTheme="majorEastAsia" w:cstheme="majorBidi"/>
          <w:b/>
          <w:bCs/>
          <w:sz w:val="24"/>
          <w:szCs w:val="24"/>
        </w:rPr>
      </w:pPr>
    </w:p>
    <w:p w:rsidRPr="00A528D1" w:rsidR="10DFFF1B" w:rsidRDefault="10DFFF1B" w14:paraId="29B78683" w14:textId="77777777">
      <w:pPr>
        <w:pStyle w:val="Prrafodelista"/>
        <w:numPr>
          <w:ilvl w:val="2"/>
          <w:numId w:val="42"/>
        </w:numPr>
        <w:spacing w:after="0" w:line="360" w:lineRule="auto"/>
        <w:rPr>
          <w:rFonts w:ascii="Verdana" w:hAnsi="Verdana" w:eastAsiaTheme="majorEastAsia" w:cstheme="majorBidi"/>
          <w:b/>
          <w:bCs/>
          <w:sz w:val="24"/>
          <w:szCs w:val="24"/>
        </w:rPr>
      </w:pPr>
      <w:r w:rsidRPr="00A528D1">
        <w:rPr>
          <w:rFonts w:ascii="Verdana" w:hAnsi="Verdana" w:eastAsiaTheme="majorEastAsia" w:cstheme="majorBidi"/>
          <w:b/>
          <w:bCs/>
          <w:sz w:val="24"/>
          <w:szCs w:val="24"/>
        </w:rPr>
        <w:t>Plan de Acción Anual Institucional</w:t>
      </w:r>
    </w:p>
    <w:p w:rsidR="00E558DE" w:rsidP="00D94015" w:rsidRDefault="00E558DE" w14:paraId="00B02384" w14:textId="77777777">
      <w:pPr>
        <w:spacing w:after="0" w:line="360" w:lineRule="auto"/>
        <w:jc w:val="both"/>
        <w:rPr>
          <w:rFonts w:ascii="Verdana" w:hAnsi="Verdana" w:eastAsiaTheme="minorEastAsia"/>
          <w:sz w:val="24"/>
          <w:szCs w:val="24"/>
        </w:rPr>
      </w:pPr>
    </w:p>
    <w:p w:rsidRPr="00A528D1" w:rsidR="10DFFF1B" w:rsidP="00D94015" w:rsidRDefault="10DFFF1B" w14:paraId="004F1CDB" w14:textId="77777777">
      <w:pPr>
        <w:spacing w:after="0" w:line="360" w:lineRule="auto"/>
        <w:jc w:val="both"/>
        <w:rPr>
          <w:rFonts w:ascii="Verdana" w:hAnsi="Verdana"/>
          <w:sz w:val="24"/>
          <w:szCs w:val="24"/>
        </w:rPr>
      </w:pPr>
      <w:r w:rsidRPr="00A528D1">
        <w:rPr>
          <w:rFonts w:ascii="Verdana" w:hAnsi="Verdana" w:eastAsiaTheme="minorEastAsia"/>
          <w:sz w:val="24"/>
          <w:szCs w:val="24"/>
        </w:rPr>
        <w:t>Durante el cuatrienio 2022–2026, el Ministerio de Minas y Energía implementó el Plan de Acción Institucional como principal instrumento de operacionalización de la planeación estratégica, articulado con el Plan Estratégico Institucional, el Plan Nacional de Desarrollo y el Modelo Integrado de Planeación y Gestión – MIPG. Su seguimiento se estructuró a partir de indicadores de resultado, producto, gestión, eficacia y efectividad, que permitieron evaluar de manera sistemática el avance de los compromisos institucionales.</w:t>
      </w:r>
    </w:p>
    <w:p w:rsidR="00A528D1" w:rsidP="00D94015" w:rsidRDefault="00A528D1" w14:paraId="76129CE0" w14:textId="77777777">
      <w:pPr>
        <w:spacing w:after="0" w:line="360" w:lineRule="auto"/>
        <w:jc w:val="both"/>
        <w:rPr>
          <w:rFonts w:ascii="Verdana" w:hAnsi="Verdana" w:eastAsiaTheme="minorEastAsia"/>
          <w:sz w:val="24"/>
          <w:szCs w:val="24"/>
        </w:rPr>
      </w:pPr>
    </w:p>
    <w:p w:rsidR="10DFFF1B" w:rsidP="00D94015" w:rsidRDefault="10DFFF1B" w14:paraId="4319463B" w14:textId="77777777">
      <w:pPr>
        <w:spacing w:after="0" w:line="360" w:lineRule="auto"/>
        <w:jc w:val="both"/>
        <w:rPr>
          <w:rFonts w:ascii="Verdana" w:hAnsi="Verdana" w:eastAsiaTheme="minorEastAsia"/>
          <w:sz w:val="24"/>
          <w:szCs w:val="24"/>
        </w:rPr>
      </w:pPr>
      <w:r w:rsidRPr="00A528D1">
        <w:rPr>
          <w:rFonts w:ascii="Verdana" w:hAnsi="Verdana" w:eastAsiaTheme="minorEastAsia"/>
          <w:sz w:val="24"/>
          <w:szCs w:val="24"/>
        </w:rPr>
        <w:t>En términos generales, el comportamiento del Plan de Acción durante el cuatrienio evidenció un nivel alto y sostenido de cumplimiento, con resultados superiores al 85% en cada vigencia y una estabilización en torno al 90%, lo que refleja capacidad institucional para la ejecución de metas, continuidad en la gestión y consolidación de los procesos de planeación.</w:t>
      </w:r>
    </w:p>
    <w:p w:rsidRPr="00A528D1" w:rsidR="00A528D1" w:rsidP="00D94015" w:rsidRDefault="00A528D1" w14:paraId="3BA81562" w14:textId="77777777">
      <w:pPr>
        <w:spacing w:after="0" w:line="360" w:lineRule="auto"/>
        <w:jc w:val="both"/>
        <w:rPr>
          <w:rFonts w:ascii="Verdana" w:hAnsi="Verdana"/>
          <w:sz w:val="24"/>
          <w:szCs w:val="24"/>
        </w:rPr>
      </w:pPr>
    </w:p>
    <w:p w:rsidRPr="00A528D1" w:rsidR="10DFFF1B" w:rsidRDefault="10DFFF1B" w14:paraId="3A49232C" w14:textId="77777777">
      <w:pPr>
        <w:pStyle w:val="Prrafodelista"/>
        <w:keepNext/>
        <w:keepLines/>
        <w:numPr>
          <w:ilvl w:val="3"/>
          <w:numId w:val="42"/>
        </w:numPr>
        <w:spacing w:after="0" w:line="360" w:lineRule="auto"/>
        <w:jc w:val="both"/>
        <w:rPr>
          <w:rFonts w:ascii="Verdana" w:hAnsi="Verdana" w:eastAsiaTheme="majorEastAsia" w:cstheme="majorBidi"/>
          <w:b/>
          <w:bCs/>
          <w:sz w:val="24"/>
          <w:szCs w:val="24"/>
        </w:rPr>
      </w:pPr>
      <w:r w:rsidRPr="00A528D1">
        <w:rPr>
          <w:rFonts w:ascii="Verdana" w:hAnsi="Verdana" w:eastAsiaTheme="majorEastAsia" w:cstheme="majorBidi"/>
          <w:b/>
          <w:bCs/>
          <w:sz w:val="24"/>
          <w:szCs w:val="24"/>
        </w:rPr>
        <w:t>Ejecución por vigencias</w:t>
      </w:r>
    </w:p>
    <w:p w:rsidRPr="00A528D1" w:rsidR="4B50F055" w:rsidP="00D94015" w:rsidRDefault="4B50F055" w14:paraId="22D72F45" w14:textId="77777777">
      <w:pPr>
        <w:keepNext/>
        <w:keepLines/>
        <w:spacing w:after="0" w:line="360" w:lineRule="auto"/>
        <w:jc w:val="both"/>
        <w:rPr>
          <w:rFonts w:ascii="Verdana" w:hAnsi="Verdana" w:eastAsiaTheme="majorEastAsia" w:cstheme="majorBidi"/>
          <w:b/>
          <w:bCs/>
          <w:sz w:val="24"/>
          <w:szCs w:val="24"/>
        </w:rPr>
      </w:pPr>
    </w:p>
    <w:p w:rsidRPr="00A528D1" w:rsidR="7E1858E5" w:rsidP="00D94015" w:rsidRDefault="7E1858E5" w14:paraId="343D2D34" w14:textId="77777777">
      <w:pPr>
        <w:spacing w:after="0" w:line="360" w:lineRule="auto"/>
        <w:jc w:val="both"/>
        <w:rPr>
          <w:rFonts w:ascii="Verdana" w:hAnsi="Verdana" w:eastAsia="Verdana" w:cs="Verdana"/>
          <w:color w:val="000000" w:themeColor="text1"/>
          <w:sz w:val="24"/>
          <w:szCs w:val="24"/>
        </w:rPr>
      </w:pPr>
      <w:r w:rsidRPr="00A528D1">
        <w:rPr>
          <w:rFonts w:ascii="Verdana" w:hAnsi="Verdana" w:eastAsia="Verdana" w:cs="Verdana"/>
          <w:color w:val="000000" w:themeColor="text1"/>
          <w:sz w:val="24"/>
          <w:szCs w:val="24"/>
        </w:rPr>
        <w:t>En la vigencia 2022, se alcanzó un cumplimiento del 94,3%, constituyéndose en el año base del cuatrienio, caracterizado por una alta ejecución institucional y por el logro de resultados significativos en cobertura energética, formalización minera y fortalecimiento normativo. Este desempeño se dio en un contexto de transición gubernamental, en el cual se consolidaron las bases operativas y estratégicas del periodo.</w:t>
      </w:r>
    </w:p>
    <w:p w:rsidRPr="00A528D1" w:rsidR="00A528D1" w:rsidP="00D94015" w:rsidRDefault="00A528D1" w14:paraId="29FBF424" w14:textId="77777777">
      <w:pPr>
        <w:spacing w:after="0" w:line="360" w:lineRule="auto"/>
        <w:jc w:val="both"/>
        <w:rPr>
          <w:rFonts w:ascii="Verdana" w:hAnsi="Verdana" w:eastAsia="Verdana" w:cs="Verdana"/>
          <w:color w:val="000000" w:themeColor="text1"/>
          <w:sz w:val="24"/>
          <w:szCs w:val="24"/>
        </w:rPr>
      </w:pPr>
    </w:p>
    <w:p w:rsidRPr="00A528D1" w:rsidR="7E1858E5" w:rsidP="00D94015" w:rsidRDefault="7E1858E5" w14:paraId="41D1D129" w14:textId="77777777">
      <w:pPr>
        <w:spacing w:after="0" w:line="360" w:lineRule="auto"/>
        <w:jc w:val="both"/>
        <w:rPr>
          <w:rFonts w:ascii="Verdana" w:hAnsi="Verdana" w:eastAsia="Verdana" w:cs="Verdana"/>
          <w:color w:val="000000" w:themeColor="text1"/>
          <w:sz w:val="24"/>
          <w:szCs w:val="24"/>
        </w:rPr>
      </w:pPr>
      <w:r w:rsidRPr="00A528D1">
        <w:rPr>
          <w:rFonts w:ascii="Verdana" w:hAnsi="Verdana" w:eastAsia="Verdana" w:cs="Verdana"/>
          <w:color w:val="000000" w:themeColor="text1"/>
          <w:sz w:val="24"/>
          <w:szCs w:val="24"/>
        </w:rPr>
        <w:t>Durante 2023, el nivel de cumplimiento se ubicó en 89,5%, manteniéndose en un rango alto, aunque con una ligera disminución frente al año anterior. En esta vigencia se evidenció la consolidación del modelo de planeación institucional y la alineación con el Plan Nacional de Desarrollo; sin embargo, comenzaron a identificarse brechas en la ejecución de algunos sectores misionales, especialmente en procesos regulatorios y de política pública.</w:t>
      </w:r>
    </w:p>
    <w:p w:rsidRPr="00A528D1" w:rsidR="00A528D1" w:rsidP="00D94015" w:rsidRDefault="00A528D1" w14:paraId="2951E1B2" w14:textId="77777777">
      <w:pPr>
        <w:spacing w:after="0" w:line="360" w:lineRule="auto"/>
        <w:jc w:val="both"/>
        <w:rPr>
          <w:rFonts w:ascii="Verdana" w:hAnsi="Verdana" w:eastAsia="Verdana" w:cs="Verdana"/>
          <w:color w:val="000000" w:themeColor="text1"/>
          <w:sz w:val="24"/>
          <w:szCs w:val="24"/>
        </w:rPr>
      </w:pPr>
    </w:p>
    <w:p w:rsidRPr="00A528D1" w:rsidR="7E1858E5" w:rsidP="00D94015" w:rsidRDefault="7E1858E5" w14:paraId="454C2E4C" w14:textId="77777777">
      <w:pPr>
        <w:spacing w:after="0" w:line="360" w:lineRule="auto"/>
        <w:jc w:val="both"/>
        <w:rPr>
          <w:rFonts w:ascii="Verdana" w:hAnsi="Verdana" w:eastAsia="Verdana" w:cs="Verdana"/>
          <w:color w:val="000000" w:themeColor="text1"/>
          <w:sz w:val="24"/>
          <w:szCs w:val="24"/>
        </w:rPr>
      </w:pPr>
      <w:r w:rsidRPr="00A528D1">
        <w:rPr>
          <w:rFonts w:ascii="Verdana" w:hAnsi="Verdana" w:eastAsia="Verdana" w:cs="Verdana"/>
          <w:color w:val="000000" w:themeColor="text1"/>
          <w:sz w:val="24"/>
          <w:szCs w:val="24"/>
        </w:rPr>
        <w:t>Para 2024, el cumplimiento se mantuvo en niveles cercanos al 90%, evidenciando una estabilización en la ejecución institucional. En este periodo se destacaron avances relevantes en transición energética, cobertura y fortalecimiento territorial, junto con una consolidación de la capacidad administrativa. No obstante, persistieron rezagos estructurales en algunos procesos misionales, particularmente en hidrocarburos y en la expedición normativa.</w:t>
      </w:r>
    </w:p>
    <w:p w:rsidRPr="00A528D1" w:rsidR="00A528D1" w:rsidP="00D94015" w:rsidRDefault="00A528D1" w14:paraId="16990223" w14:textId="77777777">
      <w:pPr>
        <w:spacing w:after="0" w:line="360" w:lineRule="auto"/>
        <w:jc w:val="both"/>
        <w:rPr>
          <w:rFonts w:ascii="Verdana" w:hAnsi="Verdana" w:eastAsia="Verdana" w:cs="Verdana"/>
          <w:color w:val="000000" w:themeColor="text1"/>
          <w:sz w:val="24"/>
          <w:szCs w:val="24"/>
        </w:rPr>
      </w:pPr>
    </w:p>
    <w:p w:rsidR="7E1858E5" w:rsidP="00D94015" w:rsidRDefault="7E1858E5" w14:paraId="06F3BB1B" w14:textId="77777777">
      <w:pPr>
        <w:spacing w:after="0" w:line="360" w:lineRule="auto"/>
        <w:jc w:val="both"/>
        <w:rPr>
          <w:rFonts w:ascii="Verdana" w:hAnsi="Verdana" w:eastAsia="Verdana" w:cs="Verdana"/>
          <w:color w:val="000000" w:themeColor="text1"/>
          <w:sz w:val="24"/>
          <w:szCs w:val="24"/>
        </w:rPr>
      </w:pPr>
      <w:r w:rsidRPr="00A528D1">
        <w:rPr>
          <w:rFonts w:ascii="Verdana" w:hAnsi="Verdana" w:eastAsia="Verdana" w:cs="Verdana"/>
          <w:color w:val="000000" w:themeColor="text1"/>
          <w:sz w:val="24"/>
          <w:szCs w:val="24"/>
        </w:rPr>
        <w:t>En la vigencia 2025, el Plan de Acción alcanzó un cumplimiento del 90,1%, lo que confirma la tendencia de estabilidad del sistema de planeación. Este año estuvo marcado por la madurez institucional, el fortalecimiento del Sistema Integrado de Gestión y la mejora en los mecanismos de seguimiento y control. Asimismo, se mantuvieron niveles altos de ejecución en procesos estratégicos y transversales, aunque continuaron evidenciándose brechas en la ejecución misional.</w:t>
      </w:r>
    </w:p>
    <w:p w:rsidRPr="00A528D1" w:rsidR="00C87383" w:rsidP="00D94015" w:rsidRDefault="00C87383" w14:paraId="4F5DABBC" w14:textId="77777777">
      <w:pPr>
        <w:spacing w:after="0" w:line="360" w:lineRule="auto"/>
        <w:jc w:val="both"/>
        <w:rPr>
          <w:rFonts w:ascii="Verdana" w:hAnsi="Verdana" w:eastAsia="Verdana" w:cs="Verdana"/>
          <w:color w:val="000000" w:themeColor="text1"/>
          <w:sz w:val="24"/>
          <w:szCs w:val="24"/>
        </w:rPr>
      </w:pPr>
    </w:p>
    <w:p w:rsidR="7E1858E5" w:rsidP="00A528D1" w:rsidRDefault="00E558DE" w14:paraId="57923C96" w14:textId="77777777">
      <w:pPr>
        <w:pStyle w:val="Descripcin"/>
        <w:keepNext/>
        <w:spacing w:after="0"/>
        <w:jc w:val="center"/>
        <w:rPr>
          <w:rFonts w:ascii="Verdana" w:hAnsi="Verdana" w:eastAsia="Verdana" w:cs="Verdana"/>
          <w:i w:val="0"/>
          <w:iCs w:val="0"/>
          <w:color w:val="auto"/>
          <w:lang w:val="es-MX"/>
        </w:rPr>
      </w:pPr>
      <w:r>
        <w:rPr>
          <w:rFonts w:ascii="Verdana" w:hAnsi="Verdana" w:eastAsia="Verdana" w:cs="Verdana"/>
          <w:i w:val="0"/>
          <w:iCs w:val="0"/>
          <w:color w:val="auto"/>
        </w:rPr>
        <w:t>Imagen No. 2</w:t>
      </w:r>
      <w:r w:rsidRPr="00A528D1" w:rsidR="7E1858E5">
        <w:rPr>
          <w:rFonts w:ascii="Verdana" w:hAnsi="Verdana" w:eastAsia="Verdana" w:cs="Verdana"/>
          <w:i w:val="0"/>
          <w:iCs w:val="0"/>
          <w:color w:val="auto"/>
        </w:rPr>
        <w:t xml:space="preserve">. </w:t>
      </w:r>
      <w:r w:rsidRPr="00A528D1" w:rsidR="7E1858E5">
        <w:rPr>
          <w:rFonts w:ascii="Verdana" w:hAnsi="Verdana" w:eastAsia="Verdana" w:cs="Verdana"/>
          <w:i w:val="0"/>
          <w:iCs w:val="0"/>
          <w:color w:val="auto"/>
          <w:lang w:val="es-MX"/>
        </w:rPr>
        <w:t>Ejecución del plan de acción institucional por vigencia</w:t>
      </w:r>
    </w:p>
    <w:p w:rsidRPr="00A528D1" w:rsidR="7E1858E5" w:rsidP="180099B3" w:rsidRDefault="4A04F474" w14:paraId="35330422" w14:textId="77777777">
      <w:pPr>
        <w:spacing w:after="0" w:line="240" w:lineRule="auto"/>
        <w:jc w:val="center"/>
        <w:rPr>
          <w:rFonts w:ascii="Verdana" w:hAnsi="Verdana" w:eastAsia="Verdana" w:cs="Verdana"/>
          <w:sz w:val="18"/>
          <w:szCs w:val="18"/>
        </w:rPr>
      </w:pPr>
      <w:r>
        <w:rPr>
          <w:noProof/>
        </w:rPr>
        <w:drawing>
          <wp:inline distT="0" distB="0" distL="0" distR="0" wp14:anchorId="094EE29E" wp14:editId="32587EEC">
            <wp:extent cx="5619750" cy="2114550"/>
            <wp:effectExtent l="0" t="0" r="0" b="0"/>
            <wp:docPr id="88998816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988162" name="Picture 889988162"/>
                    <pic:cNvPicPr/>
                  </pic:nvPicPr>
                  <pic:blipFill>
                    <a:blip r:embed="rId13">
                      <a:extLst>
                        <a:ext uri="{28A0092B-C50C-407E-A947-70E740481C1C}">
                          <a14:useLocalDpi xmlns:a14="http://schemas.microsoft.com/office/drawing/2010/main"/>
                        </a:ext>
                      </a:extLst>
                    </a:blip>
                    <a:stretch>
                      <a:fillRect/>
                    </a:stretch>
                  </pic:blipFill>
                  <pic:spPr>
                    <a:xfrm>
                      <a:off x="0" y="0"/>
                      <a:ext cx="5619750" cy="2114550"/>
                    </a:xfrm>
                    <a:prstGeom prst="rect">
                      <a:avLst/>
                    </a:prstGeom>
                  </pic:spPr>
                </pic:pic>
              </a:graphicData>
            </a:graphic>
          </wp:inline>
        </w:drawing>
      </w:r>
      <w:r w:rsidRPr="180099B3">
        <w:rPr>
          <w:rFonts w:ascii="Verdana" w:hAnsi="Verdana" w:eastAsia="Verdana" w:cs="Verdana"/>
          <w:sz w:val="18"/>
          <w:szCs w:val="18"/>
        </w:rPr>
        <w:t xml:space="preserve">Fuente: </w:t>
      </w:r>
      <w:r w:rsidRPr="180099B3" w:rsidR="371F3AEB">
        <w:rPr>
          <w:rFonts w:ascii="Verdana" w:hAnsi="Verdana" w:eastAsia="Verdana" w:cs="Verdana"/>
          <w:sz w:val="18"/>
          <w:szCs w:val="18"/>
        </w:rPr>
        <w:t>OPGI- MME</w:t>
      </w:r>
    </w:p>
    <w:p w:rsidR="00A528D1" w:rsidP="00D94015" w:rsidRDefault="00A528D1" w14:paraId="01325CC1" w14:textId="77777777">
      <w:pPr>
        <w:spacing w:after="0" w:line="360" w:lineRule="auto"/>
        <w:jc w:val="both"/>
        <w:rPr>
          <w:rFonts w:ascii="Verdana" w:hAnsi="Verdana" w:eastAsia="Verdana" w:cs="Verdana"/>
          <w:color w:val="000000" w:themeColor="text1"/>
        </w:rPr>
      </w:pPr>
    </w:p>
    <w:p w:rsidR="7E1858E5" w:rsidP="00D94015" w:rsidRDefault="7E1858E5" w14:paraId="041D07C6" w14:textId="77777777">
      <w:pPr>
        <w:spacing w:after="0" w:line="360" w:lineRule="auto"/>
        <w:jc w:val="both"/>
        <w:rPr>
          <w:rFonts w:ascii="Verdana" w:hAnsi="Verdana" w:eastAsia="Verdana" w:cs="Verdana"/>
          <w:color w:val="000000" w:themeColor="text1"/>
        </w:rPr>
      </w:pPr>
      <w:r w:rsidRPr="00C140A0">
        <w:rPr>
          <w:rFonts w:ascii="Verdana" w:hAnsi="Verdana" w:eastAsia="Verdana" w:cs="Verdana"/>
          <w:color w:val="000000" w:themeColor="text1"/>
        </w:rPr>
        <w:t xml:space="preserve">Con corte al primer trimestre de 2026, el avance promedio del Plan de Acción se ubicó en </w:t>
      </w:r>
      <w:r w:rsidRPr="00C140A0">
        <w:rPr>
          <w:rFonts w:ascii="Verdana" w:hAnsi="Verdana" w:eastAsia="Verdana" w:cs="Verdana"/>
          <w:b/>
          <w:bCs/>
          <w:color w:val="000000" w:themeColor="text1"/>
        </w:rPr>
        <w:t>16,75%</w:t>
      </w:r>
      <w:r w:rsidRPr="00C140A0">
        <w:rPr>
          <w:rFonts w:ascii="Verdana" w:hAnsi="Verdana" w:eastAsia="Verdana" w:cs="Verdana"/>
          <w:color w:val="000000" w:themeColor="text1"/>
        </w:rPr>
        <w:t>, frente a un programado del 13,77%, lo que indica una ejecución superior a lo esperado para el periodo. Este comportamiento es consistente con la fase inicial de la vigencia, caracterizada por actividades de alistamiento, estructuración y articulación interinstitucional. Se observan avances tempranos en indicadores de resultado y gestión, así como una menor ejecución en indicadores de producto, acorde con su naturaleza acumulativa.</w:t>
      </w:r>
    </w:p>
    <w:p w:rsidR="00D94015" w:rsidP="00D94015" w:rsidRDefault="00D94015" w14:paraId="1FF368BA" w14:textId="77777777">
      <w:pPr>
        <w:spacing w:after="0" w:line="360" w:lineRule="auto"/>
        <w:jc w:val="both"/>
        <w:rPr>
          <w:rFonts w:ascii="Verdana" w:hAnsi="Verdana" w:eastAsia="Verdana" w:cs="Verdana"/>
          <w:color w:val="000000" w:themeColor="text1"/>
        </w:rPr>
      </w:pPr>
    </w:p>
    <w:p w:rsidRPr="00C87383" w:rsidR="7E1858E5" w:rsidP="30CF4445" w:rsidRDefault="00E558DE" w14:paraId="22D31482" w14:textId="22BAE3A8">
      <w:pPr>
        <w:pStyle w:val="Descripcin"/>
        <w:keepNext w:val="1"/>
        <w:spacing w:after="0"/>
        <w:jc w:val="center"/>
        <w:rPr>
          <w:rFonts w:ascii="Verdana" w:hAnsi="Verdana" w:eastAsia="Verdana" w:cs="Verdana"/>
          <w:i w:val="0"/>
          <w:iCs w:val="0"/>
          <w:color w:val="44546A"/>
        </w:rPr>
      </w:pPr>
      <w:r w:rsidRPr="30CF4445" w:rsidR="729C71F2">
        <w:rPr>
          <w:rFonts w:ascii="Verdana" w:hAnsi="Verdana" w:eastAsia="Verdana" w:cs="Verdana"/>
          <w:i w:val="0"/>
          <w:iCs w:val="0"/>
          <w:color w:val="auto"/>
        </w:rPr>
        <w:t>Imagen No. 3</w:t>
      </w:r>
      <w:r w:rsidRPr="30CF4445" w:rsidR="420E2840">
        <w:rPr>
          <w:rFonts w:ascii="Verdana" w:hAnsi="Verdana" w:eastAsia="Verdana" w:cs="Verdana"/>
          <w:i w:val="0"/>
          <w:iCs w:val="0"/>
          <w:color w:val="auto"/>
        </w:rPr>
        <w:t xml:space="preserve">. </w:t>
      </w:r>
      <w:r w:rsidRPr="30CF4445" w:rsidR="420E2840">
        <w:rPr>
          <w:rFonts w:ascii="Verdana" w:hAnsi="Verdana" w:eastAsia="Verdana" w:cs="Verdana"/>
          <w:i w:val="0"/>
          <w:iCs w:val="0"/>
          <w:color w:val="auto"/>
          <w:lang w:val="es-MX"/>
        </w:rPr>
        <w:t>Avance del plan de acción institucional primer trimestre de 2026</w:t>
      </w:r>
    </w:p>
    <w:p w:rsidR="7E1858E5" w:rsidP="00270ABD" w:rsidRDefault="5DDF615D" w14:paraId="16C68164" w14:textId="77777777">
      <w:pPr>
        <w:spacing w:after="0" w:line="240" w:lineRule="auto"/>
        <w:jc w:val="center"/>
        <w:rPr>
          <w:rFonts w:ascii="Verdana" w:hAnsi="Verdana" w:eastAsia="Verdana" w:cs="Verdana"/>
          <w:color w:val="000000" w:themeColor="text1"/>
          <w:sz w:val="18"/>
          <w:szCs w:val="18"/>
        </w:rPr>
      </w:pPr>
      <w:r>
        <w:rPr>
          <w:noProof/>
        </w:rPr>
        <w:drawing>
          <wp:inline distT="0" distB="0" distL="0" distR="0" wp14:anchorId="0809EE11" wp14:editId="7FFEBCD7">
            <wp:extent cx="5619750" cy="2494280"/>
            <wp:effectExtent l="0" t="0" r="6350" b="0"/>
            <wp:docPr id="178753641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536415" name="Picture 1787536415"/>
                    <pic:cNvPicPr/>
                  </pic:nvPicPr>
                  <pic:blipFill>
                    <a:blip r:embed="rId14">
                      <a:extLst>
                        <a:ext uri="{28A0092B-C50C-407E-A947-70E740481C1C}">
                          <a14:useLocalDpi xmlns:a14="http://schemas.microsoft.com/office/drawing/2010/main" val="0"/>
                        </a:ext>
                      </a:extLst>
                    </a:blip>
                    <a:stretch>
                      <a:fillRect/>
                    </a:stretch>
                  </pic:blipFill>
                  <pic:spPr>
                    <a:xfrm>
                      <a:off x="0" y="0"/>
                      <a:ext cx="5619750" cy="2494280"/>
                    </a:xfrm>
                    <a:prstGeom prst="rect">
                      <a:avLst/>
                    </a:prstGeom>
                  </pic:spPr>
                </pic:pic>
              </a:graphicData>
            </a:graphic>
          </wp:inline>
        </w:drawing>
      </w:r>
      <w:r w:rsidRPr="00C140A0" w:rsidR="4A04F474">
        <w:rPr>
          <w:rFonts w:ascii="Verdana" w:hAnsi="Verdana" w:eastAsia="Verdana" w:cs="Verdana"/>
          <w:color w:val="000000" w:themeColor="text1"/>
          <w:sz w:val="18"/>
          <w:szCs w:val="18"/>
        </w:rPr>
        <w:t xml:space="preserve">Fuente: </w:t>
      </w:r>
      <w:r w:rsidRPr="00C140A0" w:rsidR="1EE0D424">
        <w:rPr>
          <w:rFonts w:ascii="Verdana" w:hAnsi="Verdana" w:eastAsia="Verdana" w:cs="Verdana"/>
          <w:color w:val="000000" w:themeColor="text1"/>
          <w:sz w:val="18"/>
          <w:szCs w:val="18"/>
        </w:rPr>
        <w:t>OPGI -MME</w:t>
      </w:r>
    </w:p>
    <w:p w:rsidR="00270ABD" w:rsidP="00270ABD" w:rsidRDefault="00270ABD" w14:paraId="585E9BB7" w14:textId="77777777">
      <w:pPr>
        <w:spacing w:after="0" w:line="240" w:lineRule="auto"/>
        <w:jc w:val="center"/>
        <w:rPr>
          <w:rFonts w:ascii="Verdana" w:hAnsi="Verdana"/>
        </w:rPr>
      </w:pPr>
    </w:p>
    <w:p w:rsidRPr="00C140A0" w:rsidR="00BD1682" w:rsidP="00D94015" w:rsidRDefault="00BD1682" w14:paraId="408892C6" w14:textId="77777777">
      <w:pPr>
        <w:spacing w:after="0" w:line="360" w:lineRule="auto"/>
        <w:jc w:val="center"/>
        <w:rPr>
          <w:rFonts w:ascii="Verdana" w:hAnsi="Verdana"/>
        </w:rPr>
      </w:pPr>
    </w:p>
    <w:p w:rsidR="2BF131F4" w:rsidRDefault="2BF131F4" w14:paraId="527380DB" w14:textId="77777777">
      <w:pPr>
        <w:pStyle w:val="Prrafodelista"/>
        <w:keepNext/>
        <w:keepLines/>
        <w:numPr>
          <w:ilvl w:val="3"/>
          <w:numId w:val="42"/>
        </w:numPr>
        <w:spacing w:after="0" w:line="360" w:lineRule="auto"/>
        <w:jc w:val="both"/>
        <w:rPr>
          <w:rFonts w:ascii="Verdana" w:hAnsi="Verdana" w:eastAsiaTheme="majorEastAsia" w:cstheme="majorBidi"/>
          <w:b/>
          <w:bCs/>
          <w:sz w:val="24"/>
          <w:szCs w:val="24"/>
        </w:rPr>
      </w:pPr>
      <w:r w:rsidRPr="00BD1682">
        <w:rPr>
          <w:rFonts w:ascii="Verdana" w:hAnsi="Verdana" w:eastAsiaTheme="majorEastAsia" w:cstheme="majorBidi"/>
          <w:b/>
          <w:bCs/>
          <w:sz w:val="24"/>
          <w:szCs w:val="24"/>
        </w:rPr>
        <w:t>Tendencia del Cuatrienio</w:t>
      </w:r>
    </w:p>
    <w:p w:rsidRPr="00C87383" w:rsidR="00C87383" w:rsidP="00D94015" w:rsidRDefault="00C87383" w14:paraId="342343FA" w14:textId="77777777">
      <w:pPr>
        <w:keepNext/>
        <w:keepLines/>
        <w:spacing w:after="0" w:line="360" w:lineRule="auto"/>
        <w:jc w:val="both"/>
        <w:rPr>
          <w:rFonts w:ascii="Verdana" w:hAnsi="Verdana" w:eastAsiaTheme="majorEastAsia" w:cstheme="majorBidi"/>
          <w:b/>
          <w:bCs/>
          <w:sz w:val="24"/>
          <w:szCs w:val="24"/>
        </w:rPr>
      </w:pPr>
    </w:p>
    <w:p w:rsidRPr="00270ABD" w:rsidR="72B1A4E0" w:rsidP="00D94015" w:rsidRDefault="72B1A4E0" w14:paraId="47F38F4F" w14:textId="77777777">
      <w:pPr>
        <w:spacing w:after="0" w:line="360" w:lineRule="auto"/>
        <w:jc w:val="both"/>
        <w:rPr>
          <w:rFonts w:ascii="Verdana" w:hAnsi="Verdana" w:eastAsia="Verdana" w:cs="Verdana"/>
          <w:color w:val="000000" w:themeColor="text1"/>
          <w:sz w:val="24"/>
          <w:szCs w:val="24"/>
        </w:rPr>
      </w:pPr>
      <w:r w:rsidRPr="00270ABD">
        <w:rPr>
          <w:rFonts w:ascii="Verdana" w:hAnsi="Verdana" w:eastAsia="Verdana" w:cs="Verdana"/>
          <w:color w:val="000000" w:themeColor="text1"/>
          <w:sz w:val="24"/>
          <w:szCs w:val="24"/>
        </w:rPr>
        <w:t>El análisis de la serie 2022–2025 permite identificar una tendencia de desaceleración inicial seguida de estabilización, pasando de un cumplimiento del 94,3% en 2022 a niveles cercanos al 90% en los años siguientes. Esta tendencia refleja un ajuste progresivo del sistema institucional frente a mayores niveles de exigencia en metas e indicadores, así como la consolidación de un desempeño sostenido en el tiempo.</w:t>
      </w:r>
    </w:p>
    <w:p w:rsidR="72B1A4E0" w:rsidP="00270ABD" w:rsidRDefault="72B1A4E0" w14:paraId="65CD9A18" w14:textId="77777777">
      <w:pPr>
        <w:pStyle w:val="Descripcin"/>
        <w:keepNext/>
        <w:spacing w:after="0"/>
        <w:jc w:val="center"/>
        <w:rPr>
          <w:rFonts w:ascii="Verdana" w:hAnsi="Verdana" w:eastAsia="Verdana" w:cs="Verdana"/>
          <w:i w:val="0"/>
          <w:iCs w:val="0"/>
          <w:color w:val="auto"/>
        </w:rPr>
      </w:pPr>
      <w:r w:rsidRPr="00270ABD">
        <w:rPr>
          <w:rFonts w:ascii="Verdana" w:hAnsi="Verdana" w:eastAsia="Verdana" w:cs="Verdana"/>
          <w:i w:val="0"/>
          <w:iCs w:val="0"/>
          <w:color w:val="auto"/>
        </w:rPr>
        <w:t xml:space="preserve">Gráfico </w:t>
      </w:r>
      <w:r w:rsidR="00E558DE">
        <w:rPr>
          <w:rFonts w:ascii="Verdana" w:hAnsi="Verdana" w:eastAsia="Verdana" w:cs="Verdana"/>
          <w:i w:val="0"/>
          <w:iCs w:val="0"/>
          <w:color w:val="auto"/>
        </w:rPr>
        <w:t>No. 1</w:t>
      </w:r>
      <w:r w:rsidRPr="00270ABD">
        <w:rPr>
          <w:rFonts w:ascii="Verdana" w:hAnsi="Verdana" w:eastAsia="Verdana" w:cs="Verdana"/>
          <w:i w:val="0"/>
          <w:iCs w:val="0"/>
          <w:color w:val="auto"/>
        </w:rPr>
        <w:t>. Cumplimiento cuatrienio 2022 -2025</w:t>
      </w:r>
    </w:p>
    <w:p w:rsidR="72B1A4E0" w:rsidP="00270ABD" w:rsidRDefault="72B1A4E0" w14:paraId="1B9D871A" w14:textId="77777777">
      <w:pPr>
        <w:spacing w:after="0" w:line="240" w:lineRule="auto"/>
        <w:jc w:val="center"/>
        <w:rPr>
          <w:rFonts w:ascii="Verdana" w:hAnsi="Verdana" w:eastAsia="Verdana" w:cs="Verdana"/>
        </w:rPr>
      </w:pPr>
      <w:r w:rsidRPr="00270ABD">
        <w:rPr>
          <w:rFonts w:ascii="Verdana" w:hAnsi="Verdana"/>
          <w:noProof/>
        </w:rPr>
        <w:drawing>
          <wp:inline distT="0" distB="0" distL="0" distR="0" wp14:anchorId="6A9F8CEC" wp14:editId="05EE2DA7">
            <wp:extent cx="3238952" cy="1867161"/>
            <wp:effectExtent l="19050" t="19050" r="19050" b="19050"/>
            <wp:docPr id="491331928" name="drawing" title="Gráfico 1, Elemento de gráf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331928" name="Picture 491331928"/>
                    <pic:cNvPicPr/>
                  </pic:nvPicPr>
                  <pic:blipFill>
                    <a:blip r:embed="rId15">
                      <a:extLst>
                        <a:ext uri="{28A0092B-C50C-407E-A947-70E740481C1C}">
                          <a14:useLocalDpi xmlns:a14="http://schemas.microsoft.com/office/drawing/2010/main"/>
                        </a:ext>
                      </a:extLst>
                    </a:blip>
                    <a:stretch>
                      <a:fillRect/>
                    </a:stretch>
                  </pic:blipFill>
                  <pic:spPr>
                    <a:xfrm>
                      <a:off x="0" y="0"/>
                      <a:ext cx="3238952" cy="1867161"/>
                    </a:xfrm>
                    <a:prstGeom prst="rect">
                      <a:avLst/>
                    </a:prstGeom>
                    <a:ln>
                      <a:solidFill>
                        <a:schemeClr val="tx1"/>
                      </a:solidFill>
                    </a:ln>
                  </pic:spPr>
                </pic:pic>
              </a:graphicData>
            </a:graphic>
          </wp:inline>
        </w:drawing>
      </w:r>
    </w:p>
    <w:p w:rsidR="72B1A4E0" w:rsidP="180099B3" w:rsidRDefault="4A62BB0D" w14:paraId="0554B801" w14:textId="77777777">
      <w:pPr>
        <w:pStyle w:val="Fuente"/>
        <w:spacing w:after="0"/>
        <w:rPr>
          <w:rFonts w:ascii="Verdana" w:hAnsi="Verdana" w:eastAsia="Verdana" w:cs="Verdana"/>
        </w:rPr>
      </w:pPr>
      <w:r w:rsidRPr="180099B3">
        <w:rPr>
          <w:rFonts w:ascii="Verdana" w:hAnsi="Verdana" w:eastAsia="Verdana" w:cs="Verdana"/>
        </w:rPr>
        <w:t xml:space="preserve">Fuente: </w:t>
      </w:r>
      <w:r w:rsidRPr="180099B3" w:rsidR="5E964C9E">
        <w:rPr>
          <w:rFonts w:ascii="Verdana" w:hAnsi="Verdana" w:eastAsia="Verdana" w:cs="Verdana"/>
        </w:rPr>
        <w:t>OPGI - MME</w:t>
      </w:r>
    </w:p>
    <w:p w:rsidRPr="00270ABD" w:rsidR="00270ABD" w:rsidP="00270ABD" w:rsidRDefault="00270ABD" w14:paraId="1E23C3C0" w14:textId="77777777">
      <w:pPr>
        <w:pStyle w:val="Fuente"/>
        <w:spacing w:after="0" w:line="360" w:lineRule="auto"/>
        <w:rPr>
          <w:rFonts w:ascii="Verdana" w:hAnsi="Verdana" w:eastAsia="Verdana" w:cs="Verdana"/>
          <w:sz w:val="24"/>
          <w:szCs w:val="24"/>
        </w:rPr>
      </w:pPr>
    </w:p>
    <w:p w:rsidRPr="00BD1682" w:rsidR="72B1A4E0" w:rsidP="006A0A13" w:rsidRDefault="72B1A4E0" w14:paraId="5D1957DE" w14:textId="77777777">
      <w:pPr>
        <w:spacing w:after="0" w:line="360" w:lineRule="auto"/>
        <w:jc w:val="both"/>
        <w:rPr>
          <w:rFonts w:ascii="Verdana" w:hAnsi="Verdana" w:eastAsia="Verdana" w:cs="Verdana"/>
          <w:color w:val="000000" w:themeColor="text1"/>
          <w:sz w:val="24"/>
          <w:szCs w:val="24"/>
        </w:rPr>
      </w:pPr>
      <w:r w:rsidRPr="00BD1682">
        <w:rPr>
          <w:rFonts w:ascii="Verdana" w:hAnsi="Verdana" w:eastAsia="Verdana" w:cs="Verdana"/>
          <w:color w:val="000000" w:themeColor="text1"/>
          <w:sz w:val="24"/>
          <w:szCs w:val="24"/>
        </w:rPr>
        <w:t>De manera transversal, se evidencia un patrón consistente en el comportamiento del Plan de Acción:</w:t>
      </w:r>
    </w:p>
    <w:p w:rsidRPr="00BD1682" w:rsidR="72B1A4E0" w:rsidRDefault="72B1A4E0" w14:paraId="304CC58D" w14:textId="130B628C">
      <w:pPr>
        <w:pStyle w:val="Prrafodelista"/>
        <w:numPr>
          <w:ilvl w:val="0"/>
          <w:numId w:val="55"/>
        </w:numPr>
        <w:spacing w:after="0" w:line="360" w:lineRule="auto"/>
        <w:ind w:hanging="294"/>
        <w:jc w:val="both"/>
        <w:rPr>
          <w:rFonts w:ascii="Verdana" w:hAnsi="Verdana" w:eastAsia="Verdana" w:cs="Verdana"/>
          <w:color w:val="000000" w:themeColor="text1"/>
          <w:sz w:val="24"/>
          <w:szCs w:val="24"/>
        </w:rPr>
      </w:pPr>
      <w:r w:rsidRPr="30CF4445" w:rsidR="1F516666">
        <w:rPr>
          <w:rFonts w:ascii="Verdana" w:hAnsi="Verdana" w:eastAsia="Verdana" w:cs="Verdana"/>
          <w:color w:val="000000" w:themeColor="text1" w:themeTint="FF" w:themeShade="FF"/>
          <w:sz w:val="24"/>
          <w:szCs w:val="24"/>
        </w:rPr>
        <w:t>Alto desempeño en procesos estratégicos, de soporte</w:t>
      </w:r>
      <w:r w:rsidRPr="30CF4445" w:rsidR="18D8524D">
        <w:rPr>
          <w:rFonts w:ascii="Verdana" w:hAnsi="Verdana" w:eastAsia="Verdana" w:cs="Verdana"/>
          <w:color w:val="000000" w:themeColor="text1" w:themeTint="FF" w:themeShade="FF"/>
          <w:sz w:val="24"/>
          <w:szCs w:val="24"/>
        </w:rPr>
        <w:t xml:space="preserve">, </w:t>
      </w:r>
      <w:r w:rsidRPr="30CF4445" w:rsidR="1F516666">
        <w:rPr>
          <w:rFonts w:ascii="Verdana" w:hAnsi="Verdana" w:eastAsia="Verdana" w:cs="Verdana"/>
          <w:color w:val="000000" w:themeColor="text1" w:themeTint="FF" w:themeShade="FF"/>
          <w:sz w:val="24"/>
          <w:szCs w:val="24"/>
        </w:rPr>
        <w:t>de evaluación y control, asociados a la gestión administrativa, financiera, jurídica y de talento humano.</w:t>
      </w:r>
    </w:p>
    <w:p w:rsidRPr="00BD1682" w:rsidR="72B1A4E0" w:rsidRDefault="72B1A4E0" w14:paraId="0C438D44" w14:textId="77777777">
      <w:pPr>
        <w:pStyle w:val="Prrafodelista"/>
        <w:numPr>
          <w:ilvl w:val="0"/>
          <w:numId w:val="55"/>
        </w:numPr>
        <w:spacing w:after="0" w:line="360" w:lineRule="auto"/>
        <w:ind w:hanging="294"/>
        <w:jc w:val="both"/>
        <w:rPr>
          <w:rFonts w:ascii="Verdana" w:hAnsi="Verdana" w:eastAsia="Verdana" w:cs="Verdana"/>
          <w:color w:val="000000" w:themeColor="text1"/>
          <w:sz w:val="24"/>
          <w:szCs w:val="24"/>
        </w:rPr>
      </w:pPr>
      <w:r w:rsidRPr="00BD1682">
        <w:rPr>
          <w:rFonts w:ascii="Verdana" w:hAnsi="Verdana" w:eastAsia="Verdana" w:cs="Verdana"/>
          <w:color w:val="000000" w:themeColor="text1"/>
          <w:sz w:val="24"/>
          <w:szCs w:val="24"/>
        </w:rPr>
        <w:t>Menor nivel relativo de ejecución en procesos misionales, particularmente en aquellos que dependen de desarrollos normativos, articulación interinstitucional o condiciones territoriales.</w:t>
      </w:r>
    </w:p>
    <w:p w:rsidRPr="00270ABD" w:rsidR="4B50F055" w:rsidP="006A0A13" w:rsidRDefault="4B50F055" w14:paraId="168F116B" w14:textId="77777777">
      <w:pPr>
        <w:keepNext/>
        <w:keepLines/>
        <w:spacing w:after="0" w:line="360" w:lineRule="auto"/>
        <w:jc w:val="both"/>
        <w:rPr>
          <w:rFonts w:ascii="Verdana" w:hAnsi="Verdana" w:eastAsiaTheme="majorEastAsia" w:cstheme="majorBidi"/>
          <w:b/>
          <w:bCs/>
          <w:sz w:val="24"/>
          <w:szCs w:val="24"/>
        </w:rPr>
      </w:pPr>
    </w:p>
    <w:p w:rsidR="72B1A4E0" w:rsidRDefault="72B1A4E0" w14:paraId="099BF3B1" w14:textId="77777777">
      <w:pPr>
        <w:pStyle w:val="Prrafodelista"/>
        <w:keepNext/>
        <w:keepLines/>
        <w:numPr>
          <w:ilvl w:val="3"/>
          <w:numId w:val="42"/>
        </w:numPr>
        <w:spacing w:after="0" w:line="360" w:lineRule="auto"/>
        <w:jc w:val="both"/>
        <w:rPr>
          <w:rFonts w:ascii="Verdana" w:hAnsi="Verdana" w:eastAsiaTheme="majorEastAsia" w:cstheme="majorBidi"/>
          <w:b/>
          <w:bCs/>
          <w:sz w:val="24"/>
          <w:szCs w:val="24"/>
        </w:rPr>
      </w:pPr>
      <w:r w:rsidRPr="00BD1682">
        <w:rPr>
          <w:rFonts w:ascii="Verdana" w:hAnsi="Verdana" w:eastAsiaTheme="majorEastAsia" w:cstheme="majorBidi"/>
          <w:b/>
          <w:bCs/>
          <w:sz w:val="24"/>
          <w:szCs w:val="24"/>
        </w:rPr>
        <w:t>Principales avances</w:t>
      </w:r>
    </w:p>
    <w:p w:rsidRPr="00C87383" w:rsidR="00C87383" w:rsidP="006A0A13" w:rsidRDefault="00C87383" w14:paraId="3EE07B28" w14:textId="77777777">
      <w:pPr>
        <w:keepNext/>
        <w:keepLines/>
        <w:spacing w:after="0" w:line="360" w:lineRule="auto"/>
        <w:ind w:left="360"/>
        <w:jc w:val="both"/>
        <w:rPr>
          <w:rFonts w:ascii="Verdana" w:hAnsi="Verdana" w:eastAsiaTheme="majorEastAsia" w:cstheme="majorBidi"/>
          <w:b/>
          <w:bCs/>
          <w:sz w:val="24"/>
          <w:szCs w:val="24"/>
        </w:rPr>
      </w:pPr>
    </w:p>
    <w:p w:rsidRPr="00BD1682" w:rsidR="72B1A4E0" w:rsidP="006A0A13" w:rsidRDefault="72B1A4E0" w14:paraId="44E18DAA" w14:textId="77777777">
      <w:pPr>
        <w:spacing w:after="0" w:line="360" w:lineRule="auto"/>
        <w:jc w:val="both"/>
        <w:rPr>
          <w:rFonts w:ascii="Verdana" w:hAnsi="Verdana" w:eastAsia="Verdana" w:cs="Verdana"/>
          <w:color w:val="000000" w:themeColor="text1"/>
          <w:sz w:val="24"/>
          <w:szCs w:val="24"/>
        </w:rPr>
      </w:pPr>
      <w:r w:rsidRPr="00BD1682">
        <w:rPr>
          <w:rFonts w:ascii="Verdana" w:hAnsi="Verdana" w:eastAsia="Verdana" w:cs="Verdana"/>
          <w:color w:val="000000" w:themeColor="text1"/>
          <w:sz w:val="24"/>
          <w:szCs w:val="24"/>
        </w:rPr>
        <w:t>Entre los principales avances del cuatrienio se destacan:</w:t>
      </w:r>
    </w:p>
    <w:p w:rsidRPr="00BD1682" w:rsidR="72B1A4E0" w:rsidRDefault="72B1A4E0" w14:paraId="1C048E53" w14:textId="77777777">
      <w:pPr>
        <w:pStyle w:val="Prrafodelista"/>
        <w:numPr>
          <w:ilvl w:val="0"/>
          <w:numId w:val="54"/>
        </w:numPr>
        <w:spacing w:after="0" w:line="360" w:lineRule="auto"/>
        <w:ind w:hanging="294"/>
        <w:jc w:val="both"/>
        <w:rPr>
          <w:rFonts w:ascii="Verdana" w:hAnsi="Verdana" w:eastAsia="Verdana" w:cs="Verdana"/>
          <w:color w:val="000000" w:themeColor="text1"/>
          <w:sz w:val="24"/>
          <w:szCs w:val="24"/>
        </w:rPr>
      </w:pPr>
      <w:r w:rsidRPr="00BD1682">
        <w:rPr>
          <w:rFonts w:ascii="Verdana" w:hAnsi="Verdana" w:eastAsia="Verdana" w:cs="Verdana"/>
          <w:color w:val="000000" w:themeColor="text1"/>
          <w:sz w:val="24"/>
          <w:szCs w:val="24"/>
        </w:rPr>
        <w:t>La consolidación de la cobertura energética, con ampliación de usuarios de energía eléctrica y gas, contribuyendo al cierre de brechas territoriales.</w:t>
      </w:r>
    </w:p>
    <w:p w:rsidRPr="00BD1682" w:rsidR="72B1A4E0" w:rsidRDefault="4A62BB0D" w14:paraId="75D4B847" w14:textId="77777777">
      <w:pPr>
        <w:pStyle w:val="Prrafodelista"/>
        <w:numPr>
          <w:ilvl w:val="0"/>
          <w:numId w:val="54"/>
        </w:numPr>
        <w:spacing w:after="0" w:line="360" w:lineRule="auto"/>
        <w:jc w:val="both"/>
        <w:rPr>
          <w:rFonts w:ascii="Verdana" w:hAnsi="Verdana" w:eastAsia="Verdana" w:cs="Verdana"/>
          <w:color w:val="000000" w:themeColor="text1"/>
          <w:sz w:val="24"/>
          <w:szCs w:val="24"/>
        </w:rPr>
      </w:pPr>
      <w:r w:rsidRPr="180099B3">
        <w:rPr>
          <w:rFonts w:ascii="Verdana" w:hAnsi="Verdana" w:eastAsia="Verdana" w:cs="Verdana"/>
          <w:color w:val="000000" w:themeColor="text1"/>
          <w:sz w:val="24"/>
          <w:szCs w:val="24"/>
        </w:rPr>
        <w:t>El fortalecimiento de la transición energética, mediante el impulso a proyectos de fuentes no convencionales, estrategias de eficiencia energética y desarrollo de instrumentos regulatorios.</w:t>
      </w:r>
    </w:p>
    <w:p w:rsidRPr="00BD1682" w:rsidR="72B1A4E0" w:rsidRDefault="72B1A4E0" w14:paraId="7CAE697C" w14:textId="77777777">
      <w:pPr>
        <w:pStyle w:val="Prrafodelista"/>
        <w:numPr>
          <w:ilvl w:val="0"/>
          <w:numId w:val="54"/>
        </w:numPr>
        <w:spacing w:after="0" w:line="360" w:lineRule="auto"/>
        <w:jc w:val="both"/>
        <w:rPr>
          <w:rFonts w:ascii="Verdana" w:hAnsi="Verdana" w:eastAsia="Verdana" w:cs="Verdana"/>
          <w:color w:val="000000" w:themeColor="text1"/>
          <w:sz w:val="24"/>
          <w:szCs w:val="24"/>
        </w:rPr>
      </w:pPr>
      <w:r w:rsidRPr="00BD1682">
        <w:rPr>
          <w:rFonts w:ascii="Verdana" w:hAnsi="Verdana" w:eastAsia="Verdana" w:cs="Verdana"/>
          <w:color w:val="000000" w:themeColor="text1"/>
          <w:sz w:val="24"/>
          <w:szCs w:val="24"/>
        </w:rPr>
        <w:t>El avance en la formalización minera y fortalecimiento productivo, con acompañamiento técnico y desarrollo de capacidades en unidades productivas.</w:t>
      </w:r>
    </w:p>
    <w:p w:rsidRPr="00BD1682" w:rsidR="72B1A4E0" w:rsidRDefault="72B1A4E0" w14:paraId="4A11B740" w14:textId="77777777">
      <w:pPr>
        <w:pStyle w:val="Prrafodelista"/>
        <w:numPr>
          <w:ilvl w:val="0"/>
          <w:numId w:val="54"/>
        </w:numPr>
        <w:spacing w:after="0" w:line="360" w:lineRule="auto"/>
        <w:jc w:val="both"/>
        <w:rPr>
          <w:rFonts w:ascii="Verdana" w:hAnsi="Verdana" w:eastAsia="Verdana" w:cs="Verdana"/>
          <w:color w:val="000000" w:themeColor="text1"/>
          <w:sz w:val="24"/>
          <w:szCs w:val="24"/>
        </w:rPr>
      </w:pPr>
      <w:r w:rsidRPr="00BD1682">
        <w:rPr>
          <w:rFonts w:ascii="Verdana" w:hAnsi="Verdana" w:eastAsia="Verdana" w:cs="Verdana"/>
          <w:color w:val="000000" w:themeColor="text1"/>
          <w:sz w:val="24"/>
          <w:szCs w:val="24"/>
        </w:rPr>
        <w:t>El desarrollo y actualización del marco normativo sectorial, incluyendo reglamentos técnicos y políticas públicas.</w:t>
      </w:r>
    </w:p>
    <w:p w:rsidRPr="00BD1682" w:rsidR="72B1A4E0" w:rsidRDefault="72B1A4E0" w14:paraId="24B0002C" w14:textId="77777777">
      <w:pPr>
        <w:pStyle w:val="Prrafodelista"/>
        <w:numPr>
          <w:ilvl w:val="0"/>
          <w:numId w:val="54"/>
        </w:numPr>
        <w:spacing w:after="0" w:line="360" w:lineRule="auto"/>
        <w:ind w:hanging="294"/>
        <w:jc w:val="both"/>
        <w:rPr>
          <w:rFonts w:ascii="Verdana" w:hAnsi="Verdana" w:eastAsia="Verdana" w:cs="Verdana"/>
          <w:color w:val="000000" w:themeColor="text1"/>
          <w:sz w:val="24"/>
          <w:szCs w:val="24"/>
        </w:rPr>
      </w:pPr>
      <w:r w:rsidRPr="00BD1682">
        <w:rPr>
          <w:rFonts w:ascii="Verdana" w:hAnsi="Verdana" w:eastAsia="Verdana" w:cs="Verdana"/>
          <w:color w:val="000000" w:themeColor="text1"/>
          <w:sz w:val="24"/>
          <w:szCs w:val="24"/>
        </w:rPr>
        <w:t>El fortalecimiento de la gestión institucional, evidenciado en altos niveles de ejecución presupuestal, mejora en procesos contractuales, madurez del Sistema Integrado de Gestión y consolidación de herramientas tecnológicas para el seguimiento y la toma de decisiones.</w:t>
      </w:r>
    </w:p>
    <w:p w:rsidRPr="00BD1682" w:rsidR="72B1A4E0" w:rsidRDefault="72B1A4E0" w14:paraId="0F035D5F" w14:textId="77777777">
      <w:pPr>
        <w:pStyle w:val="Prrafodelista"/>
        <w:numPr>
          <w:ilvl w:val="0"/>
          <w:numId w:val="54"/>
        </w:numPr>
        <w:spacing w:after="0" w:line="360" w:lineRule="auto"/>
        <w:jc w:val="both"/>
        <w:rPr>
          <w:rFonts w:ascii="Verdana" w:hAnsi="Verdana" w:eastAsia="Verdana" w:cs="Verdana"/>
          <w:color w:val="000000" w:themeColor="text1"/>
          <w:sz w:val="24"/>
          <w:szCs w:val="24"/>
        </w:rPr>
      </w:pPr>
      <w:r w:rsidRPr="00BD1682">
        <w:rPr>
          <w:rFonts w:ascii="Verdana" w:hAnsi="Verdana" w:eastAsia="Verdana" w:cs="Verdana"/>
          <w:color w:val="000000" w:themeColor="text1"/>
          <w:sz w:val="24"/>
          <w:szCs w:val="24"/>
        </w:rPr>
        <w:t>El posicionamiento internacional del sector y la gestión de cooperación técnica y financiera, orientada al desarrollo de la Transición Energética Justa.</w:t>
      </w:r>
    </w:p>
    <w:p w:rsidRPr="00270ABD" w:rsidR="4B50F055" w:rsidP="006A0A13" w:rsidRDefault="4B50F055" w14:paraId="0F21C0A2" w14:textId="77777777">
      <w:pPr>
        <w:keepNext/>
        <w:keepLines/>
        <w:spacing w:after="0" w:line="360" w:lineRule="auto"/>
        <w:jc w:val="both"/>
        <w:rPr>
          <w:rFonts w:ascii="Verdana" w:hAnsi="Verdana" w:eastAsiaTheme="majorEastAsia" w:cstheme="majorBidi"/>
          <w:b/>
          <w:bCs/>
          <w:sz w:val="24"/>
          <w:szCs w:val="24"/>
        </w:rPr>
      </w:pPr>
    </w:p>
    <w:p w:rsidR="4B50F055" w:rsidRDefault="72B1A4E0" w14:paraId="1CE7C665" w14:textId="77777777">
      <w:pPr>
        <w:pStyle w:val="Prrafodelista"/>
        <w:keepNext/>
        <w:keepLines/>
        <w:numPr>
          <w:ilvl w:val="3"/>
          <w:numId w:val="42"/>
        </w:numPr>
        <w:spacing w:after="0" w:line="360" w:lineRule="auto"/>
        <w:jc w:val="both"/>
        <w:rPr>
          <w:rFonts w:ascii="Verdana" w:hAnsi="Verdana" w:eastAsiaTheme="majorEastAsia" w:cstheme="majorBidi"/>
          <w:b/>
          <w:bCs/>
          <w:sz w:val="24"/>
          <w:szCs w:val="24"/>
        </w:rPr>
      </w:pPr>
      <w:r w:rsidRPr="00BD1682">
        <w:rPr>
          <w:rFonts w:ascii="Verdana" w:hAnsi="Verdana" w:eastAsiaTheme="majorEastAsia" w:cstheme="majorBidi"/>
          <w:b/>
          <w:bCs/>
          <w:sz w:val="24"/>
          <w:szCs w:val="24"/>
        </w:rPr>
        <w:t>Rezagos y desafíos</w:t>
      </w:r>
    </w:p>
    <w:p w:rsidRPr="00C87383" w:rsidR="00C87383" w:rsidP="006A0A13" w:rsidRDefault="00C87383" w14:paraId="02B2C55F" w14:textId="77777777">
      <w:pPr>
        <w:keepNext/>
        <w:keepLines/>
        <w:spacing w:after="0" w:line="360" w:lineRule="auto"/>
        <w:ind w:left="360"/>
        <w:jc w:val="both"/>
        <w:rPr>
          <w:rFonts w:ascii="Verdana" w:hAnsi="Verdana" w:eastAsiaTheme="majorEastAsia" w:cstheme="majorBidi"/>
          <w:b/>
          <w:bCs/>
          <w:sz w:val="24"/>
          <w:szCs w:val="24"/>
        </w:rPr>
      </w:pPr>
    </w:p>
    <w:p w:rsidRPr="00270ABD" w:rsidR="72B1A4E0" w:rsidP="006A0A13" w:rsidRDefault="72B1A4E0" w14:paraId="1F4A753A" w14:textId="77777777">
      <w:pPr>
        <w:spacing w:after="0" w:line="360" w:lineRule="auto"/>
        <w:jc w:val="both"/>
        <w:rPr>
          <w:rFonts w:ascii="Verdana" w:hAnsi="Verdana" w:eastAsia="Verdana" w:cs="Verdana"/>
          <w:color w:val="000000" w:themeColor="text1"/>
          <w:sz w:val="24"/>
          <w:szCs w:val="24"/>
        </w:rPr>
      </w:pPr>
      <w:r w:rsidRPr="00270ABD">
        <w:rPr>
          <w:rFonts w:ascii="Verdana" w:hAnsi="Verdana" w:eastAsia="Verdana" w:cs="Verdana"/>
          <w:color w:val="000000" w:themeColor="text1"/>
          <w:sz w:val="24"/>
          <w:szCs w:val="24"/>
        </w:rPr>
        <w:t>A pesar del comportamiento positivo del Plan de Acción, se identificaron rezagos recurrentes a lo largo del cuatrienio, asociados principalmente a:</w:t>
      </w:r>
    </w:p>
    <w:p w:rsidRPr="00270ABD" w:rsidR="72B1A4E0" w:rsidRDefault="72B1A4E0" w14:paraId="067FEFE4" w14:textId="77777777">
      <w:pPr>
        <w:pStyle w:val="Prrafodelista"/>
        <w:numPr>
          <w:ilvl w:val="0"/>
          <w:numId w:val="53"/>
        </w:numPr>
        <w:spacing w:after="0" w:line="360" w:lineRule="auto"/>
        <w:ind w:hanging="294"/>
        <w:jc w:val="both"/>
        <w:rPr>
          <w:rFonts w:ascii="Verdana" w:hAnsi="Verdana" w:eastAsia="Verdana" w:cs="Verdana"/>
          <w:color w:val="000000" w:themeColor="text1"/>
          <w:sz w:val="24"/>
          <w:szCs w:val="24"/>
        </w:rPr>
      </w:pPr>
      <w:r w:rsidRPr="00270ABD">
        <w:rPr>
          <w:rFonts w:ascii="Verdana" w:hAnsi="Verdana" w:eastAsia="Verdana" w:cs="Verdana"/>
          <w:color w:val="000000" w:themeColor="text1"/>
          <w:sz w:val="24"/>
          <w:szCs w:val="24"/>
        </w:rPr>
        <w:t>Procesos misionales de alta complejidad, en particular en los sectores de hidrocarburos y minería.</w:t>
      </w:r>
    </w:p>
    <w:p w:rsidRPr="00270ABD" w:rsidR="72B1A4E0" w:rsidRDefault="72B1A4E0" w14:paraId="7522C2AF" w14:textId="77777777">
      <w:pPr>
        <w:pStyle w:val="Prrafodelista"/>
        <w:numPr>
          <w:ilvl w:val="0"/>
          <w:numId w:val="53"/>
        </w:numPr>
        <w:spacing w:after="0" w:line="360" w:lineRule="auto"/>
        <w:jc w:val="both"/>
        <w:rPr>
          <w:rFonts w:ascii="Verdana" w:hAnsi="Verdana" w:eastAsia="Verdana" w:cs="Verdana"/>
          <w:color w:val="000000" w:themeColor="text1"/>
          <w:sz w:val="24"/>
          <w:szCs w:val="24"/>
        </w:rPr>
      </w:pPr>
      <w:r w:rsidRPr="00270ABD">
        <w:rPr>
          <w:rFonts w:ascii="Verdana" w:hAnsi="Verdana" w:eastAsia="Verdana" w:cs="Verdana"/>
          <w:color w:val="000000" w:themeColor="text1"/>
          <w:sz w:val="24"/>
          <w:szCs w:val="24"/>
        </w:rPr>
        <w:t>Dependencia de actores externos, como otras entidades del orden nacional, para la expedición normativa o la ejecución de proyectos.</w:t>
      </w:r>
    </w:p>
    <w:p w:rsidRPr="00270ABD" w:rsidR="72B1A4E0" w:rsidRDefault="72B1A4E0" w14:paraId="5193B101" w14:textId="77777777">
      <w:pPr>
        <w:pStyle w:val="Prrafodelista"/>
        <w:numPr>
          <w:ilvl w:val="0"/>
          <w:numId w:val="53"/>
        </w:numPr>
        <w:spacing w:after="0" w:line="360" w:lineRule="auto"/>
        <w:jc w:val="both"/>
        <w:rPr>
          <w:rFonts w:ascii="Verdana" w:hAnsi="Verdana" w:eastAsia="Verdana" w:cs="Verdana"/>
          <w:color w:val="000000" w:themeColor="text1"/>
          <w:sz w:val="24"/>
          <w:szCs w:val="24"/>
        </w:rPr>
      </w:pPr>
      <w:r w:rsidRPr="00270ABD">
        <w:rPr>
          <w:rFonts w:ascii="Verdana" w:hAnsi="Verdana" w:eastAsia="Verdana" w:cs="Verdana"/>
          <w:color w:val="000000" w:themeColor="text1"/>
          <w:sz w:val="24"/>
          <w:szCs w:val="24"/>
        </w:rPr>
        <w:t>Retrasos en procesos contractuales o administrativos que afectan el cumplimiento de metas específicas.</w:t>
      </w:r>
    </w:p>
    <w:p w:rsidRPr="00270ABD" w:rsidR="72B1A4E0" w:rsidRDefault="72B1A4E0" w14:paraId="29FA4FE7" w14:textId="77777777">
      <w:pPr>
        <w:pStyle w:val="Prrafodelista"/>
        <w:numPr>
          <w:ilvl w:val="0"/>
          <w:numId w:val="53"/>
        </w:numPr>
        <w:spacing w:after="0" w:line="360" w:lineRule="auto"/>
        <w:jc w:val="both"/>
        <w:rPr>
          <w:rFonts w:ascii="Verdana" w:hAnsi="Verdana" w:eastAsia="Verdana" w:cs="Verdana"/>
          <w:color w:val="000000" w:themeColor="text1"/>
          <w:sz w:val="24"/>
          <w:szCs w:val="24"/>
        </w:rPr>
      </w:pPr>
      <w:r w:rsidRPr="00270ABD">
        <w:rPr>
          <w:rFonts w:ascii="Verdana" w:hAnsi="Verdana" w:eastAsia="Verdana" w:cs="Verdana"/>
          <w:color w:val="000000" w:themeColor="text1"/>
          <w:sz w:val="24"/>
          <w:szCs w:val="24"/>
        </w:rPr>
        <w:t>Dificultades en la planeación inicial de algunos indicadores, reflejadas en sobrecumplimientos o reprogramaciones.</w:t>
      </w:r>
    </w:p>
    <w:p w:rsidR="00C87383" w:rsidP="006A0A13" w:rsidRDefault="00C87383" w14:paraId="02D810E9" w14:textId="77777777">
      <w:pPr>
        <w:spacing w:after="0" w:line="360" w:lineRule="auto"/>
        <w:jc w:val="both"/>
        <w:rPr>
          <w:rFonts w:ascii="Verdana" w:hAnsi="Verdana" w:eastAsia="Verdana" w:cs="Verdana"/>
          <w:color w:val="000000" w:themeColor="text1"/>
          <w:sz w:val="24"/>
          <w:szCs w:val="24"/>
        </w:rPr>
      </w:pPr>
    </w:p>
    <w:p w:rsidR="72B1A4E0" w:rsidP="006A0A13" w:rsidRDefault="72B1A4E0" w14:paraId="360D72C4" w14:textId="77777777">
      <w:pPr>
        <w:spacing w:after="0" w:line="360" w:lineRule="auto"/>
        <w:jc w:val="both"/>
        <w:rPr>
          <w:rFonts w:ascii="Verdana" w:hAnsi="Verdana" w:eastAsia="Verdana" w:cs="Verdana"/>
          <w:color w:val="000000" w:themeColor="text1"/>
          <w:sz w:val="24"/>
          <w:szCs w:val="24"/>
        </w:rPr>
      </w:pPr>
      <w:r w:rsidRPr="00BD1682">
        <w:rPr>
          <w:rFonts w:ascii="Verdana" w:hAnsi="Verdana" w:eastAsia="Verdana" w:cs="Verdana"/>
          <w:color w:val="000000" w:themeColor="text1"/>
          <w:sz w:val="24"/>
          <w:szCs w:val="24"/>
        </w:rPr>
        <w:t>Estos factores configuran una brecha estructural entre la capacidad administrativa y la ejecución misional, que se mantiene como uno de los principales retos para el fortalecimiento del modelo de planeación institucional.</w:t>
      </w:r>
    </w:p>
    <w:p w:rsidRPr="00BD1682" w:rsidR="00C87383" w:rsidP="006A0A13" w:rsidRDefault="00C87383" w14:paraId="3CF8A4EB" w14:textId="77777777">
      <w:pPr>
        <w:spacing w:after="0" w:line="360" w:lineRule="auto"/>
        <w:jc w:val="both"/>
        <w:rPr>
          <w:rFonts w:ascii="Verdana" w:hAnsi="Verdana" w:eastAsia="Verdana" w:cs="Verdana"/>
          <w:color w:val="000000" w:themeColor="text1"/>
          <w:sz w:val="24"/>
          <w:szCs w:val="24"/>
        </w:rPr>
      </w:pPr>
    </w:p>
    <w:p w:rsidR="72B1A4E0" w:rsidRDefault="72B1A4E0" w14:paraId="29DBA270" w14:textId="77777777">
      <w:pPr>
        <w:pStyle w:val="Prrafodelista"/>
        <w:keepNext/>
        <w:keepLines/>
        <w:numPr>
          <w:ilvl w:val="3"/>
          <w:numId w:val="42"/>
        </w:numPr>
        <w:spacing w:after="0" w:line="360" w:lineRule="auto"/>
        <w:jc w:val="both"/>
        <w:rPr>
          <w:rFonts w:ascii="Verdana" w:hAnsi="Verdana" w:eastAsiaTheme="majorEastAsia" w:cstheme="majorBidi"/>
          <w:b/>
          <w:bCs/>
          <w:sz w:val="24"/>
          <w:szCs w:val="24"/>
        </w:rPr>
      </w:pPr>
      <w:r w:rsidRPr="00BD1682">
        <w:rPr>
          <w:rFonts w:ascii="Verdana" w:hAnsi="Verdana" w:eastAsiaTheme="majorEastAsia" w:cstheme="majorBidi"/>
          <w:b/>
          <w:bCs/>
          <w:sz w:val="24"/>
          <w:szCs w:val="24"/>
        </w:rPr>
        <w:t>Estado general de los planes institucionales</w:t>
      </w:r>
    </w:p>
    <w:p w:rsidRPr="00BD1682" w:rsidR="00C87383" w:rsidP="006A0A13" w:rsidRDefault="00C87383" w14:paraId="69F37F12" w14:textId="77777777">
      <w:pPr>
        <w:pStyle w:val="Prrafodelista"/>
        <w:keepNext/>
        <w:keepLines/>
        <w:spacing w:after="0" w:line="360" w:lineRule="auto"/>
        <w:ind w:left="1440"/>
        <w:jc w:val="both"/>
        <w:rPr>
          <w:rFonts w:ascii="Verdana" w:hAnsi="Verdana" w:eastAsiaTheme="majorEastAsia" w:cstheme="majorBidi"/>
          <w:b/>
          <w:bCs/>
          <w:sz w:val="24"/>
          <w:szCs w:val="24"/>
        </w:rPr>
      </w:pPr>
    </w:p>
    <w:p w:rsidRPr="00270ABD" w:rsidR="72B1A4E0" w:rsidP="006A0A13" w:rsidRDefault="72B1A4E0" w14:paraId="3D5ED451" w14:textId="77777777">
      <w:pPr>
        <w:spacing w:after="0" w:line="360" w:lineRule="auto"/>
        <w:jc w:val="both"/>
        <w:rPr>
          <w:rFonts w:ascii="Verdana" w:hAnsi="Verdana" w:eastAsia="Verdana" w:cs="Verdana"/>
          <w:color w:val="000000" w:themeColor="text1"/>
          <w:sz w:val="24"/>
          <w:szCs w:val="24"/>
        </w:rPr>
      </w:pPr>
      <w:r w:rsidRPr="00270ABD">
        <w:rPr>
          <w:rFonts w:ascii="Verdana" w:hAnsi="Verdana" w:eastAsia="Verdana" w:cs="Verdana"/>
          <w:color w:val="000000" w:themeColor="text1"/>
          <w:sz w:val="24"/>
          <w:szCs w:val="24"/>
        </w:rPr>
        <w:t>En cuanto al estado de los planes institucionales durante el cuatrienio, el Ministerio evidenció un nivel alto de cumplimiento y consolidación, en coherencia con los lineamientos del MIPG y las políticas de gestión pública.</w:t>
      </w:r>
    </w:p>
    <w:p w:rsidR="00C87383" w:rsidP="006A0A13" w:rsidRDefault="00C87383" w14:paraId="7A040E26" w14:textId="77777777">
      <w:pPr>
        <w:spacing w:after="0" w:line="360" w:lineRule="auto"/>
        <w:jc w:val="both"/>
        <w:rPr>
          <w:rFonts w:ascii="Verdana" w:hAnsi="Verdana" w:eastAsia="Verdana" w:cs="Verdana"/>
          <w:color w:val="000000" w:themeColor="text1"/>
          <w:sz w:val="24"/>
          <w:szCs w:val="24"/>
        </w:rPr>
      </w:pPr>
    </w:p>
    <w:p w:rsidRPr="00C87383" w:rsidR="72B1A4E0" w:rsidP="006A0A13" w:rsidRDefault="72B1A4E0" w14:paraId="089FC922" w14:textId="77777777">
      <w:pPr>
        <w:spacing w:after="0" w:line="360" w:lineRule="auto"/>
        <w:jc w:val="both"/>
        <w:rPr>
          <w:rFonts w:ascii="Verdana" w:hAnsi="Verdana" w:eastAsia="Verdana" w:cs="Verdana"/>
          <w:color w:val="000000" w:themeColor="text1"/>
          <w:sz w:val="24"/>
          <w:szCs w:val="24"/>
        </w:rPr>
      </w:pPr>
      <w:r w:rsidRPr="00C87383">
        <w:rPr>
          <w:rFonts w:ascii="Verdana" w:hAnsi="Verdana" w:eastAsia="Verdana" w:cs="Verdana"/>
          <w:color w:val="000000" w:themeColor="text1"/>
          <w:sz w:val="24"/>
          <w:szCs w:val="24"/>
        </w:rPr>
        <w:t>Los planes asociados a la gestión del talento humano, tecnologías de la información, transparencia, gestión documental, participación ciudadana y seguridad de la información presentaron, en general, niveles de cumplimiento superiores al 85%, con resultados destacados en:</w:t>
      </w:r>
    </w:p>
    <w:p w:rsidRPr="00270ABD" w:rsidR="72B1A4E0" w:rsidRDefault="72B1A4E0" w14:paraId="74F3E49B" w14:textId="77777777">
      <w:pPr>
        <w:pStyle w:val="Prrafodelista"/>
        <w:numPr>
          <w:ilvl w:val="0"/>
          <w:numId w:val="52"/>
        </w:numPr>
        <w:spacing w:after="0" w:line="360" w:lineRule="auto"/>
        <w:ind w:hanging="294"/>
        <w:jc w:val="both"/>
        <w:rPr>
          <w:rFonts w:ascii="Verdana" w:hAnsi="Verdana" w:eastAsia="Verdana" w:cs="Verdana"/>
          <w:color w:val="000000" w:themeColor="text1"/>
          <w:sz w:val="24"/>
          <w:szCs w:val="24"/>
        </w:rPr>
      </w:pPr>
      <w:r w:rsidRPr="00C87383">
        <w:rPr>
          <w:rFonts w:ascii="Verdana" w:hAnsi="Verdana" w:eastAsia="Verdana" w:cs="Verdana"/>
          <w:color w:val="000000" w:themeColor="text1"/>
          <w:sz w:val="24"/>
          <w:szCs w:val="24"/>
        </w:rPr>
        <w:t>Implementación de estrategias</w:t>
      </w:r>
      <w:r w:rsidRPr="00270ABD">
        <w:rPr>
          <w:rFonts w:ascii="Verdana" w:hAnsi="Verdana" w:eastAsia="Verdana" w:cs="Verdana"/>
          <w:color w:val="000000" w:themeColor="text1"/>
          <w:sz w:val="24"/>
          <w:szCs w:val="24"/>
        </w:rPr>
        <w:t xml:space="preserve"> de bienestar, capacitación y fortalecimiento de competencias del talento humano.</w:t>
      </w:r>
    </w:p>
    <w:p w:rsidRPr="00270ABD" w:rsidR="72B1A4E0" w:rsidRDefault="72B1A4E0" w14:paraId="4B96048C" w14:textId="77777777">
      <w:pPr>
        <w:pStyle w:val="Prrafodelista"/>
        <w:numPr>
          <w:ilvl w:val="0"/>
          <w:numId w:val="52"/>
        </w:numPr>
        <w:spacing w:after="0" w:line="360" w:lineRule="auto"/>
        <w:jc w:val="both"/>
        <w:rPr>
          <w:rFonts w:ascii="Verdana" w:hAnsi="Verdana" w:eastAsia="Verdana" w:cs="Verdana"/>
          <w:color w:val="000000" w:themeColor="text1"/>
          <w:sz w:val="24"/>
          <w:szCs w:val="24"/>
        </w:rPr>
      </w:pPr>
      <w:r w:rsidRPr="00270ABD">
        <w:rPr>
          <w:rFonts w:ascii="Verdana" w:hAnsi="Verdana" w:eastAsia="Verdana" w:cs="Verdana"/>
          <w:color w:val="000000" w:themeColor="text1"/>
          <w:sz w:val="24"/>
          <w:szCs w:val="24"/>
        </w:rPr>
        <w:t>Avances en transformación digital, interoperabilidad y uso de herramientas analíticas para la gestión institucional.</w:t>
      </w:r>
    </w:p>
    <w:p w:rsidRPr="00270ABD" w:rsidR="72B1A4E0" w:rsidRDefault="72B1A4E0" w14:paraId="55393A9C" w14:textId="77777777">
      <w:pPr>
        <w:pStyle w:val="Prrafodelista"/>
        <w:numPr>
          <w:ilvl w:val="0"/>
          <w:numId w:val="52"/>
        </w:numPr>
        <w:spacing w:after="0" w:line="360" w:lineRule="auto"/>
        <w:jc w:val="both"/>
        <w:rPr>
          <w:rFonts w:ascii="Verdana" w:hAnsi="Verdana" w:eastAsia="Verdana" w:cs="Verdana"/>
          <w:color w:val="000000" w:themeColor="text1"/>
          <w:sz w:val="24"/>
          <w:szCs w:val="24"/>
        </w:rPr>
      </w:pPr>
      <w:r w:rsidRPr="00270ABD">
        <w:rPr>
          <w:rFonts w:ascii="Verdana" w:hAnsi="Verdana" w:eastAsia="Verdana" w:cs="Verdana"/>
          <w:color w:val="000000" w:themeColor="text1"/>
          <w:sz w:val="24"/>
          <w:szCs w:val="24"/>
        </w:rPr>
        <w:t>Consolidación de mecanismos de transparencia, acceso a la información y atención al ciudadano.</w:t>
      </w:r>
    </w:p>
    <w:p w:rsidRPr="00270ABD" w:rsidR="72B1A4E0" w:rsidRDefault="72B1A4E0" w14:paraId="0F8A6504" w14:textId="77777777">
      <w:pPr>
        <w:pStyle w:val="Prrafodelista"/>
        <w:numPr>
          <w:ilvl w:val="0"/>
          <w:numId w:val="52"/>
        </w:numPr>
        <w:spacing w:after="0" w:line="360" w:lineRule="auto"/>
        <w:jc w:val="both"/>
        <w:rPr>
          <w:rFonts w:ascii="Verdana" w:hAnsi="Verdana" w:eastAsia="Verdana" w:cs="Verdana"/>
          <w:color w:val="000000" w:themeColor="text1"/>
          <w:sz w:val="24"/>
          <w:szCs w:val="24"/>
        </w:rPr>
      </w:pPr>
      <w:r w:rsidRPr="00270ABD">
        <w:rPr>
          <w:rFonts w:ascii="Verdana" w:hAnsi="Verdana" w:eastAsia="Verdana" w:cs="Verdana"/>
          <w:color w:val="000000" w:themeColor="text1"/>
          <w:sz w:val="24"/>
          <w:szCs w:val="24"/>
        </w:rPr>
        <w:t>Fortalecimiento del sistema de gestión documental y de la gestión del conocimiento institucional.</w:t>
      </w:r>
    </w:p>
    <w:p w:rsidRPr="00270ABD" w:rsidR="72B1A4E0" w:rsidRDefault="72B1A4E0" w14:paraId="4B5204F9" w14:textId="77777777">
      <w:pPr>
        <w:pStyle w:val="Prrafodelista"/>
        <w:numPr>
          <w:ilvl w:val="0"/>
          <w:numId w:val="52"/>
        </w:numPr>
        <w:spacing w:after="0" w:line="360" w:lineRule="auto"/>
        <w:jc w:val="both"/>
        <w:rPr>
          <w:rFonts w:ascii="Verdana" w:hAnsi="Verdana" w:eastAsia="Verdana" w:cs="Verdana"/>
          <w:color w:val="000000" w:themeColor="text1"/>
          <w:sz w:val="24"/>
          <w:szCs w:val="24"/>
        </w:rPr>
      </w:pPr>
      <w:r w:rsidRPr="00270ABD">
        <w:rPr>
          <w:rFonts w:ascii="Verdana" w:hAnsi="Verdana" w:eastAsia="Verdana" w:cs="Verdana"/>
          <w:color w:val="000000" w:themeColor="text1"/>
          <w:sz w:val="24"/>
          <w:szCs w:val="24"/>
        </w:rPr>
        <w:t>Implementación de modelos de seguridad y privacidad de la información y gestión de riesgos.</w:t>
      </w:r>
    </w:p>
    <w:p w:rsidR="00C87383" w:rsidP="006A0A13" w:rsidRDefault="00C87383" w14:paraId="249598FA" w14:textId="77777777">
      <w:pPr>
        <w:spacing w:after="0" w:line="360" w:lineRule="auto"/>
        <w:jc w:val="both"/>
        <w:rPr>
          <w:rFonts w:ascii="Verdana" w:hAnsi="Verdana" w:eastAsia="Verdana" w:cs="Verdana"/>
          <w:color w:val="000000" w:themeColor="text1"/>
          <w:sz w:val="24"/>
          <w:szCs w:val="24"/>
        </w:rPr>
      </w:pPr>
    </w:p>
    <w:p w:rsidRPr="00C87383" w:rsidR="72B1A4E0" w:rsidP="006A0A13" w:rsidRDefault="72B1A4E0" w14:paraId="1A1A8477" w14:textId="77777777">
      <w:pPr>
        <w:spacing w:after="0" w:line="360" w:lineRule="auto"/>
        <w:jc w:val="both"/>
        <w:rPr>
          <w:rFonts w:ascii="Verdana" w:hAnsi="Verdana" w:eastAsia="Verdana" w:cs="Verdana"/>
          <w:color w:val="000000" w:themeColor="text1"/>
          <w:sz w:val="24"/>
          <w:szCs w:val="24"/>
        </w:rPr>
      </w:pPr>
      <w:r w:rsidRPr="00C87383">
        <w:rPr>
          <w:rFonts w:ascii="Verdana" w:hAnsi="Verdana" w:eastAsia="Verdana" w:cs="Verdana"/>
          <w:color w:val="000000" w:themeColor="text1"/>
          <w:sz w:val="24"/>
          <w:szCs w:val="24"/>
        </w:rPr>
        <w:t>En el cierre del cuatrienio, los planes institucionales se encuentran en estado de cumplimiento y consolidación, con avances significativos en su implementación y con capacidades instaladas que garantizan su sostenibilidad.</w:t>
      </w:r>
    </w:p>
    <w:p w:rsidR="00C87383" w:rsidP="006A0A13" w:rsidRDefault="00C87383" w14:paraId="06589450" w14:textId="77777777">
      <w:pPr>
        <w:spacing w:after="0" w:line="360" w:lineRule="auto"/>
        <w:jc w:val="both"/>
        <w:rPr>
          <w:rFonts w:ascii="Verdana" w:hAnsi="Verdana" w:eastAsia="Verdana" w:cs="Verdana"/>
          <w:color w:val="000000" w:themeColor="text1"/>
          <w:sz w:val="24"/>
          <w:szCs w:val="24"/>
        </w:rPr>
      </w:pPr>
    </w:p>
    <w:p w:rsidR="72B1A4E0" w:rsidP="006A0A13" w:rsidRDefault="72B1A4E0" w14:paraId="0F3E74B1" w14:textId="77777777">
      <w:pPr>
        <w:spacing w:after="0" w:line="360" w:lineRule="auto"/>
        <w:jc w:val="both"/>
        <w:rPr>
          <w:rFonts w:ascii="Verdana" w:hAnsi="Verdana" w:eastAsia="Verdana" w:cs="Verdana"/>
          <w:color w:val="000000" w:themeColor="text1"/>
          <w:sz w:val="24"/>
          <w:szCs w:val="24"/>
        </w:rPr>
      </w:pPr>
      <w:r w:rsidRPr="00C87383">
        <w:rPr>
          <w:rFonts w:ascii="Verdana" w:hAnsi="Verdana" w:eastAsia="Verdana" w:cs="Verdana"/>
          <w:color w:val="000000" w:themeColor="text1"/>
          <w:sz w:val="24"/>
          <w:szCs w:val="24"/>
        </w:rPr>
        <w:t>No obstante, se identifican oportunidades de mejora relacionadas con la articulación entre planes, la medición de impactos en los grupos de valor y la alineación con resultados misionales.</w:t>
      </w:r>
    </w:p>
    <w:p w:rsidRPr="00C87383" w:rsidR="00C87383" w:rsidP="006A0A13" w:rsidRDefault="00C87383" w14:paraId="6A0F638B" w14:textId="77777777">
      <w:pPr>
        <w:spacing w:after="0" w:line="360" w:lineRule="auto"/>
        <w:jc w:val="both"/>
        <w:rPr>
          <w:rFonts w:ascii="Verdana" w:hAnsi="Verdana" w:eastAsia="Verdana" w:cs="Verdana"/>
          <w:color w:val="000000" w:themeColor="text1"/>
          <w:sz w:val="24"/>
          <w:szCs w:val="24"/>
        </w:rPr>
      </w:pPr>
    </w:p>
    <w:p w:rsidRPr="00C87383" w:rsidR="72B1A4E0" w:rsidRDefault="72B1A4E0" w14:paraId="6B6AC301" w14:textId="77777777">
      <w:pPr>
        <w:pStyle w:val="Prrafodelista"/>
        <w:keepNext/>
        <w:keepLines/>
        <w:numPr>
          <w:ilvl w:val="3"/>
          <w:numId w:val="42"/>
        </w:numPr>
        <w:spacing w:after="0" w:line="360" w:lineRule="auto"/>
        <w:jc w:val="both"/>
        <w:rPr>
          <w:rFonts w:ascii="Verdana" w:hAnsi="Verdana" w:eastAsiaTheme="majorEastAsia" w:cstheme="majorBidi"/>
          <w:b/>
          <w:bCs/>
          <w:sz w:val="24"/>
          <w:szCs w:val="24"/>
        </w:rPr>
      </w:pPr>
      <w:r w:rsidRPr="00C87383">
        <w:rPr>
          <w:rFonts w:ascii="Verdana" w:hAnsi="Verdana" w:eastAsiaTheme="majorEastAsia" w:cstheme="majorBidi"/>
          <w:b/>
          <w:bCs/>
          <w:sz w:val="24"/>
          <w:szCs w:val="24"/>
        </w:rPr>
        <w:t>Balance General</w:t>
      </w:r>
    </w:p>
    <w:p w:rsidRPr="00270ABD" w:rsidR="4B50F055" w:rsidP="006A0A13" w:rsidRDefault="4B50F055" w14:paraId="79C7F2B3" w14:textId="77777777">
      <w:pPr>
        <w:spacing w:after="0" w:line="360" w:lineRule="auto"/>
        <w:rPr>
          <w:rFonts w:ascii="Verdana" w:hAnsi="Verdana" w:eastAsiaTheme="majorEastAsia" w:cstheme="majorBidi"/>
          <w:b/>
          <w:bCs/>
          <w:sz w:val="24"/>
          <w:szCs w:val="24"/>
        </w:rPr>
      </w:pPr>
    </w:p>
    <w:p w:rsidR="72B1A4E0" w:rsidP="006A0A13" w:rsidRDefault="72B1A4E0" w14:paraId="06B6A841" w14:textId="77777777">
      <w:pPr>
        <w:spacing w:after="0" w:line="360" w:lineRule="auto"/>
        <w:jc w:val="both"/>
        <w:rPr>
          <w:rFonts w:ascii="Verdana" w:hAnsi="Verdana" w:eastAsia="Verdana" w:cs="Verdana"/>
          <w:color w:val="000000" w:themeColor="text1"/>
          <w:sz w:val="24"/>
          <w:szCs w:val="24"/>
        </w:rPr>
      </w:pPr>
      <w:r w:rsidRPr="00C87383">
        <w:rPr>
          <w:rFonts w:ascii="Verdana" w:hAnsi="Verdana" w:eastAsia="Verdana" w:cs="Verdana"/>
          <w:color w:val="000000" w:themeColor="text1"/>
          <w:sz w:val="24"/>
          <w:szCs w:val="24"/>
        </w:rPr>
        <w:t>El balance del Plan de Acción Institucional y de los planes institucionales en el periodo 2022 – marzo 2026 evidencia un sistema de planeación robusto, consolidado y con resultados sostenidos en el tiempo, que ha permitido al Ministerio cumplir con sus objetivos estratégicos y fortalecer su capacidad institucional.</w:t>
      </w:r>
    </w:p>
    <w:p w:rsidRPr="00C87383" w:rsidR="00C87383" w:rsidP="006A0A13" w:rsidRDefault="00C87383" w14:paraId="28617665" w14:textId="77777777">
      <w:pPr>
        <w:spacing w:after="0" w:line="360" w:lineRule="auto"/>
        <w:jc w:val="both"/>
        <w:rPr>
          <w:rFonts w:ascii="Verdana" w:hAnsi="Verdana" w:eastAsia="Verdana" w:cs="Verdana"/>
          <w:color w:val="000000" w:themeColor="text1"/>
          <w:sz w:val="24"/>
          <w:szCs w:val="24"/>
        </w:rPr>
      </w:pPr>
    </w:p>
    <w:p w:rsidRPr="00C87383" w:rsidR="72B1A4E0" w:rsidP="006A0A13" w:rsidRDefault="72B1A4E0" w14:paraId="3E07BDAF" w14:textId="77777777">
      <w:pPr>
        <w:spacing w:after="0" w:line="360" w:lineRule="auto"/>
        <w:jc w:val="both"/>
        <w:rPr>
          <w:rFonts w:ascii="Verdana" w:hAnsi="Verdana" w:eastAsia="Verdana" w:cs="Verdana"/>
          <w:color w:val="000000" w:themeColor="text1"/>
          <w:sz w:val="24"/>
          <w:szCs w:val="24"/>
        </w:rPr>
      </w:pPr>
      <w:r w:rsidRPr="00C87383">
        <w:rPr>
          <w:rFonts w:ascii="Verdana" w:hAnsi="Verdana" w:eastAsia="Verdana" w:cs="Verdana"/>
          <w:color w:val="000000" w:themeColor="text1"/>
          <w:sz w:val="24"/>
          <w:szCs w:val="24"/>
        </w:rPr>
        <w:t>En este sentido, el cuatrienio se caracteriza por:</w:t>
      </w:r>
    </w:p>
    <w:p w:rsidRPr="00C87383" w:rsidR="72B1A4E0" w:rsidRDefault="72B1A4E0" w14:paraId="4A04B6DE" w14:textId="77777777">
      <w:pPr>
        <w:pStyle w:val="Prrafodelista"/>
        <w:numPr>
          <w:ilvl w:val="0"/>
          <w:numId w:val="51"/>
        </w:numPr>
        <w:spacing w:after="0" w:line="360" w:lineRule="auto"/>
        <w:ind w:hanging="294"/>
        <w:jc w:val="both"/>
        <w:rPr>
          <w:rFonts w:ascii="Verdana" w:hAnsi="Verdana" w:eastAsia="Verdana" w:cs="Verdana"/>
          <w:color w:val="000000" w:themeColor="text1"/>
          <w:sz w:val="24"/>
          <w:szCs w:val="24"/>
        </w:rPr>
      </w:pPr>
      <w:r w:rsidRPr="00C87383">
        <w:rPr>
          <w:rFonts w:ascii="Verdana" w:hAnsi="Verdana" w:eastAsia="Verdana" w:cs="Verdana"/>
          <w:color w:val="000000" w:themeColor="text1"/>
          <w:sz w:val="24"/>
          <w:szCs w:val="24"/>
        </w:rPr>
        <w:t>Alta ejecución institucional sostenida, con niveles de cumplimiento cercanos al 90%.</w:t>
      </w:r>
    </w:p>
    <w:p w:rsidRPr="00C87383" w:rsidR="72B1A4E0" w:rsidRDefault="72B1A4E0" w14:paraId="31E849C0" w14:textId="77777777">
      <w:pPr>
        <w:pStyle w:val="Prrafodelista"/>
        <w:numPr>
          <w:ilvl w:val="0"/>
          <w:numId w:val="51"/>
        </w:numPr>
        <w:spacing w:after="0" w:line="360" w:lineRule="auto"/>
        <w:jc w:val="both"/>
        <w:rPr>
          <w:rFonts w:ascii="Verdana" w:hAnsi="Verdana" w:eastAsia="Verdana" w:cs="Verdana"/>
          <w:color w:val="000000" w:themeColor="text1"/>
          <w:sz w:val="24"/>
          <w:szCs w:val="24"/>
        </w:rPr>
      </w:pPr>
      <w:r w:rsidRPr="00C87383">
        <w:rPr>
          <w:rFonts w:ascii="Verdana" w:hAnsi="Verdana" w:eastAsia="Verdana" w:cs="Verdana"/>
          <w:color w:val="000000" w:themeColor="text1"/>
          <w:sz w:val="24"/>
          <w:szCs w:val="24"/>
        </w:rPr>
        <w:t>Fortalecimiento del direccionamiento estratégico y del sistema de seguimiento, basado en indicadores y gestión por resultados.</w:t>
      </w:r>
    </w:p>
    <w:p w:rsidRPr="00C87383" w:rsidR="72B1A4E0" w:rsidRDefault="72B1A4E0" w14:paraId="37622231" w14:textId="77777777">
      <w:pPr>
        <w:pStyle w:val="Prrafodelista"/>
        <w:numPr>
          <w:ilvl w:val="0"/>
          <w:numId w:val="51"/>
        </w:numPr>
        <w:spacing w:after="0" w:line="360" w:lineRule="auto"/>
        <w:jc w:val="both"/>
        <w:rPr>
          <w:rFonts w:ascii="Verdana" w:hAnsi="Verdana" w:eastAsia="Verdana" w:cs="Verdana"/>
          <w:color w:val="000000" w:themeColor="text1"/>
          <w:sz w:val="24"/>
          <w:szCs w:val="24"/>
        </w:rPr>
      </w:pPr>
      <w:r w:rsidRPr="00C87383">
        <w:rPr>
          <w:rFonts w:ascii="Verdana" w:hAnsi="Verdana" w:eastAsia="Verdana" w:cs="Verdana"/>
          <w:color w:val="000000" w:themeColor="text1"/>
          <w:sz w:val="24"/>
          <w:szCs w:val="24"/>
        </w:rPr>
        <w:t>Consolidación de capacidades institucionales en materia administrativa, tecnológica y de gestión del conocimiento.</w:t>
      </w:r>
    </w:p>
    <w:p w:rsidRPr="00C87383" w:rsidR="72B1A4E0" w:rsidRDefault="72B1A4E0" w14:paraId="4AC68AAA" w14:textId="77777777">
      <w:pPr>
        <w:pStyle w:val="Prrafodelista"/>
        <w:numPr>
          <w:ilvl w:val="0"/>
          <w:numId w:val="51"/>
        </w:numPr>
        <w:spacing w:after="0" w:line="360" w:lineRule="auto"/>
        <w:jc w:val="both"/>
        <w:rPr>
          <w:rFonts w:ascii="Verdana" w:hAnsi="Verdana" w:eastAsia="Verdana" w:cs="Verdana"/>
          <w:color w:val="000000" w:themeColor="text1"/>
          <w:sz w:val="24"/>
          <w:szCs w:val="24"/>
        </w:rPr>
      </w:pPr>
      <w:r w:rsidRPr="00C87383">
        <w:rPr>
          <w:rFonts w:ascii="Verdana" w:hAnsi="Verdana" w:eastAsia="Verdana" w:cs="Verdana"/>
          <w:color w:val="000000" w:themeColor="text1"/>
          <w:sz w:val="24"/>
          <w:szCs w:val="24"/>
        </w:rPr>
        <w:t>Identificación de retos estructurales en la ejecución misional, que orientan las oportunidades de mejora para futuros periodos.</w:t>
      </w:r>
    </w:p>
    <w:p w:rsidR="00C87383" w:rsidP="006A0A13" w:rsidRDefault="00C87383" w14:paraId="3DC285EF" w14:textId="77777777">
      <w:pPr>
        <w:spacing w:after="0" w:line="360" w:lineRule="auto"/>
        <w:jc w:val="both"/>
        <w:rPr>
          <w:rFonts w:ascii="Verdana" w:hAnsi="Verdana" w:eastAsia="Verdana" w:cs="Verdana"/>
          <w:color w:val="000000" w:themeColor="text1"/>
          <w:sz w:val="24"/>
          <w:szCs w:val="24"/>
        </w:rPr>
      </w:pPr>
    </w:p>
    <w:p w:rsidR="72B1A4E0" w:rsidP="006A0A13" w:rsidRDefault="72B1A4E0" w14:paraId="6A98E40F" w14:textId="77777777">
      <w:pPr>
        <w:spacing w:after="0" w:line="360" w:lineRule="auto"/>
        <w:jc w:val="both"/>
        <w:rPr>
          <w:rFonts w:ascii="Verdana" w:hAnsi="Verdana" w:eastAsia="Verdana" w:cs="Verdana"/>
          <w:color w:val="000000" w:themeColor="text1"/>
          <w:sz w:val="24"/>
          <w:szCs w:val="24"/>
        </w:rPr>
      </w:pPr>
      <w:r w:rsidRPr="00C87383">
        <w:rPr>
          <w:rFonts w:ascii="Verdana" w:hAnsi="Verdana" w:eastAsia="Verdana" w:cs="Verdana"/>
          <w:color w:val="000000" w:themeColor="text1"/>
          <w:sz w:val="24"/>
          <w:szCs w:val="24"/>
        </w:rPr>
        <w:t>En conjunto, estos resultados reflejan un desempeño institucional sólido y una adecuada articulación entre la planeación estratégica y su ejecución operativa, contribuyendo al cumplimiento de los objetivos del sector minero-energético y a la generación de valor público.</w:t>
      </w:r>
    </w:p>
    <w:p w:rsidRPr="00C87383" w:rsidR="00C87383" w:rsidP="006A0A13" w:rsidRDefault="00C87383" w14:paraId="0672032C" w14:textId="77777777">
      <w:pPr>
        <w:spacing w:after="0" w:line="360" w:lineRule="auto"/>
        <w:jc w:val="both"/>
        <w:rPr>
          <w:rFonts w:ascii="Verdana" w:hAnsi="Verdana" w:eastAsia="Verdana" w:cs="Verdana"/>
          <w:color w:val="000000" w:themeColor="text1"/>
          <w:sz w:val="24"/>
          <w:szCs w:val="24"/>
        </w:rPr>
      </w:pPr>
    </w:p>
    <w:p w:rsidRPr="00C87383" w:rsidR="00C87383" w:rsidRDefault="72B1A4E0" w14:paraId="5EF05BCA" w14:textId="77777777">
      <w:pPr>
        <w:pStyle w:val="Prrafodelista"/>
        <w:keepNext/>
        <w:keepLines/>
        <w:numPr>
          <w:ilvl w:val="2"/>
          <w:numId w:val="42"/>
        </w:numPr>
        <w:spacing w:after="0" w:line="360" w:lineRule="auto"/>
        <w:jc w:val="both"/>
        <w:rPr>
          <w:rFonts w:ascii="Verdana" w:hAnsi="Verdana" w:eastAsiaTheme="majorEastAsia" w:cstheme="majorBidi"/>
          <w:b/>
          <w:bCs/>
          <w:sz w:val="24"/>
          <w:szCs w:val="24"/>
        </w:rPr>
      </w:pPr>
      <w:r w:rsidRPr="00C87383">
        <w:rPr>
          <w:rFonts w:ascii="Verdana" w:hAnsi="Verdana" w:eastAsiaTheme="majorEastAsia" w:cstheme="majorBidi"/>
          <w:b/>
          <w:bCs/>
          <w:sz w:val="24"/>
          <w:szCs w:val="24"/>
        </w:rPr>
        <w:t>Planes Institucionales</w:t>
      </w:r>
    </w:p>
    <w:p w:rsidRPr="00270ABD" w:rsidR="4B50F055" w:rsidP="006A0A13" w:rsidRDefault="4B50F055" w14:paraId="45FE460D" w14:textId="77777777">
      <w:pPr>
        <w:keepNext/>
        <w:keepLines/>
        <w:spacing w:after="0" w:line="360" w:lineRule="auto"/>
        <w:jc w:val="both"/>
        <w:rPr>
          <w:rFonts w:ascii="Verdana" w:hAnsi="Verdana" w:eastAsiaTheme="majorEastAsia" w:cstheme="majorBidi"/>
          <w:b/>
          <w:bCs/>
          <w:sz w:val="24"/>
          <w:szCs w:val="24"/>
        </w:rPr>
      </w:pPr>
    </w:p>
    <w:p w:rsidRPr="00270ABD" w:rsidR="72B1A4E0" w:rsidP="006A0A13" w:rsidRDefault="72B1A4E0" w14:paraId="46D22941" w14:textId="306D25F9">
      <w:pPr>
        <w:spacing w:after="0" w:line="360" w:lineRule="auto"/>
        <w:jc w:val="both"/>
        <w:rPr>
          <w:rFonts w:ascii="Verdana" w:hAnsi="Verdana" w:eastAsia="Verdana" w:cs="Verdana"/>
          <w:color w:val="000000" w:themeColor="text1"/>
          <w:sz w:val="24"/>
          <w:szCs w:val="24"/>
        </w:rPr>
      </w:pPr>
      <w:r w:rsidRPr="30CF4445" w:rsidR="1F516666">
        <w:rPr>
          <w:rFonts w:ascii="Verdana" w:hAnsi="Verdana" w:eastAsia="Verdana" w:cs="Verdana"/>
          <w:color w:val="000000" w:themeColor="text1" w:themeTint="FF" w:themeShade="FF"/>
          <w:sz w:val="24"/>
          <w:szCs w:val="24"/>
        </w:rPr>
        <w:t>Durante el periodo 2022–2026, el Ministerio de Minas y Energía fortaleció su proceso de planeación institucional a través de un conjunto de planes estratégicos, operativos, de apoyo y de mejoramiento, articulados con el Modelo Integrado de Planeación y Gestión – MIPG, el Plan Nacional de Desarrollo y los objetivos institucionales. En este marco, el Plan de Acción Institucional se consolidó como el principal instrumento de ejecución y seguimiento, registrando niveles de cumplimiento favorables en los últimos años: 94,3% en 2022, 89,5% en 2023, 90,0% en 2024 y 90,1% en 2025, lo que evidencia una capacidad sostenida de ejecución institucional.</w:t>
      </w:r>
    </w:p>
    <w:p w:rsidR="00C87383" w:rsidP="006A0A13" w:rsidRDefault="00C87383" w14:paraId="078575DD" w14:textId="77777777">
      <w:pPr>
        <w:keepNext/>
        <w:keepLines/>
        <w:spacing w:after="0" w:line="360" w:lineRule="auto"/>
        <w:jc w:val="both"/>
        <w:rPr>
          <w:rFonts w:ascii="Verdana" w:hAnsi="Verdana" w:eastAsia="Verdana" w:cs="Verdana"/>
          <w:color w:val="000000" w:themeColor="text1"/>
          <w:sz w:val="24"/>
          <w:szCs w:val="24"/>
        </w:rPr>
      </w:pPr>
    </w:p>
    <w:p w:rsidRPr="00270ABD" w:rsidR="72B1A4E0" w:rsidP="006A0A13" w:rsidRDefault="72B1A4E0" w14:paraId="26074B32" w14:textId="77777777">
      <w:pPr>
        <w:keepNext/>
        <w:keepLines/>
        <w:spacing w:after="0" w:line="360" w:lineRule="auto"/>
        <w:jc w:val="both"/>
        <w:rPr>
          <w:rFonts w:ascii="Verdana" w:hAnsi="Verdana"/>
          <w:sz w:val="24"/>
          <w:szCs w:val="24"/>
        </w:rPr>
      </w:pPr>
      <w:r w:rsidRPr="00270ABD">
        <w:rPr>
          <w:rFonts w:ascii="Verdana" w:hAnsi="Verdana" w:eastAsia="Verdana" w:cs="Verdana"/>
          <w:color w:val="000000" w:themeColor="text1"/>
          <w:sz w:val="24"/>
          <w:szCs w:val="24"/>
        </w:rPr>
        <w:t>De manera complementaria, la entidad avanzó en la consolidación de planes asociados a talento humano, vacantes y previsión, capacitación, bienestar laboral, seguridad y salud en el trabajo, transformación digital, seguridad de la información, participación ciudadana, transparencia y adquisiciones, configurando una arquitectura de planeación que no solo responde a exigencias normativas, sino que también orienta la gestión hacia resultados, fortalecimiento institucional, integridad pública y generación de valor. En términos generales, puede afirmarse que el Ministerio cuenta con una planeación institucional estructurada, progresivamente articulada y en fase de consolidación estratégica.</w:t>
      </w:r>
    </w:p>
    <w:p w:rsidRPr="00270ABD" w:rsidR="4B50F055" w:rsidP="006A0A13" w:rsidRDefault="4B50F055" w14:paraId="00DC8194" w14:textId="77777777">
      <w:pPr>
        <w:spacing w:after="0" w:line="360" w:lineRule="auto"/>
        <w:jc w:val="both"/>
        <w:rPr>
          <w:rFonts w:ascii="Verdana" w:hAnsi="Verdana" w:eastAsia="Verdana" w:cs="Verdana"/>
          <w:color w:val="000000" w:themeColor="text1"/>
          <w:sz w:val="24"/>
          <w:szCs w:val="24"/>
        </w:rPr>
      </w:pPr>
    </w:p>
    <w:p w:rsidR="72B1A4E0" w:rsidRDefault="72B1A4E0" w14:paraId="2663B806" w14:textId="77777777">
      <w:pPr>
        <w:pStyle w:val="Prrafodelista"/>
        <w:keepNext/>
        <w:keepLines/>
        <w:numPr>
          <w:ilvl w:val="3"/>
          <w:numId w:val="42"/>
        </w:numPr>
        <w:spacing w:after="0" w:line="360" w:lineRule="auto"/>
        <w:jc w:val="both"/>
        <w:rPr>
          <w:rFonts w:ascii="Verdana" w:hAnsi="Verdana" w:eastAsiaTheme="majorEastAsia" w:cstheme="majorBidi"/>
          <w:b/>
          <w:bCs/>
          <w:sz w:val="24"/>
          <w:szCs w:val="24"/>
        </w:rPr>
      </w:pPr>
      <w:r w:rsidRPr="00C87383">
        <w:rPr>
          <w:rFonts w:ascii="Verdana" w:hAnsi="Verdana" w:eastAsiaTheme="majorEastAsia" w:cstheme="majorBidi"/>
          <w:b/>
          <w:bCs/>
          <w:sz w:val="24"/>
          <w:szCs w:val="24"/>
        </w:rPr>
        <w:t>Plan Estratégico de Talento Humano – PETH</w:t>
      </w:r>
    </w:p>
    <w:p w:rsidRPr="00C87383" w:rsidR="00C87383" w:rsidP="006A0A13" w:rsidRDefault="00C87383" w14:paraId="5A978CEE" w14:textId="77777777">
      <w:pPr>
        <w:pStyle w:val="Prrafodelista"/>
        <w:keepNext/>
        <w:keepLines/>
        <w:spacing w:after="0" w:line="360" w:lineRule="auto"/>
        <w:ind w:left="1440"/>
        <w:jc w:val="both"/>
        <w:rPr>
          <w:rFonts w:ascii="Verdana" w:hAnsi="Verdana" w:eastAsiaTheme="majorEastAsia" w:cstheme="majorBidi"/>
          <w:b/>
          <w:bCs/>
          <w:sz w:val="24"/>
          <w:szCs w:val="24"/>
        </w:rPr>
      </w:pPr>
    </w:p>
    <w:p w:rsidR="72B1A4E0" w:rsidP="006A0A13" w:rsidRDefault="72B1A4E0" w14:paraId="03066822" w14:textId="77777777">
      <w:pPr>
        <w:spacing w:after="0" w:line="360" w:lineRule="auto"/>
        <w:jc w:val="both"/>
        <w:rPr>
          <w:rFonts w:ascii="Verdana" w:hAnsi="Verdana" w:eastAsia="Verdana" w:cs="Verdana"/>
          <w:color w:val="000000" w:themeColor="text1"/>
          <w:sz w:val="24"/>
          <w:szCs w:val="24"/>
        </w:rPr>
      </w:pPr>
      <w:r w:rsidRPr="00270ABD">
        <w:rPr>
          <w:rFonts w:ascii="Verdana" w:hAnsi="Verdana" w:eastAsia="Verdana" w:cs="Verdana"/>
          <w:color w:val="000000" w:themeColor="text1"/>
          <w:sz w:val="24"/>
          <w:szCs w:val="24"/>
        </w:rPr>
        <w:t>El Plan Estratégico de Talento Humano constituye uno de los instrumentos más estructurados del conjunto de planes institucionales. Tanto en 2025 como en 2026, el PETH se formuló como eje articulador de la gestión del talento humano a lo largo del ciclo de vida del servidor público, integrando ingreso, permanencia, retiro, bienestar, capacitación, seguridad y salud en el trabajo, gestión del conocimiento e innovación. Este enfoque evidencia una comprensión integral del talento humano como activo estratégico de la entidad y como soporte esencial del cumplimiento misional.</w:t>
      </w:r>
    </w:p>
    <w:p w:rsidRPr="00270ABD" w:rsidR="00C87383" w:rsidP="006A0A13" w:rsidRDefault="00C87383" w14:paraId="27D59E18" w14:textId="77777777">
      <w:pPr>
        <w:spacing w:after="0" w:line="360" w:lineRule="auto"/>
        <w:jc w:val="both"/>
        <w:rPr>
          <w:rFonts w:ascii="Verdana" w:hAnsi="Verdana" w:eastAsia="Verdana" w:cs="Verdana"/>
          <w:color w:val="000000" w:themeColor="text1"/>
          <w:sz w:val="24"/>
          <w:szCs w:val="24"/>
        </w:rPr>
      </w:pPr>
    </w:p>
    <w:p w:rsidRPr="00270ABD" w:rsidR="72B1A4E0" w:rsidP="006A0A13" w:rsidRDefault="72B1A4E0" w14:paraId="491ECBF9" w14:textId="77777777">
      <w:pPr>
        <w:spacing w:after="0" w:line="360" w:lineRule="auto"/>
        <w:jc w:val="both"/>
        <w:rPr>
          <w:rFonts w:ascii="Verdana" w:hAnsi="Verdana" w:eastAsia="Verdana" w:cs="Verdana"/>
          <w:color w:val="000000" w:themeColor="text1"/>
          <w:sz w:val="24"/>
          <w:szCs w:val="24"/>
        </w:rPr>
      </w:pPr>
      <w:r w:rsidRPr="00270ABD">
        <w:rPr>
          <w:rFonts w:ascii="Verdana" w:hAnsi="Verdana" w:eastAsia="Verdana" w:cs="Verdana"/>
          <w:color w:val="000000" w:themeColor="text1"/>
          <w:sz w:val="24"/>
          <w:szCs w:val="24"/>
        </w:rPr>
        <w:t xml:space="preserve">En términos de madurez institucional, el autodiagnóstico GETH reportó una calificación de 88 sobre 100, ubicando a la entidad en nivel de madurez “Transformación”, lo cual refleja que el Ministerio no se encuentra en una etapa básica o incipiente, sino en un proceso avanzado de fortalecimiento de su política de talento humano. Asimismo, el plan 2026 profundiza el enfoque de profesionalización, bienestar, inclusión, </w:t>
      </w:r>
      <w:r w:rsidRPr="00270ABD">
        <w:rPr>
          <w:rFonts w:ascii="Verdana" w:hAnsi="Verdana" w:eastAsia="Verdana" w:cs="Verdana"/>
          <w:color w:val="000000" w:themeColor="text1"/>
          <w:sz w:val="24"/>
          <w:szCs w:val="24"/>
        </w:rPr>
        <w:t>trabajo decente, gestión del cambio, diálogo social y fortalecimiento de capacidades institucionales. Por tanto, el PETH se encuentra en una fase de consolidación y madurez, con avances importantes en estructuración estratégica y articulación con MIPG.</w:t>
      </w:r>
    </w:p>
    <w:p w:rsidRPr="00270ABD" w:rsidR="4B50F055" w:rsidP="006A0A13" w:rsidRDefault="4B50F055" w14:paraId="3D83E45A" w14:textId="77777777">
      <w:pPr>
        <w:keepNext/>
        <w:keepLines/>
        <w:spacing w:after="0" w:line="360" w:lineRule="auto"/>
        <w:jc w:val="both"/>
        <w:rPr>
          <w:rFonts w:ascii="Verdana" w:hAnsi="Verdana" w:eastAsiaTheme="majorEastAsia" w:cstheme="majorBidi"/>
          <w:b/>
          <w:bCs/>
          <w:sz w:val="24"/>
          <w:szCs w:val="24"/>
        </w:rPr>
      </w:pPr>
    </w:p>
    <w:p w:rsidRPr="00C87383" w:rsidR="72B1A4E0" w:rsidRDefault="72B1A4E0" w14:paraId="07DC22D2" w14:textId="77777777">
      <w:pPr>
        <w:pStyle w:val="Prrafodelista"/>
        <w:keepNext/>
        <w:keepLines/>
        <w:numPr>
          <w:ilvl w:val="3"/>
          <w:numId w:val="42"/>
        </w:numPr>
        <w:spacing w:after="0" w:line="360" w:lineRule="auto"/>
        <w:jc w:val="both"/>
        <w:rPr>
          <w:rFonts w:ascii="Verdana" w:hAnsi="Verdana" w:eastAsiaTheme="majorEastAsia" w:cstheme="majorBidi"/>
          <w:b/>
          <w:bCs/>
          <w:sz w:val="24"/>
          <w:szCs w:val="24"/>
        </w:rPr>
      </w:pPr>
      <w:r w:rsidRPr="00C87383">
        <w:rPr>
          <w:rFonts w:ascii="Verdana" w:hAnsi="Verdana" w:eastAsiaTheme="majorEastAsia" w:cstheme="majorBidi"/>
          <w:b/>
          <w:bCs/>
          <w:sz w:val="24"/>
          <w:szCs w:val="24"/>
        </w:rPr>
        <w:t xml:space="preserve">Plan Anual de Vacantes y Plan de Previsión de Recursos Humanos  </w:t>
      </w:r>
    </w:p>
    <w:p w:rsidRPr="00270ABD" w:rsidR="4B50F055" w:rsidP="006A0A13" w:rsidRDefault="4B50F055" w14:paraId="233088C4" w14:textId="77777777">
      <w:pPr>
        <w:keepNext/>
        <w:keepLines/>
        <w:spacing w:after="0" w:line="360" w:lineRule="auto"/>
        <w:jc w:val="both"/>
        <w:rPr>
          <w:rFonts w:ascii="Verdana" w:hAnsi="Verdana" w:eastAsiaTheme="majorEastAsia" w:cstheme="majorBidi"/>
          <w:b/>
          <w:bCs/>
          <w:sz w:val="24"/>
          <w:szCs w:val="24"/>
        </w:rPr>
      </w:pPr>
    </w:p>
    <w:p w:rsidR="00E558DE" w:rsidP="006A0A13" w:rsidRDefault="72B1A4E0" w14:paraId="17FB7CB4" w14:textId="77777777">
      <w:pPr>
        <w:spacing w:after="0" w:line="360" w:lineRule="auto"/>
        <w:jc w:val="both"/>
        <w:rPr>
          <w:rFonts w:ascii="Verdana" w:hAnsi="Verdana" w:eastAsia="Verdana" w:cs="Verdana"/>
          <w:color w:val="000000" w:themeColor="text1"/>
          <w:sz w:val="24"/>
          <w:szCs w:val="24"/>
        </w:rPr>
      </w:pPr>
      <w:r w:rsidRPr="00270ABD">
        <w:rPr>
          <w:rFonts w:ascii="Verdana" w:hAnsi="Verdana" w:eastAsia="Verdana" w:cs="Verdana"/>
          <w:color w:val="000000" w:themeColor="text1"/>
          <w:sz w:val="24"/>
          <w:szCs w:val="24"/>
        </w:rPr>
        <w:t>El Plan Anual de Vacantes y de Previsión muestra una gestión técnica de la planta de personal, orientada a garantizar continuidad en la prestación del servicio y provisión oportuna de empleos. Sin embargo, también permite identificar una presión estructural sobre la planta. En 2025 se registraron 39 vacantes, equivalentes al 12,79 % del total de la planta, mientras que en 2026 la cifra ascendió a 43 vacantes, equivalentes al 14,09 %, lo que indica un aumento en la presión por provisión y reemplazo de cargos.</w:t>
      </w:r>
    </w:p>
    <w:p w:rsidR="00E558DE" w:rsidP="006A0A13" w:rsidRDefault="00E558DE" w14:paraId="25EBD365" w14:textId="77777777">
      <w:pPr>
        <w:spacing w:after="0" w:line="360" w:lineRule="auto"/>
        <w:jc w:val="both"/>
        <w:rPr>
          <w:rFonts w:ascii="Verdana" w:hAnsi="Verdana" w:eastAsia="Verdana" w:cs="Verdana"/>
          <w:color w:val="000000" w:themeColor="text1"/>
          <w:sz w:val="24"/>
          <w:szCs w:val="24"/>
        </w:rPr>
      </w:pPr>
    </w:p>
    <w:p w:rsidRPr="00270ABD" w:rsidR="72B1A4E0" w:rsidP="006A0A13" w:rsidRDefault="72B1A4E0" w14:paraId="63198089" w14:textId="77777777">
      <w:pPr>
        <w:spacing w:after="0" w:line="360" w:lineRule="auto"/>
        <w:jc w:val="both"/>
        <w:rPr>
          <w:rFonts w:ascii="Verdana" w:hAnsi="Verdana"/>
          <w:sz w:val="24"/>
          <w:szCs w:val="24"/>
        </w:rPr>
      </w:pPr>
      <w:r w:rsidRPr="00270ABD">
        <w:rPr>
          <w:rFonts w:ascii="Verdana" w:hAnsi="Verdana" w:eastAsia="Verdana" w:cs="Verdana"/>
          <w:color w:val="000000" w:themeColor="text1"/>
          <w:sz w:val="24"/>
          <w:szCs w:val="24"/>
        </w:rPr>
        <w:t>A ello se suma el componente pensional, particularmente relevante para la sostenibilidad del talento humano. El análisis de 2026 identificó 52 servidores con incidencia pensional, equivalentes al 19,05 % de la planta, incluidos pre-pensionados, personas con edad de pensión cumplida y servidores acogidos al retiro forzoso. Esto representa un riesgo institucional significativo en términos de relevo generacional, conservación del conocimiento y continuidad del servicio. En consecuencia, aunque el plan se encuentra debidamente formulado y operado, su análisis evidencia la necesidad de fortalecer la provisión por mérito, la planeación sucesoral y la transferencia de conocimiento.</w:t>
      </w:r>
    </w:p>
    <w:p w:rsidRPr="00270ABD" w:rsidR="4B50F055" w:rsidP="006A0A13" w:rsidRDefault="4B50F055" w14:paraId="64650679" w14:textId="77777777">
      <w:pPr>
        <w:keepNext/>
        <w:keepLines/>
        <w:spacing w:after="0" w:line="360" w:lineRule="auto"/>
        <w:jc w:val="both"/>
        <w:rPr>
          <w:rFonts w:ascii="Verdana" w:hAnsi="Verdana" w:eastAsia="Verdana" w:cs="Verdana"/>
          <w:color w:val="000000" w:themeColor="text1"/>
          <w:sz w:val="24"/>
          <w:szCs w:val="24"/>
        </w:rPr>
      </w:pPr>
    </w:p>
    <w:p w:rsidRPr="00B0114A" w:rsidR="72B1A4E0" w:rsidRDefault="72B1A4E0" w14:paraId="12B62FB8" w14:textId="77777777">
      <w:pPr>
        <w:pStyle w:val="Prrafodelista"/>
        <w:keepNext/>
        <w:keepLines/>
        <w:numPr>
          <w:ilvl w:val="3"/>
          <w:numId w:val="42"/>
        </w:numPr>
        <w:spacing w:after="0" w:line="360" w:lineRule="auto"/>
        <w:jc w:val="both"/>
        <w:rPr>
          <w:rFonts w:ascii="Verdana" w:hAnsi="Verdana" w:eastAsiaTheme="majorEastAsia" w:cstheme="majorBidi"/>
          <w:b/>
          <w:bCs/>
          <w:sz w:val="24"/>
          <w:szCs w:val="24"/>
        </w:rPr>
      </w:pPr>
      <w:r w:rsidRPr="00B0114A">
        <w:rPr>
          <w:rFonts w:ascii="Verdana" w:hAnsi="Verdana" w:eastAsiaTheme="majorEastAsia" w:cstheme="majorBidi"/>
          <w:b/>
          <w:bCs/>
          <w:sz w:val="24"/>
          <w:szCs w:val="24"/>
        </w:rPr>
        <w:t>Plan Institucional de Capacitación – PIC</w:t>
      </w:r>
    </w:p>
    <w:p w:rsidRPr="00270ABD" w:rsidR="4B50F055" w:rsidP="006A0A13" w:rsidRDefault="4B50F055" w14:paraId="72515E90" w14:textId="77777777">
      <w:pPr>
        <w:keepNext/>
        <w:keepLines/>
        <w:spacing w:after="0" w:line="360" w:lineRule="auto"/>
        <w:jc w:val="both"/>
        <w:rPr>
          <w:rFonts w:ascii="Verdana" w:hAnsi="Verdana" w:eastAsiaTheme="majorEastAsia" w:cstheme="majorBidi"/>
          <w:b/>
          <w:bCs/>
          <w:sz w:val="24"/>
          <w:szCs w:val="24"/>
        </w:rPr>
      </w:pPr>
    </w:p>
    <w:p w:rsidRPr="00270ABD" w:rsidR="72B1A4E0" w:rsidP="006A0A13" w:rsidRDefault="72B1A4E0" w14:paraId="36A5A769" w14:textId="49C372C5">
      <w:pPr>
        <w:spacing w:after="0" w:line="360" w:lineRule="auto"/>
        <w:jc w:val="both"/>
        <w:rPr>
          <w:rFonts w:ascii="Verdana" w:hAnsi="Verdana" w:eastAsia="Verdana" w:cs="Verdana"/>
          <w:color w:val="000000" w:themeColor="text1"/>
          <w:sz w:val="24"/>
          <w:szCs w:val="24"/>
        </w:rPr>
      </w:pPr>
      <w:r w:rsidRPr="30CF4445" w:rsidR="1F516666">
        <w:rPr>
          <w:rFonts w:ascii="Verdana" w:hAnsi="Verdana" w:eastAsia="Verdana" w:cs="Verdana"/>
          <w:color w:val="000000" w:themeColor="text1" w:themeTint="FF" w:themeShade="FF"/>
          <w:sz w:val="24"/>
          <w:szCs w:val="24"/>
        </w:rPr>
        <w:t xml:space="preserve">El Plan Institucional de Capacitación refleja un avance importante en la profesionalización del talento humano y en la articulación entre formación y objetivos institucionales. El PIC 2025 se diseñó bajo los lineamientos del Plan Nacional de Formación y Capacitación 2023–2030, incorporando temas como ética pública, paz, transformación digital, atención al ciudadano, inclusión, participación, sostenibilidad y </w:t>
      </w:r>
      <w:r w:rsidRPr="30CF4445" w:rsidR="691098B8">
        <w:rPr>
          <w:rFonts w:ascii="Verdana" w:hAnsi="Verdana" w:eastAsia="Verdana" w:cs="Verdana"/>
          <w:color w:val="000000" w:themeColor="text1" w:themeTint="FF" w:themeShade="FF"/>
          <w:sz w:val="24"/>
          <w:szCs w:val="24"/>
        </w:rPr>
        <w:t>T</w:t>
      </w:r>
      <w:r w:rsidRPr="30CF4445" w:rsidR="1F516666">
        <w:rPr>
          <w:rFonts w:ascii="Verdana" w:hAnsi="Verdana" w:eastAsia="Verdana" w:cs="Verdana"/>
          <w:color w:val="000000" w:themeColor="text1" w:themeTint="FF" w:themeShade="FF"/>
          <w:sz w:val="24"/>
          <w:szCs w:val="24"/>
        </w:rPr>
        <w:t xml:space="preserve">ransición </w:t>
      </w:r>
      <w:r w:rsidRPr="30CF4445" w:rsidR="62FBCA6A">
        <w:rPr>
          <w:rFonts w:ascii="Verdana" w:hAnsi="Verdana" w:eastAsia="Verdana" w:cs="Verdana"/>
          <w:color w:val="000000" w:themeColor="text1" w:themeTint="FF" w:themeShade="FF"/>
          <w:sz w:val="24"/>
          <w:szCs w:val="24"/>
        </w:rPr>
        <w:t>E</w:t>
      </w:r>
      <w:r w:rsidRPr="30CF4445" w:rsidR="1F516666">
        <w:rPr>
          <w:rFonts w:ascii="Verdana" w:hAnsi="Verdana" w:eastAsia="Verdana" w:cs="Verdana"/>
          <w:color w:val="000000" w:themeColor="text1" w:themeTint="FF" w:themeShade="FF"/>
          <w:sz w:val="24"/>
          <w:szCs w:val="24"/>
        </w:rPr>
        <w:t xml:space="preserve">nergética </w:t>
      </w:r>
      <w:r w:rsidRPr="30CF4445" w:rsidR="4167DFE7">
        <w:rPr>
          <w:rFonts w:ascii="Verdana" w:hAnsi="Verdana" w:eastAsia="Verdana" w:cs="Verdana"/>
          <w:color w:val="000000" w:themeColor="text1" w:themeTint="FF" w:themeShade="FF"/>
          <w:sz w:val="24"/>
          <w:szCs w:val="24"/>
        </w:rPr>
        <w:t>J</w:t>
      </w:r>
      <w:r w:rsidRPr="30CF4445" w:rsidR="1F516666">
        <w:rPr>
          <w:rFonts w:ascii="Verdana" w:hAnsi="Verdana" w:eastAsia="Verdana" w:cs="Verdana"/>
          <w:color w:val="000000" w:themeColor="text1" w:themeTint="FF" w:themeShade="FF"/>
          <w:sz w:val="24"/>
          <w:szCs w:val="24"/>
        </w:rPr>
        <w:t>usta. Este enfoque evidencia que la capacitación ha dejado de ser una actividad aislada para convertirse en herramienta de fortalecimiento organizacional.</w:t>
      </w:r>
    </w:p>
    <w:p w:rsidR="00C87383" w:rsidP="006A0A13" w:rsidRDefault="00C87383" w14:paraId="0C142C9B" w14:textId="77777777">
      <w:pPr>
        <w:spacing w:after="0" w:line="360" w:lineRule="auto"/>
        <w:jc w:val="both"/>
        <w:rPr>
          <w:rFonts w:ascii="Verdana" w:hAnsi="Verdana" w:eastAsia="Verdana" w:cs="Verdana"/>
          <w:color w:val="000000" w:themeColor="text1"/>
          <w:sz w:val="24"/>
          <w:szCs w:val="24"/>
        </w:rPr>
      </w:pPr>
    </w:p>
    <w:p w:rsidR="72B1A4E0" w:rsidP="006A0A13" w:rsidRDefault="72B1A4E0" w14:paraId="7CFFF864" w14:textId="77777777">
      <w:pPr>
        <w:spacing w:after="0" w:line="360" w:lineRule="auto"/>
        <w:jc w:val="both"/>
        <w:rPr>
          <w:rFonts w:ascii="Verdana" w:hAnsi="Verdana" w:eastAsia="Verdana" w:cs="Verdana"/>
          <w:color w:val="000000" w:themeColor="text1"/>
          <w:sz w:val="24"/>
          <w:szCs w:val="24"/>
        </w:rPr>
      </w:pPr>
      <w:r w:rsidRPr="00270ABD">
        <w:rPr>
          <w:rFonts w:ascii="Verdana" w:hAnsi="Verdana" w:eastAsia="Verdana" w:cs="Verdana"/>
          <w:color w:val="000000" w:themeColor="text1"/>
          <w:sz w:val="24"/>
          <w:szCs w:val="24"/>
        </w:rPr>
        <w:t>En términos operativos, el plan 2025 contó con un presupuesto de $420.000.000, destinado a formación no formal y apoyos complementarios, mientras que el PETH 2026 ratifica su continuidad como uno de los componentes centrales de la estrategia de talento humano. El análisis permite concluir que el PIC presenta una orientación adecuada, alto nivel de alineación con prioridades institucionales y potencial para seguir fortaleciendo competencias técnicas, directivas y transversales. Su estado puede calificarse como de implementación funcional con orientación estratégica consolidada.</w:t>
      </w:r>
    </w:p>
    <w:p w:rsidRPr="00270ABD" w:rsidR="00C87383" w:rsidP="006A0A13" w:rsidRDefault="00C87383" w14:paraId="02E91C7A" w14:textId="77777777">
      <w:pPr>
        <w:spacing w:after="0" w:line="360" w:lineRule="auto"/>
        <w:jc w:val="both"/>
        <w:rPr>
          <w:rFonts w:ascii="Verdana" w:hAnsi="Verdana"/>
          <w:sz w:val="24"/>
          <w:szCs w:val="24"/>
        </w:rPr>
      </w:pPr>
    </w:p>
    <w:p w:rsidRPr="00B0114A" w:rsidR="72B1A4E0" w:rsidRDefault="72B1A4E0" w14:paraId="43F62972" w14:textId="77777777">
      <w:pPr>
        <w:pStyle w:val="Prrafodelista"/>
        <w:keepNext/>
        <w:keepLines/>
        <w:numPr>
          <w:ilvl w:val="3"/>
          <w:numId w:val="42"/>
        </w:numPr>
        <w:spacing w:after="0" w:line="360" w:lineRule="auto"/>
        <w:jc w:val="both"/>
        <w:rPr>
          <w:rFonts w:ascii="Verdana" w:hAnsi="Verdana" w:eastAsiaTheme="majorEastAsia" w:cstheme="majorBidi"/>
          <w:b/>
          <w:bCs/>
          <w:sz w:val="24"/>
          <w:szCs w:val="24"/>
        </w:rPr>
      </w:pPr>
      <w:r w:rsidRPr="00B0114A">
        <w:rPr>
          <w:rFonts w:ascii="Verdana" w:hAnsi="Verdana" w:eastAsiaTheme="majorEastAsia" w:cstheme="majorBidi"/>
          <w:b/>
          <w:bCs/>
          <w:sz w:val="24"/>
          <w:szCs w:val="24"/>
        </w:rPr>
        <w:t>Plan de Bienestar Social e Incentivos</w:t>
      </w:r>
    </w:p>
    <w:p w:rsidRPr="00270ABD" w:rsidR="4B50F055" w:rsidP="006A0A13" w:rsidRDefault="4B50F055" w14:paraId="55A0CBF0" w14:textId="77777777">
      <w:pPr>
        <w:keepNext/>
        <w:keepLines/>
        <w:spacing w:after="0" w:line="360" w:lineRule="auto"/>
        <w:jc w:val="both"/>
        <w:rPr>
          <w:rFonts w:ascii="Verdana" w:hAnsi="Verdana" w:eastAsiaTheme="majorEastAsia" w:cstheme="majorBidi"/>
          <w:b/>
          <w:bCs/>
          <w:sz w:val="24"/>
          <w:szCs w:val="24"/>
        </w:rPr>
      </w:pPr>
    </w:p>
    <w:p w:rsidR="72B1A4E0" w:rsidP="006A0A13" w:rsidRDefault="72B1A4E0" w14:paraId="14BC98A5" w14:textId="77777777">
      <w:pPr>
        <w:spacing w:after="0" w:line="360" w:lineRule="auto"/>
        <w:jc w:val="both"/>
        <w:rPr>
          <w:rFonts w:ascii="Verdana" w:hAnsi="Verdana" w:eastAsia="Verdana" w:cs="Verdana"/>
          <w:color w:val="000000" w:themeColor="text1"/>
          <w:sz w:val="24"/>
          <w:szCs w:val="24"/>
        </w:rPr>
      </w:pPr>
      <w:r w:rsidRPr="00270ABD">
        <w:rPr>
          <w:rFonts w:ascii="Verdana" w:hAnsi="Verdana" w:eastAsia="Verdana" w:cs="Verdana"/>
          <w:color w:val="000000" w:themeColor="text1"/>
          <w:sz w:val="24"/>
          <w:szCs w:val="24"/>
        </w:rPr>
        <w:t xml:space="preserve">El Plan de Bienestar Social e Incentivos muestra una evolución positiva desde una lógica tradicional de actividades recreativas hacia un enfoque más amplio de bienestar organizacional, salud mental, inclusión, transformación digital y vocación por el servicio público. Tanto en 2025 como en 2026, el Ministerio estructuró el plan sobre ejes asociados a </w:t>
      </w:r>
      <w:r w:rsidRPr="00270ABD">
        <w:rPr>
          <w:rFonts w:ascii="Verdana" w:hAnsi="Verdana" w:eastAsia="Verdana" w:cs="Verdana"/>
          <w:color w:val="000000" w:themeColor="text1"/>
          <w:sz w:val="24"/>
          <w:szCs w:val="24"/>
        </w:rPr>
        <w:t>equilibrio psicosocial, salud mental, diversidad e inclusión, transformación digital, identidad institucional y reconocimiento al mérito, lo que evidencia una visión más integral del bienestar laboral.</w:t>
      </w:r>
    </w:p>
    <w:p w:rsidRPr="00270ABD" w:rsidR="00C87383" w:rsidP="006A0A13" w:rsidRDefault="00C87383" w14:paraId="2238BF58" w14:textId="77777777">
      <w:pPr>
        <w:spacing w:after="0" w:line="360" w:lineRule="auto"/>
        <w:jc w:val="both"/>
        <w:rPr>
          <w:rFonts w:ascii="Verdana" w:hAnsi="Verdana" w:eastAsia="Verdana" w:cs="Verdana"/>
          <w:color w:val="000000" w:themeColor="text1"/>
          <w:sz w:val="24"/>
          <w:szCs w:val="24"/>
        </w:rPr>
      </w:pPr>
    </w:p>
    <w:p w:rsidRPr="00270ABD" w:rsidR="72B1A4E0" w:rsidP="006A0A13" w:rsidRDefault="72B1A4E0" w14:paraId="76115ECB" w14:textId="77777777">
      <w:pPr>
        <w:spacing w:after="0" w:line="360" w:lineRule="auto"/>
        <w:jc w:val="both"/>
        <w:rPr>
          <w:rFonts w:ascii="Verdana" w:hAnsi="Verdana" w:eastAsia="Verdana" w:cs="Verdana"/>
          <w:color w:val="000000" w:themeColor="text1"/>
          <w:sz w:val="24"/>
          <w:szCs w:val="24"/>
        </w:rPr>
      </w:pPr>
      <w:r w:rsidRPr="00270ABD">
        <w:rPr>
          <w:rFonts w:ascii="Verdana" w:hAnsi="Verdana" w:eastAsia="Verdana" w:cs="Verdana"/>
          <w:color w:val="000000" w:themeColor="text1"/>
          <w:sz w:val="24"/>
          <w:szCs w:val="24"/>
        </w:rPr>
        <w:t>Además, el plan 2026 se sustenta en resultados institucionales favorables, dado que el Ministerio reportó un Índice de Desempeño Institucional de 90,2 y una calificación de 92,3 en la política de Talento Humano, lo cual sugiere mejores condiciones para la implementación de estrategias de bienestar. En conjunto, este plan refleja una institucionalidad robusta en materia de calidad de vida laboral, incentivos y cultura organizacional, aunque su impacto depende de la continuidad en la ejecución y de la medición sistemática de satisfacción y resultados.</w:t>
      </w:r>
    </w:p>
    <w:p w:rsidRPr="00270ABD" w:rsidR="4B50F055" w:rsidP="006A0A13" w:rsidRDefault="4B50F055" w14:paraId="136E8B0F" w14:textId="77777777">
      <w:pPr>
        <w:spacing w:after="0" w:line="360" w:lineRule="auto"/>
        <w:jc w:val="both"/>
        <w:rPr>
          <w:rFonts w:ascii="Verdana" w:hAnsi="Verdana" w:eastAsia="Verdana" w:cs="Verdana"/>
          <w:color w:val="000000" w:themeColor="text1"/>
          <w:sz w:val="24"/>
          <w:szCs w:val="24"/>
        </w:rPr>
      </w:pPr>
    </w:p>
    <w:p w:rsidRPr="00B0114A" w:rsidR="72B1A4E0" w:rsidRDefault="72B1A4E0" w14:paraId="12D974ED" w14:textId="77777777">
      <w:pPr>
        <w:pStyle w:val="Prrafodelista"/>
        <w:keepNext/>
        <w:keepLines/>
        <w:numPr>
          <w:ilvl w:val="3"/>
          <w:numId w:val="42"/>
        </w:numPr>
        <w:spacing w:after="0" w:line="360" w:lineRule="auto"/>
        <w:jc w:val="both"/>
        <w:rPr>
          <w:rFonts w:ascii="Verdana" w:hAnsi="Verdana" w:eastAsiaTheme="majorEastAsia" w:cstheme="majorBidi"/>
          <w:b/>
          <w:bCs/>
          <w:sz w:val="24"/>
          <w:szCs w:val="24"/>
        </w:rPr>
      </w:pPr>
      <w:r w:rsidRPr="00B0114A">
        <w:rPr>
          <w:rFonts w:ascii="Verdana" w:hAnsi="Verdana" w:eastAsiaTheme="majorEastAsia" w:cstheme="majorBidi"/>
          <w:b/>
          <w:bCs/>
          <w:sz w:val="24"/>
          <w:szCs w:val="24"/>
        </w:rPr>
        <w:t>Plan del Sistema de Gestión de Seguridad y Salud en el Trabajo – SG</w:t>
      </w:r>
      <w:r w:rsidRPr="00B0114A">
        <w:rPr>
          <w:rFonts w:ascii="Verdana" w:hAnsi="Verdana"/>
          <w:sz w:val="24"/>
          <w:szCs w:val="24"/>
        </w:rPr>
        <w:noBreakHyphen/>
      </w:r>
      <w:r w:rsidRPr="00B0114A">
        <w:rPr>
          <w:rFonts w:ascii="Verdana" w:hAnsi="Verdana" w:eastAsiaTheme="majorEastAsia" w:cstheme="majorBidi"/>
          <w:b/>
          <w:bCs/>
          <w:sz w:val="24"/>
          <w:szCs w:val="24"/>
        </w:rPr>
        <w:t>SST</w:t>
      </w:r>
    </w:p>
    <w:p w:rsidR="00B0114A" w:rsidP="006A0A13" w:rsidRDefault="00B0114A" w14:paraId="3B675D99" w14:textId="77777777">
      <w:pPr>
        <w:spacing w:after="0" w:line="360" w:lineRule="auto"/>
        <w:jc w:val="both"/>
        <w:rPr>
          <w:rFonts w:ascii="Verdana" w:hAnsi="Verdana" w:eastAsia="Verdana" w:cs="Verdana"/>
          <w:color w:val="000000" w:themeColor="text1"/>
          <w:sz w:val="24"/>
          <w:szCs w:val="24"/>
        </w:rPr>
      </w:pPr>
    </w:p>
    <w:p w:rsidR="72B1A4E0" w:rsidP="006A0A13" w:rsidRDefault="72B1A4E0" w14:paraId="077E8496" w14:textId="77777777">
      <w:pPr>
        <w:spacing w:after="0" w:line="360" w:lineRule="auto"/>
        <w:jc w:val="both"/>
        <w:rPr>
          <w:rFonts w:ascii="Verdana" w:hAnsi="Verdana" w:eastAsia="Verdana" w:cs="Verdana"/>
          <w:color w:val="000000" w:themeColor="text1"/>
          <w:sz w:val="24"/>
          <w:szCs w:val="24"/>
        </w:rPr>
      </w:pPr>
      <w:r w:rsidRPr="00270ABD">
        <w:rPr>
          <w:rFonts w:ascii="Verdana" w:hAnsi="Verdana" w:eastAsia="Verdana" w:cs="Verdana"/>
          <w:color w:val="000000" w:themeColor="text1"/>
          <w:sz w:val="24"/>
          <w:szCs w:val="24"/>
        </w:rPr>
        <w:t>El SG</w:t>
      </w:r>
      <w:r w:rsidRPr="00270ABD">
        <w:rPr>
          <w:rFonts w:ascii="Verdana" w:hAnsi="Verdana"/>
          <w:sz w:val="24"/>
          <w:szCs w:val="24"/>
        </w:rPr>
        <w:noBreakHyphen/>
      </w:r>
      <w:r w:rsidRPr="00270ABD">
        <w:rPr>
          <w:rFonts w:ascii="Verdana" w:hAnsi="Verdana" w:eastAsia="Verdana" w:cs="Verdana"/>
          <w:color w:val="000000" w:themeColor="text1"/>
          <w:sz w:val="24"/>
          <w:szCs w:val="24"/>
        </w:rPr>
        <w:t>SST del Ministerio mantiene una estructura formal y metodológicamente consistente, basada en el ciclo PHVA y en el cumplimiento del Decreto 1072 de 2015 y la Resolución 0312 de 2019. Los planes de 2025 y 2026 incorporan diagnóstico de condiciones de salud, análisis de ausentismo, identificación de peligros, evaluación y valoración de riesgos, subprogramas de vigilancia epidemiológica, brigada de emergencias, indicadores de estructura, proceso y resultado, y articulación con el Plan Estratégico de Seguridad Vial - PESV. Esto demuestra continuidad operativa y un esquema de gestión técnicamente definido.</w:t>
      </w:r>
    </w:p>
    <w:p w:rsidRPr="00270ABD" w:rsidR="00C87383" w:rsidP="006A0A13" w:rsidRDefault="00C87383" w14:paraId="1BB12558" w14:textId="77777777">
      <w:pPr>
        <w:spacing w:after="0" w:line="360" w:lineRule="auto"/>
        <w:jc w:val="both"/>
        <w:rPr>
          <w:rFonts w:ascii="Verdana" w:hAnsi="Verdana" w:eastAsia="Verdana" w:cs="Verdana"/>
          <w:color w:val="000000" w:themeColor="text1"/>
          <w:sz w:val="24"/>
          <w:szCs w:val="24"/>
        </w:rPr>
      </w:pPr>
    </w:p>
    <w:p w:rsidR="72B1A4E0" w:rsidP="006A0A13" w:rsidRDefault="72B1A4E0" w14:paraId="75F252F1" w14:textId="65DA39D4">
      <w:pPr>
        <w:spacing w:after="0" w:line="360" w:lineRule="auto"/>
        <w:jc w:val="both"/>
        <w:rPr>
          <w:rFonts w:ascii="Verdana" w:hAnsi="Verdana" w:eastAsia="Verdana" w:cs="Verdana"/>
          <w:color w:val="000000" w:themeColor="text1"/>
          <w:sz w:val="24"/>
          <w:szCs w:val="24"/>
        </w:rPr>
      </w:pPr>
      <w:r w:rsidRPr="30CF4445" w:rsidR="1F516666">
        <w:rPr>
          <w:rFonts w:ascii="Verdana" w:hAnsi="Verdana" w:eastAsia="Verdana" w:cs="Verdana"/>
          <w:color w:val="000000" w:themeColor="text1" w:themeTint="FF" w:themeShade="FF"/>
          <w:sz w:val="24"/>
          <w:szCs w:val="24"/>
        </w:rPr>
        <w:t>No obstante, desde una lectura transversal, el PETI reportó que el diagnóstico de implementación del SG</w:t>
      </w:r>
      <w:r>
        <w:noBreakHyphen/>
      </w:r>
      <w:r w:rsidRPr="30CF4445" w:rsidR="1F516666">
        <w:rPr>
          <w:rFonts w:ascii="Verdana" w:hAnsi="Verdana" w:eastAsia="Verdana" w:cs="Verdana"/>
          <w:color w:val="000000" w:themeColor="text1" w:themeTint="FF" w:themeShade="FF"/>
          <w:sz w:val="24"/>
          <w:szCs w:val="24"/>
        </w:rPr>
        <w:t xml:space="preserve">SST en 2024 registraba un avance del 32% bajo referencia ISO 45001, lo cual indica que, aunque el sistema </w:t>
      </w:r>
      <w:r w:rsidRPr="30CF4445" w:rsidR="1F516666">
        <w:rPr>
          <w:rFonts w:ascii="Verdana" w:hAnsi="Verdana" w:eastAsia="Verdana" w:cs="Verdana"/>
          <w:color w:val="000000" w:themeColor="text1" w:themeTint="FF" w:themeShade="FF"/>
          <w:sz w:val="24"/>
          <w:szCs w:val="24"/>
        </w:rPr>
        <w:t>existe y opera, aún persisten oportunidades de fortalecimiento en su consolidación integral y madurez institucional. En ese sentido, el SG</w:t>
      </w:r>
      <w:r>
        <w:noBreakHyphen/>
      </w:r>
      <w:r w:rsidRPr="30CF4445" w:rsidR="1F516666">
        <w:rPr>
          <w:rFonts w:ascii="Verdana" w:hAnsi="Verdana" w:eastAsia="Verdana" w:cs="Verdana"/>
          <w:color w:val="000000" w:themeColor="text1" w:themeTint="FF" w:themeShade="FF"/>
          <w:sz w:val="24"/>
          <w:szCs w:val="24"/>
        </w:rPr>
        <w:t>SST puede caracterizarse como un plan en ejecución sostenida, con buena estructuración formal, pero todavía en proceso de profundización de sus niveles de implementación y mejora continua.</w:t>
      </w:r>
    </w:p>
    <w:p w:rsidRPr="00270ABD" w:rsidR="00C87383" w:rsidP="006A0A13" w:rsidRDefault="00C87383" w14:paraId="6C64EDAC" w14:textId="77777777">
      <w:pPr>
        <w:spacing w:after="0" w:line="360" w:lineRule="auto"/>
        <w:jc w:val="both"/>
        <w:rPr>
          <w:rFonts w:ascii="Verdana" w:hAnsi="Verdana" w:eastAsia="Verdana" w:cs="Verdana"/>
          <w:color w:val="000000" w:themeColor="text1"/>
          <w:sz w:val="24"/>
          <w:szCs w:val="24"/>
        </w:rPr>
      </w:pPr>
    </w:p>
    <w:p w:rsidRPr="00B0114A" w:rsidR="72B1A4E0" w:rsidRDefault="72B1A4E0" w14:paraId="76FEBEB7" w14:textId="77777777">
      <w:pPr>
        <w:pStyle w:val="Prrafodelista"/>
        <w:keepNext/>
        <w:keepLines/>
        <w:numPr>
          <w:ilvl w:val="3"/>
          <w:numId w:val="42"/>
        </w:numPr>
        <w:spacing w:after="0" w:line="360" w:lineRule="auto"/>
        <w:jc w:val="both"/>
        <w:rPr>
          <w:rFonts w:ascii="Verdana" w:hAnsi="Verdana" w:eastAsiaTheme="majorEastAsia" w:cstheme="majorBidi"/>
          <w:b/>
          <w:bCs/>
          <w:sz w:val="24"/>
          <w:szCs w:val="24"/>
        </w:rPr>
      </w:pPr>
      <w:r w:rsidRPr="00B0114A">
        <w:rPr>
          <w:rFonts w:ascii="Verdana" w:hAnsi="Verdana" w:eastAsiaTheme="majorEastAsia" w:cstheme="majorBidi"/>
          <w:b/>
          <w:bCs/>
          <w:sz w:val="24"/>
          <w:szCs w:val="24"/>
        </w:rPr>
        <w:t>Plan Estratégico de Tecnologías de la Información – PETI</w:t>
      </w:r>
    </w:p>
    <w:p w:rsidR="00B0114A" w:rsidP="006A0A13" w:rsidRDefault="00B0114A" w14:paraId="25E76D97" w14:textId="77777777">
      <w:pPr>
        <w:spacing w:after="0" w:line="360" w:lineRule="auto"/>
        <w:jc w:val="both"/>
        <w:rPr>
          <w:rFonts w:ascii="Verdana" w:hAnsi="Verdana" w:eastAsia="Verdana" w:cs="Verdana"/>
          <w:color w:val="000000" w:themeColor="text1"/>
          <w:sz w:val="24"/>
          <w:szCs w:val="24"/>
        </w:rPr>
      </w:pPr>
    </w:p>
    <w:p w:rsidRPr="00270ABD" w:rsidR="72B1A4E0" w:rsidP="006A0A13" w:rsidRDefault="72B1A4E0" w14:paraId="3A63FE1E" w14:textId="77777777">
      <w:pPr>
        <w:spacing w:after="0" w:line="360" w:lineRule="auto"/>
        <w:jc w:val="both"/>
        <w:rPr>
          <w:rFonts w:ascii="Verdana" w:hAnsi="Verdana" w:eastAsia="Verdana" w:cs="Verdana"/>
          <w:color w:val="000000" w:themeColor="text1"/>
          <w:sz w:val="24"/>
          <w:szCs w:val="24"/>
        </w:rPr>
      </w:pPr>
      <w:r w:rsidRPr="00270ABD">
        <w:rPr>
          <w:rFonts w:ascii="Verdana" w:hAnsi="Verdana" w:eastAsia="Verdana" w:cs="Verdana"/>
          <w:color w:val="000000" w:themeColor="text1"/>
          <w:sz w:val="24"/>
          <w:szCs w:val="24"/>
        </w:rPr>
        <w:t>El PETI 2025–2028 constituye uno de los instrumentos más relevantes para la modernización institucional. Fue formulado conforme a la guía oficial de MinTIC, alineado con Gobierno Digital, el Marco de Referencia de Arquitectura Empresarial y la Estrategia Nacional Digital 2023–2026. Su propósito es orientar los proyectos de TI que apalancan la estrategia organizacional y la generación de valor público mediante transformación digital, automatización, datos, interoperabilidad, seguridad y mejora de servicios.</w:t>
      </w:r>
    </w:p>
    <w:p w:rsidR="00C87383" w:rsidP="006A0A13" w:rsidRDefault="00C87383" w14:paraId="29188A95" w14:textId="77777777">
      <w:pPr>
        <w:spacing w:after="0" w:line="360" w:lineRule="auto"/>
        <w:jc w:val="both"/>
        <w:rPr>
          <w:rFonts w:ascii="Verdana" w:hAnsi="Verdana" w:eastAsia="Verdana" w:cs="Verdana"/>
          <w:color w:val="000000" w:themeColor="text1"/>
          <w:sz w:val="24"/>
          <w:szCs w:val="24"/>
        </w:rPr>
      </w:pPr>
    </w:p>
    <w:p w:rsidR="72B1A4E0" w:rsidP="006A0A13" w:rsidRDefault="72B1A4E0" w14:paraId="2D894D1F" w14:textId="725A7FFB">
      <w:pPr>
        <w:spacing w:after="0" w:line="360" w:lineRule="auto"/>
        <w:jc w:val="both"/>
        <w:rPr>
          <w:rFonts w:ascii="Verdana" w:hAnsi="Verdana" w:eastAsia="Verdana" w:cs="Verdana"/>
          <w:color w:val="000000" w:themeColor="text1"/>
          <w:sz w:val="24"/>
          <w:szCs w:val="24"/>
        </w:rPr>
      </w:pPr>
      <w:r w:rsidRPr="30CF4445" w:rsidR="1F516666">
        <w:rPr>
          <w:rFonts w:ascii="Verdana" w:hAnsi="Verdana" w:eastAsia="Verdana" w:cs="Verdana"/>
          <w:color w:val="000000" w:themeColor="text1" w:themeTint="FF" w:themeShade="FF"/>
          <w:sz w:val="24"/>
          <w:szCs w:val="24"/>
        </w:rPr>
        <w:t>El diagnóstico incluido en el PETI muestra fortalezas importantes en gobierno de TI y servicios tecnológicos, con resultados de madurez de 4,48 en Gestión y Gobierno de TI, 3,94 en Arquitectura Empresarial, 2,95 en interoperabilidad, 80,02 en el Modelo de Gestión Documental y Administración de Archivos MGDA y 75% en el Modelo de Seguridad y Privacidad de la Información -MSPI. Sin embargo, también identifica una brecha significativa en gestión de proyectos de TI, con una calificación 1,25, lo que refleja avance en estructuración, ejecución y cierre de iniciativas tecnológicas. Por tanto, el PETI evidencia una entidad con alta capacidad tecnológica instalada, pero con necesidad de fortalecer la gestión integral de proyectos, la interoperabilidad y la estandarización de sus sistemas de información.</w:t>
      </w:r>
    </w:p>
    <w:p w:rsidRPr="00270ABD" w:rsidR="00C87383" w:rsidP="006A0A13" w:rsidRDefault="00C87383" w14:paraId="076073AF" w14:textId="77777777">
      <w:pPr>
        <w:spacing w:after="0" w:line="360" w:lineRule="auto"/>
        <w:jc w:val="both"/>
        <w:rPr>
          <w:rFonts w:ascii="Verdana" w:hAnsi="Verdana" w:eastAsia="Verdana" w:cs="Verdana"/>
          <w:color w:val="000000" w:themeColor="text1"/>
          <w:sz w:val="24"/>
          <w:szCs w:val="24"/>
        </w:rPr>
      </w:pPr>
    </w:p>
    <w:p w:rsidRPr="00B0114A" w:rsidR="00C87383" w:rsidRDefault="72B1A4E0" w14:paraId="1A42B6C0" w14:textId="77777777">
      <w:pPr>
        <w:pStyle w:val="Prrafodelista"/>
        <w:keepNext/>
        <w:keepLines/>
        <w:numPr>
          <w:ilvl w:val="3"/>
          <w:numId w:val="42"/>
        </w:numPr>
        <w:spacing w:after="0" w:line="360" w:lineRule="auto"/>
        <w:jc w:val="both"/>
        <w:rPr>
          <w:rFonts w:ascii="Verdana" w:hAnsi="Verdana" w:eastAsiaTheme="majorEastAsia" w:cstheme="majorBidi"/>
          <w:b/>
          <w:bCs/>
          <w:sz w:val="24"/>
          <w:szCs w:val="24"/>
        </w:rPr>
      </w:pPr>
      <w:r w:rsidRPr="00B0114A">
        <w:rPr>
          <w:rFonts w:ascii="Verdana" w:hAnsi="Verdana" w:eastAsiaTheme="majorEastAsia" w:cstheme="majorBidi"/>
          <w:b/>
          <w:bCs/>
          <w:sz w:val="24"/>
          <w:szCs w:val="24"/>
        </w:rPr>
        <w:t>Plan de Tratamiento de Riesgos de Seguridad de la Información</w:t>
      </w:r>
    </w:p>
    <w:p w:rsidR="00B0114A" w:rsidP="006A0A13" w:rsidRDefault="00B0114A" w14:paraId="0C69A3BE" w14:textId="77777777">
      <w:pPr>
        <w:spacing w:after="0" w:line="360" w:lineRule="auto"/>
        <w:jc w:val="both"/>
        <w:rPr>
          <w:rFonts w:ascii="Verdana" w:hAnsi="Verdana" w:eastAsia="Verdana" w:cs="Verdana"/>
          <w:color w:val="000000" w:themeColor="text1"/>
          <w:sz w:val="24"/>
          <w:szCs w:val="24"/>
        </w:rPr>
      </w:pPr>
    </w:p>
    <w:p w:rsidRPr="00270ABD" w:rsidR="72B1A4E0" w:rsidP="006A0A13" w:rsidRDefault="72B1A4E0" w14:paraId="4BBB6825" w14:textId="77777777">
      <w:pPr>
        <w:spacing w:after="0" w:line="360" w:lineRule="auto"/>
        <w:jc w:val="both"/>
        <w:rPr>
          <w:rFonts w:ascii="Verdana" w:hAnsi="Verdana" w:eastAsia="Verdana" w:cs="Verdana"/>
          <w:color w:val="000000" w:themeColor="text1"/>
          <w:sz w:val="24"/>
          <w:szCs w:val="24"/>
        </w:rPr>
      </w:pPr>
      <w:r w:rsidRPr="00270ABD">
        <w:rPr>
          <w:rFonts w:ascii="Verdana" w:hAnsi="Verdana" w:eastAsia="Verdana" w:cs="Verdana"/>
          <w:color w:val="000000" w:themeColor="text1"/>
          <w:sz w:val="24"/>
          <w:szCs w:val="24"/>
        </w:rPr>
        <w:t>El Plan de Tratamiento de Riesgos de Seguridad de la Información del Ministerio de Minas y Energía evidencia una evolución progresiva durante el periodo analizado, pasando de un enfoque centrado principalmente en la identificación y control básico de riesgos hacia una gestión más estructurada, articulada y alineada con estándares de seguridad de la información, continuidad del negocio y gobierno digital. En esta evolución se observa una mayor integración con el Modelo de Seguridad y Privacidad de la Información – MSPI, con los lineamientos de la norma ISO 27001 y con las políticas institucionales orientadas a la protección de la confidencialidad, integridad, disponibilidad y trazabilidad de la información institucional y sectorial.</w:t>
      </w:r>
    </w:p>
    <w:p w:rsidR="00C87383" w:rsidP="006A0A13" w:rsidRDefault="00C87383" w14:paraId="6F972F27" w14:textId="77777777">
      <w:pPr>
        <w:spacing w:after="0" w:line="360" w:lineRule="auto"/>
        <w:jc w:val="both"/>
        <w:rPr>
          <w:rFonts w:ascii="Verdana" w:hAnsi="Verdana" w:eastAsia="Verdana" w:cs="Verdana"/>
          <w:color w:val="000000" w:themeColor="text1"/>
          <w:sz w:val="24"/>
          <w:szCs w:val="24"/>
        </w:rPr>
      </w:pPr>
    </w:p>
    <w:p w:rsidRPr="00270ABD" w:rsidR="72B1A4E0" w:rsidP="006A0A13" w:rsidRDefault="72B1A4E0" w14:paraId="15F8D199" w14:textId="77777777">
      <w:pPr>
        <w:spacing w:after="0" w:line="360" w:lineRule="auto"/>
        <w:jc w:val="both"/>
        <w:rPr>
          <w:rFonts w:ascii="Verdana" w:hAnsi="Verdana" w:eastAsia="Verdana" w:cs="Verdana"/>
          <w:color w:val="000000" w:themeColor="text1"/>
          <w:sz w:val="24"/>
          <w:szCs w:val="24"/>
        </w:rPr>
      </w:pPr>
      <w:r w:rsidRPr="00270ABD">
        <w:rPr>
          <w:rFonts w:ascii="Verdana" w:hAnsi="Verdana" w:eastAsia="Verdana" w:cs="Verdana"/>
          <w:color w:val="000000" w:themeColor="text1"/>
          <w:sz w:val="24"/>
          <w:szCs w:val="24"/>
        </w:rPr>
        <w:t>En términos de contenido y alcance, el plan ha venido fortaleciendo componentes asociados a la identificación de activos de información, valoración de amenazas y vulnerabilidades, análisis de impacto, definición de controles, seguimiento a incidentes, continuidad operativa y mejora continua. De igual forma, para las vigencias más recientes se evidencian avances hacia esquemas más robustos de monitoreo, gobierno de riesgos, automatización del seguimiento y fortalecimiento de capacidades institucionales en materia de ciberseguridad, lo cual permite que el tratamiento del riesgo deje de ser un ejercicio meramente documental y se convierta en un instrumento de gestión preventiva y correctiva frente a eventos que puedan afectar los servicios tecnológicos, los sistemas de información y la operación institucional.</w:t>
      </w:r>
    </w:p>
    <w:p w:rsidR="00C87383" w:rsidP="006A0A13" w:rsidRDefault="00C87383" w14:paraId="058D99C0" w14:textId="77777777">
      <w:pPr>
        <w:spacing w:after="0" w:line="360" w:lineRule="auto"/>
        <w:jc w:val="both"/>
        <w:rPr>
          <w:rFonts w:ascii="Verdana" w:hAnsi="Verdana" w:eastAsia="Verdana" w:cs="Verdana"/>
          <w:color w:val="000000" w:themeColor="text1"/>
          <w:sz w:val="24"/>
          <w:szCs w:val="24"/>
        </w:rPr>
      </w:pPr>
    </w:p>
    <w:p w:rsidR="72B1A4E0" w:rsidP="006A0A13" w:rsidRDefault="72B1A4E0" w14:paraId="245012F3" w14:textId="77777777">
      <w:pPr>
        <w:spacing w:after="0" w:line="360" w:lineRule="auto"/>
        <w:jc w:val="both"/>
        <w:rPr>
          <w:rFonts w:ascii="Verdana" w:hAnsi="Verdana" w:eastAsia="Verdana" w:cs="Verdana"/>
          <w:color w:val="000000" w:themeColor="text1"/>
          <w:sz w:val="24"/>
          <w:szCs w:val="24"/>
        </w:rPr>
      </w:pPr>
      <w:r w:rsidRPr="00270ABD">
        <w:rPr>
          <w:rFonts w:ascii="Verdana" w:hAnsi="Verdana" w:eastAsia="Verdana" w:cs="Verdana"/>
          <w:color w:val="000000" w:themeColor="text1"/>
          <w:sz w:val="24"/>
          <w:szCs w:val="24"/>
        </w:rPr>
        <w:t>No obstante, el análisis también permite identificar retos estructurales. Persisten necesidades relacionadas con la consolidación del inventario de activos de información, la reducción de dependencias de procesos manuales para el seguimiento de riesgos, la interoperabilidad entre herramientas de control, el fortalecimiento del monitoreo continuo y la articulación más estrecha entre riesgos tecnológicos, continuidad del negocio y operación institucional. En ese sentido, el Plan de Tratamiento de Riesgos de Seguridad de la Información puede caracterizarse como un instrumento en implementación y fortalecimiento progresivo, con avances importantes en alineación normativa y técnica, pero aún con oportunidades de mejora para alcanzar mayores niveles de madurez, respuesta oportuna y resiliencia institucional frente a riesgos de seguridad de la información.</w:t>
      </w:r>
    </w:p>
    <w:p w:rsidRPr="00270ABD" w:rsidR="00C87383" w:rsidP="006A0A13" w:rsidRDefault="00C87383" w14:paraId="2EF3B099" w14:textId="77777777">
      <w:pPr>
        <w:spacing w:after="0" w:line="360" w:lineRule="auto"/>
        <w:jc w:val="both"/>
        <w:rPr>
          <w:rFonts w:ascii="Verdana" w:hAnsi="Verdana" w:eastAsia="Verdana" w:cs="Verdana"/>
          <w:color w:val="000000" w:themeColor="text1"/>
          <w:sz w:val="24"/>
          <w:szCs w:val="24"/>
        </w:rPr>
      </w:pPr>
    </w:p>
    <w:p w:rsidRPr="00B0114A" w:rsidR="72B1A4E0" w:rsidRDefault="72B1A4E0" w14:paraId="55CA9986" w14:textId="77777777">
      <w:pPr>
        <w:pStyle w:val="Prrafodelista"/>
        <w:keepNext/>
        <w:keepLines/>
        <w:numPr>
          <w:ilvl w:val="3"/>
          <w:numId w:val="42"/>
        </w:numPr>
        <w:spacing w:after="0" w:line="360" w:lineRule="auto"/>
        <w:jc w:val="both"/>
        <w:rPr>
          <w:rFonts w:ascii="Verdana" w:hAnsi="Verdana" w:eastAsiaTheme="majorEastAsia" w:cstheme="majorBidi"/>
          <w:b/>
          <w:bCs/>
          <w:sz w:val="24"/>
          <w:szCs w:val="24"/>
        </w:rPr>
      </w:pPr>
      <w:r w:rsidRPr="00B0114A">
        <w:rPr>
          <w:rFonts w:ascii="Verdana" w:hAnsi="Verdana" w:eastAsiaTheme="majorEastAsia" w:cstheme="majorBidi"/>
          <w:b/>
          <w:bCs/>
          <w:sz w:val="24"/>
          <w:szCs w:val="24"/>
        </w:rPr>
        <w:t>Plan de Seguridad y Privacidad de la Información</w:t>
      </w:r>
    </w:p>
    <w:p w:rsidRPr="00270ABD" w:rsidR="4B50F055" w:rsidP="006A0A13" w:rsidRDefault="4B50F055" w14:paraId="58708F82" w14:textId="77777777">
      <w:pPr>
        <w:keepNext/>
        <w:keepLines/>
        <w:spacing w:after="0" w:line="360" w:lineRule="auto"/>
        <w:jc w:val="both"/>
        <w:rPr>
          <w:rFonts w:ascii="Verdana" w:hAnsi="Verdana" w:eastAsiaTheme="majorEastAsia" w:cstheme="majorBidi"/>
          <w:b/>
          <w:bCs/>
          <w:sz w:val="24"/>
          <w:szCs w:val="24"/>
        </w:rPr>
      </w:pPr>
    </w:p>
    <w:p w:rsidR="72B1A4E0" w:rsidP="006A0A13" w:rsidRDefault="72B1A4E0" w14:paraId="713E424B" w14:textId="77777777">
      <w:pPr>
        <w:spacing w:after="0" w:line="360" w:lineRule="auto"/>
        <w:jc w:val="both"/>
        <w:rPr>
          <w:rFonts w:ascii="Verdana" w:hAnsi="Verdana" w:eastAsia="Verdana" w:cs="Verdana"/>
          <w:color w:val="000000" w:themeColor="text1"/>
          <w:sz w:val="24"/>
          <w:szCs w:val="24"/>
        </w:rPr>
      </w:pPr>
      <w:r w:rsidRPr="00270ABD">
        <w:rPr>
          <w:rFonts w:ascii="Verdana" w:hAnsi="Verdana" w:eastAsia="Verdana" w:cs="Verdana"/>
          <w:color w:val="000000" w:themeColor="text1"/>
          <w:sz w:val="24"/>
          <w:szCs w:val="24"/>
        </w:rPr>
        <w:t xml:space="preserve">El análisis del Plan de Seguridad y Privacidad de la Información permite identificar una evolución progresiva entre 2022 y 2026, pasando de un enfoque más normativo y estructural hacia un modelo más técnico, articulado e integral de ciberseguridad institucional. A lo largo del periodo, la entidad fortaleció la alineación con el MSPI, ISO 27001, continuidad del negocio, gestión de vulnerabilidades, protección de activos, desarrollo seguro y mejora continua. En 2025 y 2026 se observa un énfasis especial en gestión de riesgos, monitoreo, continuidad, trazabilidad y modernización del gobierno de seguridad. </w:t>
      </w:r>
    </w:p>
    <w:p w:rsidRPr="00270ABD" w:rsidR="00B0114A" w:rsidP="006A0A13" w:rsidRDefault="00B0114A" w14:paraId="7C822FCD" w14:textId="77777777">
      <w:pPr>
        <w:spacing w:after="0" w:line="360" w:lineRule="auto"/>
        <w:jc w:val="both"/>
        <w:rPr>
          <w:rFonts w:ascii="Verdana" w:hAnsi="Verdana" w:eastAsia="Verdana" w:cs="Verdana"/>
          <w:color w:val="000000" w:themeColor="text1"/>
          <w:sz w:val="24"/>
          <w:szCs w:val="24"/>
        </w:rPr>
      </w:pPr>
    </w:p>
    <w:p w:rsidR="72B1A4E0" w:rsidP="006A0A13" w:rsidRDefault="72B1A4E0" w14:paraId="2970D5B8" w14:textId="77777777">
      <w:pPr>
        <w:spacing w:after="0" w:line="360" w:lineRule="auto"/>
        <w:jc w:val="both"/>
        <w:rPr>
          <w:rFonts w:ascii="Verdana" w:hAnsi="Verdana" w:eastAsia="Verdana" w:cs="Verdana"/>
          <w:color w:val="000000" w:themeColor="text1"/>
          <w:sz w:val="24"/>
          <w:szCs w:val="24"/>
        </w:rPr>
      </w:pPr>
      <w:r w:rsidRPr="00270ABD">
        <w:rPr>
          <w:rFonts w:ascii="Verdana" w:hAnsi="Verdana" w:eastAsia="Verdana" w:cs="Verdana"/>
          <w:color w:val="000000" w:themeColor="text1"/>
          <w:sz w:val="24"/>
          <w:szCs w:val="24"/>
        </w:rPr>
        <w:t xml:space="preserve">No obstante, persisten brechas estructurales, especialmente en gestión de activos de información, consolidación de inventarios, monitoreo centralizado y dependencia de procesos manuales para el tratamiento de riesgos y controles. En esa medida, el plan puede considerarse en una </w:t>
      </w:r>
      <w:r w:rsidRPr="00270ABD">
        <w:rPr>
          <w:rFonts w:ascii="Verdana" w:hAnsi="Verdana" w:eastAsia="Verdana" w:cs="Verdana"/>
          <w:color w:val="000000" w:themeColor="text1"/>
          <w:sz w:val="24"/>
          <w:szCs w:val="24"/>
        </w:rPr>
        <w:t>fase de consolidación y madurez creciente, con fortalezas en alineación normativa y técnica, pero con desafíos aún abiertos para alcanzar una operación de seguridad plenamente integrada y resiliente.</w:t>
      </w:r>
    </w:p>
    <w:p w:rsidRPr="00270ABD" w:rsidR="00B0114A" w:rsidP="006A0A13" w:rsidRDefault="00B0114A" w14:paraId="68C3AC43" w14:textId="77777777">
      <w:pPr>
        <w:spacing w:after="0" w:line="360" w:lineRule="auto"/>
        <w:jc w:val="both"/>
        <w:rPr>
          <w:rFonts w:ascii="Verdana" w:hAnsi="Verdana" w:eastAsia="Verdana" w:cs="Verdana"/>
          <w:color w:val="000000" w:themeColor="text1"/>
          <w:sz w:val="24"/>
          <w:szCs w:val="24"/>
        </w:rPr>
      </w:pPr>
    </w:p>
    <w:p w:rsidRPr="00B0114A" w:rsidR="00B0114A" w:rsidRDefault="005229F9" w14:paraId="35B47DED" w14:textId="77777777">
      <w:pPr>
        <w:pStyle w:val="Prrafodelista"/>
        <w:keepNext/>
        <w:keepLines/>
        <w:numPr>
          <w:ilvl w:val="3"/>
          <w:numId w:val="42"/>
        </w:numPr>
        <w:spacing w:after="0" w:line="360" w:lineRule="auto"/>
        <w:jc w:val="both"/>
        <w:rPr>
          <w:rFonts w:ascii="Verdana" w:hAnsi="Verdana" w:eastAsiaTheme="majorEastAsia" w:cstheme="majorBidi"/>
          <w:b/>
          <w:bCs/>
          <w:sz w:val="24"/>
          <w:szCs w:val="24"/>
        </w:rPr>
      </w:pPr>
      <w:r w:rsidRPr="00B0114A">
        <w:rPr>
          <w:rFonts w:ascii="Verdana" w:hAnsi="Verdana" w:eastAsiaTheme="majorEastAsia" w:cstheme="majorBidi"/>
          <w:b/>
          <w:bCs/>
          <w:sz w:val="24"/>
          <w:szCs w:val="24"/>
        </w:rPr>
        <w:t>Estrategia</w:t>
      </w:r>
      <w:r w:rsidRPr="00B0114A" w:rsidR="72B1A4E0">
        <w:rPr>
          <w:rFonts w:ascii="Verdana" w:hAnsi="Verdana" w:eastAsiaTheme="majorEastAsia" w:cstheme="majorBidi"/>
          <w:b/>
          <w:bCs/>
          <w:sz w:val="24"/>
          <w:szCs w:val="24"/>
        </w:rPr>
        <w:t xml:space="preserve"> de Participación Ciudadana </w:t>
      </w:r>
    </w:p>
    <w:p w:rsidRPr="00270ABD" w:rsidR="4B50F055" w:rsidP="006A0A13" w:rsidRDefault="4B50F055" w14:paraId="684FC30A" w14:textId="77777777">
      <w:pPr>
        <w:keepNext/>
        <w:keepLines/>
        <w:spacing w:after="0" w:line="360" w:lineRule="auto"/>
        <w:rPr>
          <w:rFonts w:ascii="Verdana" w:hAnsi="Verdana"/>
          <w:sz w:val="24"/>
          <w:szCs w:val="24"/>
        </w:rPr>
      </w:pPr>
    </w:p>
    <w:p w:rsidR="72B1A4E0" w:rsidP="006A0A13" w:rsidRDefault="72B1A4E0" w14:paraId="56FA3D95" w14:textId="77777777">
      <w:pPr>
        <w:spacing w:after="0" w:line="360" w:lineRule="auto"/>
        <w:jc w:val="both"/>
        <w:rPr>
          <w:rFonts w:ascii="Verdana" w:hAnsi="Verdana" w:eastAsia="Verdana" w:cs="Verdana"/>
          <w:color w:val="000000" w:themeColor="text1"/>
          <w:sz w:val="24"/>
          <w:szCs w:val="24"/>
        </w:rPr>
      </w:pPr>
      <w:r w:rsidRPr="00270ABD">
        <w:rPr>
          <w:rFonts w:ascii="Verdana" w:hAnsi="Verdana" w:eastAsia="Verdana" w:cs="Verdana"/>
          <w:color w:val="000000" w:themeColor="text1"/>
          <w:sz w:val="24"/>
          <w:szCs w:val="24"/>
        </w:rPr>
        <w:t>La Estrategia de Participación Ciudadana muestra una evolución importante entre 2024 y 2026. En 2024 predominaban mecanismos principalmente informativos y consultivos, asociados a ferias de servicio, consultas normativas, asambleas y espacios territoriales. En 2025 se amplían mecanismos colaborativos y de seguimiento, mientras que en 2026 la estrategia adquiere un enfoque más robusto de control social, rendición de cuentas, incidencia y participación en la formulación de decisiones del sector minero</w:t>
      </w:r>
      <w:r w:rsidRPr="00270ABD">
        <w:rPr>
          <w:rFonts w:ascii="Verdana" w:hAnsi="Verdana"/>
          <w:sz w:val="24"/>
          <w:szCs w:val="24"/>
        </w:rPr>
        <w:noBreakHyphen/>
      </w:r>
      <w:r w:rsidRPr="00270ABD">
        <w:rPr>
          <w:rFonts w:ascii="Verdana" w:hAnsi="Verdana" w:eastAsia="Verdana" w:cs="Verdana"/>
          <w:color w:val="000000" w:themeColor="text1"/>
          <w:sz w:val="24"/>
          <w:szCs w:val="24"/>
        </w:rPr>
        <w:t xml:space="preserve">energético. </w:t>
      </w:r>
    </w:p>
    <w:p w:rsidRPr="00270ABD" w:rsidR="00B0114A" w:rsidP="006A0A13" w:rsidRDefault="00B0114A" w14:paraId="59196CFF" w14:textId="77777777">
      <w:pPr>
        <w:spacing w:after="0" w:line="360" w:lineRule="auto"/>
        <w:jc w:val="both"/>
        <w:rPr>
          <w:rFonts w:ascii="Verdana" w:hAnsi="Verdana" w:eastAsia="Verdana" w:cs="Verdana"/>
          <w:color w:val="000000" w:themeColor="text1"/>
          <w:sz w:val="24"/>
          <w:szCs w:val="24"/>
        </w:rPr>
      </w:pPr>
    </w:p>
    <w:p w:rsidR="72B1A4E0" w:rsidP="006A0A13" w:rsidRDefault="72B1A4E0" w14:paraId="3F7753BF" w14:textId="41AD59D3">
      <w:pPr>
        <w:spacing w:after="0" w:line="360" w:lineRule="auto"/>
        <w:jc w:val="both"/>
        <w:rPr>
          <w:rFonts w:ascii="Verdana" w:hAnsi="Verdana" w:eastAsia="Verdana" w:cs="Verdana"/>
          <w:color w:val="000000" w:themeColor="text1"/>
          <w:sz w:val="24"/>
          <w:szCs w:val="24"/>
        </w:rPr>
      </w:pPr>
      <w:r w:rsidRPr="30CF4445" w:rsidR="1F516666">
        <w:rPr>
          <w:rFonts w:ascii="Verdana" w:hAnsi="Verdana" w:eastAsia="Verdana" w:cs="Verdana"/>
          <w:color w:val="000000" w:themeColor="text1" w:themeTint="FF" w:themeShade="FF"/>
          <w:sz w:val="24"/>
          <w:szCs w:val="24"/>
        </w:rPr>
        <w:t xml:space="preserve">La estrategia se destaca además por su alta diversidad de grupos de valor y por la articulación con temas estratégicos como </w:t>
      </w:r>
      <w:r w:rsidRPr="30CF4445" w:rsidR="1C99728F">
        <w:rPr>
          <w:rFonts w:ascii="Verdana" w:hAnsi="Verdana" w:eastAsia="Verdana" w:cs="Verdana"/>
          <w:color w:val="000000" w:themeColor="text1" w:themeTint="FF" w:themeShade="FF"/>
          <w:sz w:val="24"/>
          <w:szCs w:val="24"/>
        </w:rPr>
        <w:t>T</w:t>
      </w:r>
      <w:r w:rsidRPr="30CF4445" w:rsidR="1F516666">
        <w:rPr>
          <w:rFonts w:ascii="Verdana" w:hAnsi="Verdana" w:eastAsia="Verdana" w:cs="Verdana"/>
          <w:color w:val="000000" w:themeColor="text1" w:themeTint="FF" w:themeShade="FF"/>
          <w:sz w:val="24"/>
          <w:szCs w:val="24"/>
        </w:rPr>
        <w:t xml:space="preserve">ransición </w:t>
      </w:r>
      <w:r w:rsidRPr="30CF4445" w:rsidR="0B6F93A1">
        <w:rPr>
          <w:rFonts w:ascii="Verdana" w:hAnsi="Verdana" w:eastAsia="Verdana" w:cs="Verdana"/>
          <w:color w:val="000000" w:themeColor="text1" w:themeTint="FF" w:themeShade="FF"/>
          <w:sz w:val="24"/>
          <w:szCs w:val="24"/>
        </w:rPr>
        <w:t>E</w:t>
      </w:r>
      <w:r w:rsidRPr="30CF4445" w:rsidR="1F516666">
        <w:rPr>
          <w:rFonts w:ascii="Verdana" w:hAnsi="Verdana" w:eastAsia="Verdana" w:cs="Verdana"/>
          <w:color w:val="000000" w:themeColor="text1" w:themeTint="FF" w:themeShade="FF"/>
          <w:sz w:val="24"/>
          <w:szCs w:val="24"/>
        </w:rPr>
        <w:t xml:space="preserve">nergética </w:t>
      </w:r>
      <w:r w:rsidRPr="30CF4445" w:rsidR="239F4E41">
        <w:rPr>
          <w:rFonts w:ascii="Verdana" w:hAnsi="Verdana" w:eastAsia="Verdana" w:cs="Verdana"/>
          <w:color w:val="000000" w:themeColor="text1" w:themeTint="FF" w:themeShade="FF"/>
          <w:sz w:val="24"/>
          <w:szCs w:val="24"/>
        </w:rPr>
        <w:t>J</w:t>
      </w:r>
      <w:r w:rsidRPr="30CF4445" w:rsidR="1F516666">
        <w:rPr>
          <w:rFonts w:ascii="Verdana" w:hAnsi="Verdana" w:eastAsia="Verdana" w:cs="Verdana"/>
          <w:color w:val="000000" w:themeColor="text1" w:themeTint="FF" w:themeShade="FF"/>
          <w:sz w:val="24"/>
          <w:szCs w:val="24"/>
        </w:rPr>
        <w:t>usta, formalización minera, hidrocarburos, regulación y conflictos socioambientales. En ese sentido, la participación deja de ser un componente accesorio para convertirse en un instrumento de gobernanza sectorial y legitimidad institucional. El plan puede calificarse como una estrategia en fase de consolidación estratégica, con avances claros hacia niveles más altos de incidencia institucional y diálogo con ciudadanía y territorios.</w:t>
      </w:r>
    </w:p>
    <w:p w:rsidRPr="00270ABD" w:rsidR="00B0114A" w:rsidP="006A0A13" w:rsidRDefault="00B0114A" w14:paraId="5FD48972" w14:textId="77777777">
      <w:pPr>
        <w:spacing w:after="0" w:line="360" w:lineRule="auto"/>
        <w:jc w:val="both"/>
        <w:rPr>
          <w:rFonts w:ascii="Verdana" w:hAnsi="Verdana" w:eastAsia="Verdana" w:cs="Verdana"/>
          <w:color w:val="000000" w:themeColor="text1"/>
          <w:sz w:val="24"/>
          <w:szCs w:val="24"/>
        </w:rPr>
      </w:pPr>
    </w:p>
    <w:p w:rsidRPr="00B0114A" w:rsidR="72B1A4E0" w:rsidRDefault="005229F9" w14:paraId="77A9CA0E" w14:textId="77777777">
      <w:pPr>
        <w:pStyle w:val="Prrafodelista"/>
        <w:keepNext/>
        <w:keepLines/>
        <w:numPr>
          <w:ilvl w:val="3"/>
          <w:numId w:val="42"/>
        </w:numPr>
        <w:spacing w:after="0" w:line="360" w:lineRule="auto"/>
        <w:jc w:val="both"/>
        <w:rPr>
          <w:rFonts w:ascii="Verdana" w:hAnsi="Verdana" w:eastAsiaTheme="majorEastAsia" w:cstheme="majorBidi"/>
          <w:b/>
          <w:bCs/>
          <w:sz w:val="24"/>
          <w:szCs w:val="24"/>
        </w:rPr>
      </w:pPr>
      <w:r w:rsidRPr="00B0114A">
        <w:rPr>
          <w:rFonts w:ascii="Verdana" w:hAnsi="Verdana" w:eastAsiaTheme="majorEastAsia" w:cstheme="majorBidi"/>
          <w:b/>
          <w:bCs/>
          <w:sz w:val="24"/>
          <w:szCs w:val="24"/>
        </w:rPr>
        <w:t>Programa</w:t>
      </w:r>
      <w:r w:rsidRPr="00B0114A" w:rsidR="72B1A4E0">
        <w:rPr>
          <w:rFonts w:ascii="Verdana" w:hAnsi="Verdana" w:eastAsiaTheme="majorEastAsia" w:cstheme="majorBidi"/>
          <w:b/>
          <w:bCs/>
          <w:sz w:val="24"/>
          <w:szCs w:val="24"/>
        </w:rPr>
        <w:t xml:space="preserve"> de Transparencia y Ética Pública – PTEP</w:t>
      </w:r>
    </w:p>
    <w:p w:rsidRPr="00270ABD" w:rsidR="4B50F055" w:rsidP="006A0A13" w:rsidRDefault="4B50F055" w14:paraId="47B96DA7" w14:textId="77777777">
      <w:pPr>
        <w:keepNext/>
        <w:keepLines/>
        <w:spacing w:after="0" w:line="360" w:lineRule="auto"/>
        <w:jc w:val="both"/>
        <w:rPr>
          <w:rFonts w:ascii="Verdana" w:hAnsi="Verdana" w:eastAsiaTheme="majorEastAsia" w:cstheme="majorBidi"/>
          <w:b/>
          <w:bCs/>
          <w:sz w:val="24"/>
          <w:szCs w:val="24"/>
        </w:rPr>
      </w:pPr>
    </w:p>
    <w:p w:rsidR="72B1A4E0" w:rsidP="006A0A13" w:rsidRDefault="72B1A4E0" w14:paraId="2FB06F2B" w14:textId="77777777">
      <w:pPr>
        <w:spacing w:after="0" w:line="360" w:lineRule="auto"/>
        <w:jc w:val="both"/>
        <w:rPr>
          <w:rFonts w:ascii="Verdana" w:hAnsi="Verdana" w:eastAsia="Verdana" w:cs="Verdana"/>
          <w:color w:val="000000" w:themeColor="text1"/>
          <w:sz w:val="24"/>
          <w:szCs w:val="24"/>
        </w:rPr>
      </w:pPr>
      <w:r w:rsidRPr="00270ABD">
        <w:rPr>
          <w:rFonts w:ascii="Verdana" w:hAnsi="Verdana" w:eastAsia="Verdana" w:cs="Verdana"/>
          <w:color w:val="000000" w:themeColor="text1"/>
          <w:sz w:val="24"/>
          <w:szCs w:val="24"/>
        </w:rPr>
        <w:t xml:space="preserve">El Programa de Transparencia y Ética Pública representa una de las transformaciones más significativas del periodo analizado. En 2022 y 2023 la entidad operó bajo la lógica tradicional del PAAC, centrada en </w:t>
      </w:r>
      <w:r w:rsidRPr="00270ABD">
        <w:rPr>
          <w:rFonts w:ascii="Verdana" w:hAnsi="Verdana" w:eastAsia="Verdana" w:cs="Verdana"/>
          <w:color w:val="000000" w:themeColor="text1"/>
          <w:sz w:val="24"/>
          <w:szCs w:val="24"/>
        </w:rPr>
        <w:t>riesgos de corrupción, trámites, atención al ciudadano, rendición de cuentas y transparencia. A partir de 2024, en aplicación del Decreto 1122 de 2024, se produjo la transición al PTEP, reorganizando el enfoque bajo líneas de gestión del riesgo, redes y articulación, cultura de la legalidad y Estado Abierto, e iniciativas adicionales.</w:t>
      </w:r>
    </w:p>
    <w:p w:rsidRPr="00270ABD" w:rsidR="00B0114A" w:rsidP="006A0A13" w:rsidRDefault="00B0114A" w14:paraId="1EA593BF" w14:textId="77777777">
      <w:pPr>
        <w:spacing w:after="0" w:line="360" w:lineRule="auto"/>
        <w:jc w:val="both"/>
        <w:rPr>
          <w:rFonts w:ascii="Verdana" w:hAnsi="Verdana" w:eastAsia="Verdana" w:cs="Verdana"/>
          <w:color w:val="000000" w:themeColor="text1"/>
          <w:sz w:val="24"/>
          <w:szCs w:val="24"/>
        </w:rPr>
      </w:pPr>
    </w:p>
    <w:p w:rsidRPr="00270ABD" w:rsidR="72B1A4E0" w:rsidP="006A0A13" w:rsidRDefault="72B1A4E0" w14:paraId="5121D908" w14:textId="77777777">
      <w:pPr>
        <w:spacing w:after="0" w:line="360" w:lineRule="auto"/>
        <w:jc w:val="both"/>
        <w:rPr>
          <w:rFonts w:ascii="Verdana" w:hAnsi="Verdana" w:eastAsia="Verdana" w:cs="Verdana"/>
          <w:color w:val="000000" w:themeColor="text1"/>
          <w:sz w:val="24"/>
          <w:szCs w:val="24"/>
        </w:rPr>
      </w:pPr>
      <w:r w:rsidRPr="00270ABD">
        <w:rPr>
          <w:rFonts w:ascii="Verdana" w:hAnsi="Verdana" w:eastAsia="Verdana" w:cs="Verdana"/>
          <w:color w:val="000000" w:themeColor="text1"/>
          <w:sz w:val="24"/>
          <w:szCs w:val="24"/>
        </w:rPr>
        <w:t>Para 2025–2027, el programa se consolida como un instrumento de gobernanza abierta e integridad pública, incorporando riesgos para la integridad, canales de denuncia, debida diligencia, lenguaje claro, participación, rendición de cuentas sectorial, integridad en el servicio público, conflicto de interés y fortalecimiento del portal web y la información estadística. En consecuencia, el programa evolucionó desde un enfoque de cumplimiento anticorrupción hacia un modelo más integral de ética pública, transparencia activa y control social. Su estado corresponde a una implementación en fase de consolidación estratégica.</w:t>
      </w:r>
    </w:p>
    <w:p w:rsidRPr="00270ABD" w:rsidR="4B50F055" w:rsidP="006A0A13" w:rsidRDefault="4B50F055" w14:paraId="1A8FEF29" w14:textId="77777777">
      <w:pPr>
        <w:keepNext/>
        <w:keepLines/>
        <w:spacing w:after="0" w:line="360" w:lineRule="auto"/>
        <w:jc w:val="both"/>
        <w:rPr>
          <w:rFonts w:ascii="Verdana" w:hAnsi="Verdana" w:eastAsiaTheme="majorEastAsia" w:cstheme="majorBidi"/>
          <w:b/>
          <w:bCs/>
          <w:sz w:val="24"/>
          <w:szCs w:val="24"/>
        </w:rPr>
      </w:pPr>
    </w:p>
    <w:p w:rsidRPr="00B0114A" w:rsidR="72B1A4E0" w:rsidRDefault="005229F9" w14:paraId="1ED6B6E9" w14:textId="77777777">
      <w:pPr>
        <w:pStyle w:val="Prrafodelista"/>
        <w:keepNext/>
        <w:keepLines/>
        <w:numPr>
          <w:ilvl w:val="3"/>
          <w:numId w:val="42"/>
        </w:numPr>
        <w:spacing w:after="0" w:line="360" w:lineRule="auto"/>
        <w:jc w:val="both"/>
        <w:rPr>
          <w:rFonts w:ascii="Verdana" w:hAnsi="Verdana" w:eastAsiaTheme="majorEastAsia" w:cstheme="majorBidi"/>
          <w:b/>
          <w:bCs/>
          <w:sz w:val="24"/>
          <w:szCs w:val="24"/>
        </w:rPr>
      </w:pPr>
      <w:r w:rsidRPr="00B0114A">
        <w:rPr>
          <w:rFonts w:ascii="Verdana" w:hAnsi="Verdana" w:eastAsiaTheme="majorEastAsia" w:cstheme="majorBidi"/>
          <w:b/>
          <w:bCs/>
          <w:sz w:val="24"/>
          <w:szCs w:val="24"/>
        </w:rPr>
        <w:t>Plan</w:t>
      </w:r>
      <w:r w:rsidRPr="00B0114A" w:rsidR="72B1A4E0">
        <w:rPr>
          <w:rFonts w:ascii="Verdana" w:hAnsi="Verdana" w:eastAsiaTheme="majorEastAsia" w:cstheme="majorBidi"/>
          <w:b/>
          <w:bCs/>
          <w:sz w:val="24"/>
          <w:szCs w:val="24"/>
        </w:rPr>
        <w:t xml:space="preserve"> Anual de Adquisiciones – PAA</w:t>
      </w:r>
    </w:p>
    <w:p w:rsidRPr="00270ABD" w:rsidR="4B50F055" w:rsidP="006A0A13" w:rsidRDefault="4B50F055" w14:paraId="2E33D945" w14:textId="77777777">
      <w:pPr>
        <w:keepNext/>
        <w:keepLines/>
        <w:spacing w:after="0" w:line="360" w:lineRule="auto"/>
        <w:jc w:val="both"/>
        <w:rPr>
          <w:rFonts w:ascii="Verdana" w:hAnsi="Verdana" w:eastAsiaTheme="majorEastAsia" w:cstheme="majorBidi"/>
          <w:b/>
          <w:bCs/>
          <w:sz w:val="24"/>
          <w:szCs w:val="24"/>
        </w:rPr>
      </w:pPr>
    </w:p>
    <w:p w:rsidR="72B1A4E0" w:rsidP="006A0A13" w:rsidRDefault="72B1A4E0" w14:paraId="1622F0A1" w14:textId="77777777">
      <w:pPr>
        <w:spacing w:after="0" w:line="360" w:lineRule="auto"/>
        <w:jc w:val="both"/>
        <w:rPr>
          <w:rFonts w:ascii="Verdana" w:hAnsi="Verdana" w:eastAsia="Verdana" w:cs="Verdana"/>
          <w:color w:val="000000" w:themeColor="text1"/>
          <w:sz w:val="24"/>
          <w:szCs w:val="24"/>
        </w:rPr>
      </w:pPr>
      <w:r w:rsidRPr="00270ABD">
        <w:rPr>
          <w:rFonts w:ascii="Verdana" w:hAnsi="Verdana" w:eastAsia="Verdana" w:cs="Verdana"/>
          <w:color w:val="000000" w:themeColor="text1"/>
          <w:sz w:val="24"/>
          <w:szCs w:val="24"/>
        </w:rPr>
        <w:t>El Plan Anual de Adquisiciones evidencia la traducción operativa y presupuestal de la planeación institucional. Tanto en 2025 como en 2026, el PAA incorporó procesos de contratación y adquisición orientados al sostenimiento institucional y al cumplimiento de prioridades estratégicas en temas como transformación digital, seguridad de la información, gestión del dato, participación ciudadana, servicio al ciudadano, integridad, comunidades energéticas, regalías, seguridad minera, reconversión productiva, asuntos ambientales y fortalecimiento institucional. Esto demuestra que la entidad no solo formula planes, sino que los respalda mediante programación contractual y financiera.</w:t>
      </w:r>
    </w:p>
    <w:p w:rsidRPr="00270ABD" w:rsidR="00B0114A" w:rsidP="006A0A13" w:rsidRDefault="00B0114A" w14:paraId="55760BAE" w14:textId="77777777">
      <w:pPr>
        <w:spacing w:after="0" w:line="360" w:lineRule="auto"/>
        <w:jc w:val="both"/>
        <w:rPr>
          <w:rFonts w:ascii="Verdana" w:hAnsi="Verdana" w:eastAsia="Verdana" w:cs="Verdana"/>
          <w:color w:val="000000" w:themeColor="text1"/>
          <w:sz w:val="24"/>
          <w:szCs w:val="24"/>
        </w:rPr>
      </w:pPr>
    </w:p>
    <w:p w:rsidRPr="00270ABD" w:rsidR="72B1A4E0" w:rsidP="006A0A13" w:rsidRDefault="3BEF5606" w14:paraId="2CAAFF15" w14:textId="77777777">
      <w:pPr>
        <w:spacing w:after="0" w:line="360" w:lineRule="auto"/>
        <w:jc w:val="both"/>
      </w:pPr>
      <w:r w:rsidRPr="0FF05B1B">
        <w:rPr>
          <w:rFonts w:ascii="Verdana" w:hAnsi="Verdana" w:eastAsia="Verdana" w:cs="Verdana"/>
          <w:color w:val="000000" w:themeColor="text1"/>
          <w:sz w:val="24"/>
          <w:szCs w:val="24"/>
        </w:rPr>
        <w:t>El análisis del PAA también muestra una alta relación entre la contratación y los proyectos misionales y de soporte, especialmente en las áreas de tecnologías, regalías, energía eléctrica, hidrocarburos, planeación, servicio al ciudadano y asuntos regulatorios. En consecuencia, el PAA se comporta como un instrumento de materialización de la planeación institucional, con capacidad de soportar la ejecución de políticas, estrategias y proyectos, aunque su efectividad depende de una ejecución contractual oportuna y coordinada.</w:t>
      </w:r>
    </w:p>
    <w:p w:rsidRPr="00270ABD" w:rsidR="4B50F055" w:rsidP="006A0A13" w:rsidRDefault="4B50F055" w14:paraId="37089F8C" w14:textId="77777777">
      <w:pPr>
        <w:keepNext/>
        <w:keepLines/>
        <w:spacing w:after="0" w:line="360" w:lineRule="auto"/>
        <w:jc w:val="both"/>
        <w:rPr>
          <w:rFonts w:ascii="Verdana" w:hAnsi="Verdana" w:eastAsiaTheme="majorEastAsia" w:cstheme="majorBidi"/>
          <w:b/>
          <w:bCs/>
          <w:sz w:val="24"/>
          <w:szCs w:val="24"/>
        </w:rPr>
      </w:pPr>
    </w:p>
    <w:p w:rsidRPr="00B0114A" w:rsidR="72B1A4E0" w:rsidRDefault="72B1A4E0" w14:paraId="60DD8C4F" w14:textId="77777777">
      <w:pPr>
        <w:pStyle w:val="Prrafodelista"/>
        <w:numPr>
          <w:ilvl w:val="3"/>
          <w:numId w:val="42"/>
        </w:numPr>
        <w:spacing w:after="0" w:line="360" w:lineRule="auto"/>
        <w:jc w:val="both"/>
        <w:rPr>
          <w:rFonts w:ascii="Verdana" w:hAnsi="Verdana" w:eastAsiaTheme="majorEastAsia" w:cstheme="majorBidi"/>
          <w:b/>
          <w:bCs/>
          <w:sz w:val="24"/>
          <w:szCs w:val="24"/>
        </w:rPr>
      </w:pPr>
      <w:r w:rsidRPr="00B0114A">
        <w:rPr>
          <w:rFonts w:ascii="Verdana" w:hAnsi="Verdana" w:eastAsiaTheme="majorEastAsia" w:cstheme="majorBidi"/>
          <w:b/>
          <w:bCs/>
          <w:sz w:val="24"/>
          <w:szCs w:val="24"/>
        </w:rPr>
        <w:t xml:space="preserve">Plan Institucional de Archivos – PINAR / Programa de Gestión Documental – PGD  </w:t>
      </w:r>
    </w:p>
    <w:p w:rsidRPr="00270ABD" w:rsidR="4B50F055" w:rsidP="006A0A13" w:rsidRDefault="4B50F055" w14:paraId="2E5C935C" w14:textId="77777777">
      <w:pPr>
        <w:keepNext/>
        <w:keepLines/>
        <w:spacing w:after="0" w:line="360" w:lineRule="auto"/>
        <w:jc w:val="both"/>
        <w:rPr>
          <w:rFonts w:ascii="Verdana" w:hAnsi="Verdana" w:eastAsiaTheme="majorEastAsia" w:cstheme="majorBidi"/>
          <w:b/>
          <w:bCs/>
          <w:sz w:val="24"/>
          <w:szCs w:val="24"/>
        </w:rPr>
      </w:pPr>
    </w:p>
    <w:p w:rsidR="72B1A4E0" w:rsidP="006A0A13" w:rsidRDefault="72B1A4E0" w14:paraId="308DF00A" w14:textId="77777777">
      <w:pPr>
        <w:spacing w:after="0" w:line="360" w:lineRule="auto"/>
        <w:jc w:val="both"/>
        <w:rPr>
          <w:rFonts w:ascii="Verdana" w:hAnsi="Verdana" w:eastAsia="Verdana" w:cs="Verdana"/>
          <w:color w:val="000000" w:themeColor="text1"/>
          <w:sz w:val="24"/>
          <w:szCs w:val="24"/>
        </w:rPr>
      </w:pPr>
      <w:r w:rsidRPr="00270ABD">
        <w:rPr>
          <w:rFonts w:ascii="Verdana" w:hAnsi="Verdana" w:eastAsia="Verdana" w:cs="Verdana"/>
          <w:color w:val="000000" w:themeColor="text1"/>
          <w:sz w:val="24"/>
          <w:szCs w:val="24"/>
        </w:rPr>
        <w:t>Durante el periodo evaluado, el Ministerio de Minas y Energía implementó el Plan Institucional de Archivos – PINAR, articulado con el Programa de Gestión Documental – PGD, como instrumento para fortalecer la función archivística, garantizar el acceso a la información, preservar la memoria institucional y cumplir la normatividad archivística vigente. El plan fue formulado para el periodo 2023–2026 y se orientó a mejorar la administración de documentos físicos y electrónicos, en coherencia con la Ley 594 de 2000, la Ley 1712 de 2014 y el Decreto 1080 de 2015.</w:t>
      </w:r>
    </w:p>
    <w:p w:rsidRPr="00270ABD" w:rsidR="00B0114A" w:rsidP="006A0A13" w:rsidRDefault="00B0114A" w14:paraId="503E6B46" w14:textId="77777777">
      <w:pPr>
        <w:spacing w:after="0" w:line="360" w:lineRule="auto"/>
        <w:jc w:val="both"/>
        <w:rPr>
          <w:rFonts w:ascii="Verdana" w:hAnsi="Verdana" w:eastAsia="Verdana" w:cs="Verdana"/>
          <w:color w:val="000000" w:themeColor="text1"/>
          <w:sz w:val="24"/>
          <w:szCs w:val="24"/>
        </w:rPr>
      </w:pPr>
    </w:p>
    <w:p w:rsidR="72B1A4E0" w:rsidP="006A0A13" w:rsidRDefault="72B1A4E0" w14:paraId="05A64CC0" w14:textId="77777777">
      <w:pPr>
        <w:spacing w:after="0" w:line="360" w:lineRule="auto"/>
        <w:jc w:val="both"/>
        <w:rPr>
          <w:rFonts w:ascii="Verdana" w:hAnsi="Verdana" w:eastAsia="Verdana" w:cs="Verdana"/>
          <w:color w:val="000000" w:themeColor="text1"/>
          <w:sz w:val="24"/>
          <w:szCs w:val="24"/>
        </w:rPr>
      </w:pPr>
      <w:r w:rsidRPr="00270ABD">
        <w:rPr>
          <w:rFonts w:ascii="Verdana" w:hAnsi="Verdana" w:eastAsia="Verdana" w:cs="Verdana"/>
          <w:color w:val="000000" w:themeColor="text1"/>
          <w:sz w:val="24"/>
          <w:szCs w:val="24"/>
        </w:rPr>
        <w:t xml:space="preserve">El diagnóstico del PINAR identificó aspectos críticos relacionados con la necesidad de actualizar instrumentos archivísticos, fortalecer la aplicación de herramientas documentales en archivos de gestión y archivo central, articular la capacitación en gestión documental con el PIC, mejorar el apoyo técnico y avanzar en el modelo sistémico de gestión de documentos electrónicos. Para atender estas necesidades, el plan definió proyectos orientados a la actualización de instrumentos archivísticos, la intervención y organización de expedientes y el fortalecimiento del SGDEA – ARGO, </w:t>
      </w:r>
      <w:r w:rsidRPr="00270ABD">
        <w:rPr>
          <w:rFonts w:ascii="Verdana" w:hAnsi="Verdana" w:eastAsia="Verdana" w:cs="Verdana"/>
          <w:color w:val="000000" w:themeColor="text1"/>
          <w:sz w:val="24"/>
          <w:szCs w:val="24"/>
        </w:rPr>
        <w:t>estableciendo metas e indicadores de seguimiento para su implementación.</w:t>
      </w:r>
    </w:p>
    <w:p w:rsidRPr="00270ABD" w:rsidR="00B0114A" w:rsidP="006A0A13" w:rsidRDefault="00B0114A" w14:paraId="57DB1FF0" w14:textId="77777777">
      <w:pPr>
        <w:spacing w:after="0" w:line="360" w:lineRule="auto"/>
        <w:jc w:val="both"/>
        <w:rPr>
          <w:rFonts w:ascii="Verdana" w:hAnsi="Verdana" w:eastAsia="Verdana" w:cs="Verdana"/>
          <w:color w:val="000000" w:themeColor="text1"/>
          <w:sz w:val="24"/>
          <w:szCs w:val="24"/>
        </w:rPr>
      </w:pPr>
    </w:p>
    <w:p w:rsidRPr="00270ABD" w:rsidR="72B1A4E0" w:rsidP="006A0A13" w:rsidRDefault="72B1A4E0" w14:paraId="0C653141" w14:textId="77777777">
      <w:pPr>
        <w:spacing w:after="0" w:line="360" w:lineRule="auto"/>
        <w:jc w:val="both"/>
        <w:rPr>
          <w:rFonts w:ascii="Verdana" w:hAnsi="Verdana" w:eastAsia="Verdana" w:cs="Verdana"/>
          <w:color w:val="000000" w:themeColor="text1"/>
          <w:sz w:val="24"/>
          <w:szCs w:val="24"/>
        </w:rPr>
      </w:pPr>
      <w:r w:rsidRPr="00270ABD">
        <w:rPr>
          <w:rFonts w:ascii="Verdana" w:hAnsi="Verdana" w:eastAsia="Verdana" w:cs="Verdana"/>
          <w:color w:val="000000" w:themeColor="text1"/>
          <w:sz w:val="24"/>
          <w:szCs w:val="24"/>
        </w:rPr>
        <w:t>En términos generales, el PINAR / PGD se encuentra en implementación y consolidación, con avances en la estructuración de proyectos archivísticos y en la planificación de acciones para fortalecer la gestión documental institucional. No obstante, persisten retos asociados a la suficiencia de personal, la apropiación de los instrumentos archivísticos y la consolidación de la gestión documental electrónica como soporte de la transparencia, la eficiencia administrativa y la preservación de la memoria institucional.</w:t>
      </w:r>
    </w:p>
    <w:p w:rsidRPr="00270ABD" w:rsidR="4B50F055" w:rsidP="006A0A13" w:rsidRDefault="4B50F055" w14:paraId="211F2FC8" w14:textId="77777777">
      <w:pPr>
        <w:keepNext/>
        <w:keepLines/>
        <w:spacing w:after="0" w:line="360" w:lineRule="auto"/>
        <w:jc w:val="both"/>
        <w:rPr>
          <w:rFonts w:ascii="Verdana" w:hAnsi="Verdana" w:eastAsiaTheme="majorEastAsia" w:cstheme="majorBidi"/>
          <w:b/>
          <w:bCs/>
          <w:sz w:val="24"/>
          <w:szCs w:val="24"/>
        </w:rPr>
      </w:pPr>
    </w:p>
    <w:p w:rsidRPr="00B0114A" w:rsidR="72B1A4E0" w:rsidRDefault="72B1A4E0" w14:paraId="4478C2BB" w14:textId="77777777">
      <w:pPr>
        <w:pStyle w:val="Prrafodelista"/>
        <w:keepNext/>
        <w:keepLines/>
        <w:numPr>
          <w:ilvl w:val="3"/>
          <w:numId w:val="42"/>
        </w:numPr>
        <w:spacing w:after="0" w:line="360" w:lineRule="auto"/>
        <w:jc w:val="both"/>
        <w:rPr>
          <w:rFonts w:ascii="Verdana" w:hAnsi="Verdana" w:eastAsiaTheme="majorEastAsia" w:cstheme="majorBidi"/>
          <w:b/>
          <w:bCs/>
          <w:sz w:val="24"/>
          <w:szCs w:val="24"/>
        </w:rPr>
      </w:pPr>
      <w:r w:rsidRPr="00B0114A">
        <w:rPr>
          <w:rFonts w:ascii="Verdana" w:hAnsi="Verdana" w:eastAsiaTheme="majorEastAsia" w:cstheme="majorBidi"/>
          <w:b/>
          <w:bCs/>
          <w:sz w:val="24"/>
          <w:szCs w:val="24"/>
        </w:rPr>
        <w:t>Conclusión general de los planes institucionales</w:t>
      </w:r>
    </w:p>
    <w:p w:rsidRPr="00270ABD" w:rsidR="4B50F055" w:rsidP="006A0A13" w:rsidRDefault="4B50F055" w14:paraId="67D346D0" w14:textId="77777777">
      <w:pPr>
        <w:keepNext/>
        <w:keepLines/>
        <w:spacing w:after="0" w:line="360" w:lineRule="auto"/>
        <w:jc w:val="both"/>
        <w:rPr>
          <w:rFonts w:ascii="Verdana" w:hAnsi="Verdana" w:eastAsiaTheme="majorEastAsia" w:cstheme="majorBidi"/>
          <w:b/>
          <w:bCs/>
          <w:sz w:val="24"/>
          <w:szCs w:val="24"/>
        </w:rPr>
      </w:pPr>
    </w:p>
    <w:p w:rsidR="72B1A4E0" w:rsidP="006A0A13" w:rsidRDefault="72B1A4E0" w14:paraId="2F509353" w14:textId="77777777">
      <w:pPr>
        <w:spacing w:after="0" w:line="360" w:lineRule="auto"/>
        <w:jc w:val="both"/>
        <w:rPr>
          <w:rFonts w:ascii="Verdana" w:hAnsi="Verdana" w:eastAsia="Verdana" w:cs="Verdana"/>
          <w:color w:val="000000" w:themeColor="text1"/>
          <w:sz w:val="24"/>
          <w:szCs w:val="24"/>
        </w:rPr>
      </w:pPr>
      <w:r w:rsidRPr="00270ABD">
        <w:rPr>
          <w:rFonts w:ascii="Verdana" w:hAnsi="Verdana" w:eastAsia="Verdana" w:cs="Verdana"/>
          <w:color w:val="000000" w:themeColor="text1"/>
          <w:sz w:val="24"/>
          <w:szCs w:val="24"/>
        </w:rPr>
        <w:t>El análisis integral de los planes institucionales del Ministerio de Minas y Energía permite concluir que la entidad ha consolidado una estructura de planeación amplia, técnicamente organizada y progresivamente articulada, con avances reconocibles en la gestión del talento humano, bienestar laboral, seguridad y salud en el trabajo, transformación digital, seguridad de la información, participación ciudadana, transparencia, integridad y ejecución contractual. En términos generales, los distintos planes muestran coherencia entre sí, así como una relación clara con el MIPG, el Plan Nacional de Desarrollo y los objetivos estratégicos del sector.</w:t>
      </w:r>
    </w:p>
    <w:p w:rsidRPr="00270ABD" w:rsidR="00B0114A" w:rsidP="006A0A13" w:rsidRDefault="00B0114A" w14:paraId="413090FF" w14:textId="77777777">
      <w:pPr>
        <w:spacing w:after="0" w:line="360" w:lineRule="auto"/>
        <w:jc w:val="both"/>
        <w:rPr>
          <w:rFonts w:ascii="Verdana" w:hAnsi="Verdana" w:eastAsia="Verdana" w:cs="Verdana"/>
          <w:color w:val="000000" w:themeColor="text1"/>
          <w:sz w:val="24"/>
          <w:szCs w:val="24"/>
        </w:rPr>
      </w:pPr>
    </w:p>
    <w:p w:rsidR="72B1A4E0" w:rsidP="006A0A13" w:rsidRDefault="72B1A4E0" w14:paraId="7F37692A" w14:textId="77777777">
      <w:pPr>
        <w:spacing w:after="0" w:line="360" w:lineRule="auto"/>
        <w:jc w:val="both"/>
        <w:rPr>
          <w:rFonts w:ascii="Verdana" w:hAnsi="Verdana" w:eastAsia="Verdana" w:cs="Verdana"/>
          <w:color w:val="000000" w:themeColor="text1"/>
          <w:sz w:val="24"/>
          <w:szCs w:val="24"/>
        </w:rPr>
      </w:pPr>
      <w:r w:rsidRPr="00270ABD">
        <w:rPr>
          <w:rFonts w:ascii="Verdana" w:hAnsi="Verdana" w:eastAsia="Verdana" w:cs="Verdana"/>
          <w:color w:val="000000" w:themeColor="text1"/>
          <w:sz w:val="24"/>
          <w:szCs w:val="24"/>
        </w:rPr>
        <w:t xml:space="preserve">De igual forma, se identifican fortalezas institucionales importantes: la madurez del PETH, la estabilidad del Plan de Acción Institucional, el fortalecimiento del bienestar y la capacitación, la consolidación del PETI como herramienta de transformación digital, el paso del PAAC al PTEP como modelo más avanzado de integridad pública, y la evolución de la </w:t>
      </w:r>
      <w:r w:rsidRPr="00270ABD">
        <w:rPr>
          <w:rFonts w:ascii="Verdana" w:hAnsi="Verdana" w:eastAsia="Verdana" w:cs="Verdana"/>
          <w:color w:val="000000" w:themeColor="text1"/>
          <w:sz w:val="24"/>
          <w:szCs w:val="24"/>
        </w:rPr>
        <w:t>participación ciudadana hacia escenarios de mayor incidencia y control social. Todo ello muestra una entidad que ha transitado desde ejercicios de planeación más instrumentales hacia una gestión cada vez más integral y orientada a resultados.</w:t>
      </w:r>
    </w:p>
    <w:p w:rsidRPr="00270ABD" w:rsidR="00B0114A" w:rsidP="006A0A13" w:rsidRDefault="00B0114A" w14:paraId="0BCA6AFE" w14:textId="77777777">
      <w:pPr>
        <w:spacing w:after="0" w:line="360" w:lineRule="auto"/>
        <w:jc w:val="both"/>
        <w:rPr>
          <w:rFonts w:ascii="Verdana" w:hAnsi="Verdana" w:eastAsia="Verdana" w:cs="Verdana"/>
          <w:color w:val="000000" w:themeColor="text1"/>
          <w:sz w:val="24"/>
          <w:szCs w:val="24"/>
        </w:rPr>
      </w:pPr>
    </w:p>
    <w:p w:rsidR="4B50F055" w:rsidP="006A0A13" w:rsidRDefault="72B1A4E0" w14:paraId="6F775A21" w14:textId="6FBE8193">
      <w:pPr>
        <w:spacing w:after="0" w:line="360" w:lineRule="auto"/>
        <w:jc w:val="both"/>
        <w:rPr>
          <w:rFonts w:ascii="Verdana" w:hAnsi="Verdana" w:eastAsia="Verdana" w:cs="Verdana"/>
          <w:color w:val="000000" w:themeColor="text1"/>
          <w:sz w:val="24"/>
          <w:szCs w:val="24"/>
        </w:rPr>
      </w:pPr>
      <w:r w:rsidRPr="30CF4445" w:rsidR="1F516666">
        <w:rPr>
          <w:rFonts w:ascii="Verdana" w:hAnsi="Verdana" w:eastAsia="Verdana" w:cs="Verdana"/>
          <w:color w:val="000000" w:themeColor="text1" w:themeTint="FF" w:themeShade="FF"/>
          <w:sz w:val="24"/>
          <w:szCs w:val="24"/>
        </w:rPr>
        <w:t>No obstante, persisten retos estructurales que deben ser atendidos en los próximos ciclos institucionales. Entre ellos se destacan el aumento de vacantes, la incidencia pensional sobre la planta, la necesidad de fortalecer la transferencia de conocimiento, la baja madurez en gestión de proyectos TI, las brechas en interoperabilidad y algunas limitaciones en consolidación de activos de información, monitoreo y automatización. En consecuencia, puede afirmarse que el Ministerio se encuentra en una fase de consolidación estratégica de sus planes institucionales, con avances significativos y con condiciones favorables para seguir fortaleciendo su eficiencia administrativa, su sostenibilidad organizacional y su capacidad de generación de valor público</w:t>
      </w:r>
      <w:r w:rsidRPr="30CF4445" w:rsidR="1790617F">
        <w:rPr>
          <w:rFonts w:ascii="Verdana" w:hAnsi="Verdana" w:eastAsia="Verdana" w:cs="Verdana"/>
          <w:color w:val="000000" w:themeColor="text1" w:themeTint="FF" w:themeShade="FF"/>
          <w:sz w:val="24"/>
          <w:szCs w:val="24"/>
        </w:rPr>
        <w:t>.</w:t>
      </w:r>
    </w:p>
    <w:p w:rsidRPr="00270ABD" w:rsidR="00B0114A" w:rsidP="006A0A13" w:rsidRDefault="00B0114A" w14:paraId="50C9853F" w14:textId="77777777">
      <w:pPr>
        <w:spacing w:after="0" w:line="360" w:lineRule="auto"/>
        <w:jc w:val="both"/>
        <w:rPr>
          <w:rFonts w:ascii="Verdana" w:hAnsi="Verdana" w:eastAsia="Verdana" w:cs="Verdana"/>
          <w:color w:val="000000" w:themeColor="text1"/>
          <w:sz w:val="24"/>
          <w:szCs w:val="24"/>
        </w:rPr>
      </w:pPr>
    </w:p>
    <w:p w:rsidRPr="00B0114A" w:rsidR="00B0114A" w:rsidRDefault="00A82055" w14:paraId="5E099308" w14:textId="77777777">
      <w:pPr>
        <w:pStyle w:val="Ttulo2"/>
        <w:numPr>
          <w:ilvl w:val="1"/>
          <w:numId w:val="42"/>
        </w:numPr>
        <w:spacing w:before="0" w:after="0" w:line="360" w:lineRule="auto"/>
        <w:rPr>
          <w:rFonts w:ascii="Verdana" w:hAnsi="Verdana"/>
          <w:b/>
          <w:bCs/>
          <w:color w:val="auto"/>
          <w:sz w:val="24"/>
          <w:szCs w:val="24"/>
        </w:rPr>
      </w:pPr>
      <w:bookmarkStart w:name="_Toc233996722" w:id="5"/>
      <w:r w:rsidRPr="00270ABD">
        <w:rPr>
          <w:rFonts w:ascii="Verdana" w:hAnsi="Verdana"/>
          <w:b/>
          <w:bCs/>
          <w:color w:val="auto"/>
          <w:sz w:val="24"/>
          <w:szCs w:val="24"/>
        </w:rPr>
        <w:t>Nuestros Logros (resultados en términos del aporte a las metas del PND y logros estratégicos del MME)</w:t>
      </w:r>
      <w:bookmarkEnd w:id="5"/>
    </w:p>
    <w:p w:rsidRPr="00270ABD" w:rsidR="00FA7B09" w:rsidP="006A0A13" w:rsidRDefault="00FA7B09" w14:paraId="305A8F3F" w14:textId="77777777">
      <w:pPr>
        <w:spacing w:after="0" w:line="360" w:lineRule="auto"/>
        <w:rPr>
          <w:rFonts w:ascii="Verdana" w:hAnsi="Verdana"/>
          <w:sz w:val="24"/>
          <w:szCs w:val="24"/>
        </w:rPr>
      </w:pPr>
    </w:p>
    <w:p w:rsidR="00B0114A" w:rsidP="006A0A13" w:rsidRDefault="00FA7B09" w14:paraId="1D362899" w14:textId="77777777">
      <w:pPr>
        <w:spacing w:after="0" w:line="360" w:lineRule="auto"/>
        <w:jc w:val="both"/>
        <w:rPr>
          <w:rFonts w:ascii="Verdana" w:hAnsi="Verdana"/>
          <w:sz w:val="24"/>
          <w:szCs w:val="24"/>
        </w:rPr>
      </w:pPr>
      <w:r w:rsidRPr="00270ABD">
        <w:rPr>
          <w:rFonts w:ascii="Verdana" w:hAnsi="Verdana"/>
          <w:sz w:val="24"/>
          <w:szCs w:val="24"/>
        </w:rPr>
        <w:t xml:space="preserve">A continuación, se presenta el balance de avance de las metas sectoriales del Plan Nacional de Desarrollo 2022–2026 a cargo del sector minero-energético, destacando los principales resultados alcanzados durante el cuatrienio y su contribución al cumplimiento de las prioridades estratégicas del Gobierno Nacional. Estas metas han orientado la gestión sectorial hacia la consolidación de una Transición Energética Justa, promoviendo la diversificación de la matriz energética, el fortalecimiento de las energías renovables, la democratización del acceso a la energía, el cierre de brechas territoriales, el desarrollo de comunidades energéticas, la sostenibilidad ambiental y el fortalecimiento de la seguridad y soberanía </w:t>
      </w:r>
      <w:r w:rsidRPr="00270ABD">
        <w:rPr>
          <w:rFonts w:ascii="Verdana" w:hAnsi="Verdana"/>
          <w:sz w:val="24"/>
          <w:szCs w:val="24"/>
        </w:rPr>
        <w:t>energética del país. Los avances presentados permiten evidenciar el aporte del sector al cumplimiento de los objetivos de desarrollo sostenible, la transformación productiva de los territorios y la construcción de un modelo energético más inclusivo, resiliente y equitativo.</w:t>
      </w:r>
    </w:p>
    <w:p w:rsidR="00B0114A" w:rsidP="006A0A13" w:rsidRDefault="00B0114A" w14:paraId="41C03EB6" w14:textId="77777777">
      <w:pPr>
        <w:spacing w:after="0" w:line="360" w:lineRule="auto"/>
        <w:jc w:val="both"/>
        <w:rPr>
          <w:rFonts w:ascii="Verdana" w:hAnsi="Verdana"/>
          <w:sz w:val="24"/>
          <w:szCs w:val="24"/>
        </w:rPr>
      </w:pPr>
    </w:p>
    <w:p w:rsidRPr="00E558DE" w:rsidR="00B0114A" w:rsidP="00E558DE" w:rsidRDefault="00FA7B09" w14:paraId="0732B0C0" w14:textId="77777777">
      <w:pPr>
        <w:spacing w:after="0" w:line="240" w:lineRule="auto"/>
        <w:jc w:val="center"/>
        <w:rPr>
          <w:rFonts w:ascii="Verdana" w:hAnsi="Verdana"/>
          <w:sz w:val="18"/>
          <w:szCs w:val="18"/>
        </w:rPr>
      </w:pPr>
      <w:r w:rsidRPr="00B0114A">
        <w:rPr>
          <w:rFonts w:ascii="Verdana" w:hAnsi="Verdana"/>
          <w:sz w:val="18"/>
          <w:szCs w:val="18"/>
        </w:rPr>
        <w:t xml:space="preserve">Tabla </w:t>
      </w:r>
      <w:r w:rsidR="00E558DE">
        <w:rPr>
          <w:rFonts w:ascii="Verdana" w:hAnsi="Verdana"/>
          <w:sz w:val="18"/>
          <w:szCs w:val="18"/>
        </w:rPr>
        <w:t>No. 17</w:t>
      </w:r>
      <w:r w:rsidRPr="00B0114A">
        <w:rPr>
          <w:rFonts w:ascii="Verdana" w:hAnsi="Verdana"/>
          <w:sz w:val="18"/>
          <w:szCs w:val="18"/>
        </w:rPr>
        <w:t>. Avances metas PND 2022-2026</w:t>
      </w:r>
    </w:p>
    <w:tbl>
      <w:tblPr>
        <w:tblW w:w="7083" w:type="dxa"/>
        <w:jc w:val="center"/>
        <w:tblCellMar>
          <w:left w:w="70" w:type="dxa"/>
          <w:right w:w="70" w:type="dxa"/>
        </w:tblCellMar>
        <w:tblLook w:val="04A0" w:firstRow="1" w:lastRow="0" w:firstColumn="1" w:lastColumn="0" w:noHBand="0" w:noVBand="1"/>
      </w:tblPr>
      <w:tblGrid>
        <w:gridCol w:w="1410"/>
        <w:gridCol w:w="2951"/>
        <w:gridCol w:w="1361"/>
        <w:gridCol w:w="1361"/>
      </w:tblGrid>
      <w:tr w:rsidRPr="00B0114A" w:rsidR="00550054" w:rsidTr="30CF4445" w14:paraId="742B2758" w14:textId="77777777">
        <w:trPr>
          <w:trHeight w:val="600"/>
          <w:jc w:val="center"/>
        </w:trPr>
        <w:tc>
          <w:tcPr>
            <w:tcW w:w="1410" w:type="dxa"/>
            <w:tcBorders>
              <w:top w:val="single" w:color="auto" w:sz="4" w:space="0"/>
              <w:left w:val="single" w:color="auto" w:sz="4" w:space="0"/>
              <w:bottom w:val="single" w:color="auto" w:sz="4" w:space="0"/>
              <w:right w:val="single" w:color="auto" w:sz="4" w:space="0"/>
            </w:tcBorders>
            <w:shd w:val="clear" w:color="auto" w:fill="A6A6A6" w:themeFill="background1" w:themeFillShade="A6"/>
            <w:tcMar/>
            <w:vAlign w:val="center"/>
            <w:hideMark/>
          </w:tcPr>
          <w:p w:rsidRPr="00B0114A" w:rsidR="00550054" w:rsidP="00B0114A" w:rsidRDefault="00550054" w14:paraId="3EB3670E" w14:textId="77777777">
            <w:pPr>
              <w:spacing w:after="0" w:line="240" w:lineRule="auto"/>
              <w:jc w:val="center"/>
              <w:rPr>
                <w:rFonts w:ascii="Verdana" w:hAnsi="Verdana" w:eastAsia="Times New Roman" w:cs="Calibri"/>
                <w:b/>
                <w:bCs/>
                <w:color w:val="000000"/>
                <w:sz w:val="18"/>
                <w:szCs w:val="18"/>
                <w:lang w:eastAsia="es-MX"/>
              </w:rPr>
            </w:pPr>
            <w:r w:rsidRPr="00B0114A">
              <w:rPr>
                <w:rFonts w:ascii="Verdana" w:hAnsi="Verdana" w:eastAsia="Times New Roman" w:cs="Calibri"/>
                <w:b/>
                <w:bCs/>
                <w:color w:val="000000"/>
                <w:sz w:val="18"/>
                <w:szCs w:val="18"/>
                <w:lang w:eastAsia="es-MX"/>
              </w:rPr>
              <w:t>Pivote</w:t>
            </w:r>
          </w:p>
        </w:tc>
        <w:tc>
          <w:tcPr>
            <w:tcW w:w="3075" w:type="dxa"/>
            <w:tcBorders>
              <w:top w:val="single" w:color="auto" w:sz="4" w:space="0"/>
              <w:left w:val="nil"/>
              <w:bottom w:val="single" w:color="auto" w:sz="4" w:space="0"/>
              <w:right w:val="single" w:color="auto" w:sz="4" w:space="0"/>
            </w:tcBorders>
            <w:shd w:val="clear" w:color="auto" w:fill="A6A6A6" w:themeFill="background1" w:themeFillShade="A6"/>
            <w:tcMar/>
            <w:vAlign w:val="center"/>
            <w:hideMark/>
          </w:tcPr>
          <w:p w:rsidRPr="00B0114A" w:rsidR="00550054" w:rsidP="00B0114A" w:rsidRDefault="00550054" w14:paraId="03854B7F" w14:textId="77777777">
            <w:pPr>
              <w:spacing w:after="0" w:line="240" w:lineRule="auto"/>
              <w:jc w:val="center"/>
              <w:rPr>
                <w:rFonts w:ascii="Verdana" w:hAnsi="Verdana" w:eastAsia="Times New Roman" w:cs="Calibri"/>
                <w:b/>
                <w:bCs/>
                <w:color w:val="000000"/>
                <w:sz w:val="18"/>
                <w:szCs w:val="18"/>
                <w:lang w:eastAsia="es-MX"/>
              </w:rPr>
            </w:pPr>
            <w:r w:rsidRPr="00B0114A">
              <w:rPr>
                <w:rFonts w:ascii="Verdana" w:hAnsi="Verdana" w:eastAsia="Times New Roman" w:cs="Calibri"/>
                <w:b/>
                <w:bCs/>
                <w:color w:val="000000"/>
                <w:sz w:val="18"/>
                <w:szCs w:val="18"/>
                <w:lang w:eastAsia="es-MX"/>
              </w:rPr>
              <w:t>Indicador PND</w:t>
            </w:r>
            <w:r w:rsidRPr="00B0114A">
              <w:rPr>
                <w:rFonts w:ascii="Arial" w:hAnsi="Arial" w:eastAsia="Times New Roman" w:cs="Arial"/>
                <w:color w:val="000000"/>
                <w:sz w:val="18"/>
                <w:szCs w:val="18"/>
                <w:lang w:eastAsia="es-MX"/>
              </w:rPr>
              <w:t>​</w:t>
            </w:r>
          </w:p>
        </w:tc>
        <w:tc>
          <w:tcPr>
            <w:tcW w:w="1240" w:type="dxa"/>
            <w:tcBorders>
              <w:top w:val="single" w:color="auto" w:sz="4" w:space="0"/>
              <w:left w:val="nil"/>
              <w:bottom w:val="single" w:color="auto" w:sz="4" w:space="0"/>
              <w:right w:val="single" w:color="auto" w:sz="4" w:space="0"/>
            </w:tcBorders>
            <w:shd w:val="clear" w:color="auto" w:fill="A6A6A6" w:themeFill="background1" w:themeFillShade="A6"/>
            <w:tcMar/>
            <w:vAlign w:val="center"/>
            <w:hideMark/>
          </w:tcPr>
          <w:p w:rsidRPr="00B0114A" w:rsidR="00550054" w:rsidP="00B0114A" w:rsidRDefault="00550054" w14:paraId="2BADFE96" w14:textId="77777777">
            <w:pPr>
              <w:spacing w:after="0" w:line="240" w:lineRule="auto"/>
              <w:jc w:val="center"/>
              <w:rPr>
                <w:rFonts w:ascii="Verdana" w:hAnsi="Verdana" w:eastAsia="Times New Roman" w:cs="Calibri"/>
                <w:b/>
                <w:bCs/>
                <w:color w:val="000000"/>
                <w:sz w:val="18"/>
                <w:szCs w:val="18"/>
                <w:lang w:eastAsia="es-MX"/>
              </w:rPr>
            </w:pPr>
            <w:r w:rsidRPr="00B0114A">
              <w:rPr>
                <w:rFonts w:ascii="Verdana" w:hAnsi="Verdana" w:eastAsia="Times New Roman" w:cs="Calibri"/>
                <w:b/>
                <w:bCs/>
                <w:color w:val="000000"/>
                <w:sz w:val="18"/>
                <w:szCs w:val="18"/>
                <w:lang w:eastAsia="es-MX"/>
              </w:rPr>
              <w:t>Meta cuatrienio</w:t>
            </w:r>
            <w:r w:rsidRPr="00B0114A">
              <w:rPr>
                <w:rFonts w:ascii="Arial" w:hAnsi="Arial" w:eastAsia="Times New Roman" w:cs="Arial"/>
                <w:color w:val="000000"/>
                <w:sz w:val="18"/>
                <w:szCs w:val="18"/>
                <w:lang w:eastAsia="es-MX"/>
              </w:rPr>
              <w:t>​</w:t>
            </w:r>
          </w:p>
        </w:tc>
        <w:tc>
          <w:tcPr>
            <w:tcW w:w="1358" w:type="dxa"/>
            <w:tcBorders>
              <w:top w:val="single" w:color="auto" w:sz="4" w:space="0"/>
              <w:left w:val="nil"/>
              <w:bottom w:val="single" w:color="auto" w:sz="4" w:space="0"/>
              <w:right w:val="single" w:color="auto" w:sz="4" w:space="0"/>
            </w:tcBorders>
            <w:shd w:val="clear" w:color="auto" w:fill="A6A6A6" w:themeFill="background1" w:themeFillShade="A6"/>
            <w:tcMar/>
            <w:vAlign w:val="center"/>
            <w:hideMark/>
          </w:tcPr>
          <w:p w:rsidRPr="00B0114A" w:rsidR="00550054" w:rsidP="00B0114A" w:rsidRDefault="00550054" w14:paraId="4D0C83DA" w14:textId="77777777">
            <w:pPr>
              <w:spacing w:after="0" w:line="240" w:lineRule="auto"/>
              <w:jc w:val="center"/>
              <w:rPr>
                <w:rFonts w:ascii="Verdana" w:hAnsi="Verdana" w:eastAsia="Times New Roman" w:cs="Calibri"/>
                <w:b/>
                <w:bCs/>
                <w:color w:val="000000"/>
                <w:sz w:val="18"/>
                <w:szCs w:val="18"/>
                <w:lang w:eastAsia="es-MX"/>
              </w:rPr>
            </w:pPr>
            <w:r w:rsidRPr="00B0114A">
              <w:rPr>
                <w:rFonts w:ascii="Verdana" w:hAnsi="Verdana" w:eastAsia="Times New Roman" w:cs="Calibri"/>
                <w:b/>
                <w:bCs/>
                <w:color w:val="000000"/>
                <w:sz w:val="18"/>
                <w:szCs w:val="18"/>
                <w:lang w:eastAsia="es-MX"/>
              </w:rPr>
              <w:t>Avance cuatrienio</w:t>
            </w:r>
            <w:r w:rsidRPr="00B0114A">
              <w:rPr>
                <w:rFonts w:ascii="Arial" w:hAnsi="Arial" w:eastAsia="Times New Roman" w:cs="Arial"/>
                <w:color w:val="000000"/>
                <w:sz w:val="18"/>
                <w:szCs w:val="18"/>
                <w:lang w:eastAsia="es-MX"/>
              </w:rPr>
              <w:t>​</w:t>
            </w:r>
          </w:p>
        </w:tc>
      </w:tr>
      <w:tr w:rsidRPr="00B0114A" w:rsidR="00550054" w:rsidTr="30CF4445" w14:paraId="2097636B" w14:textId="77777777">
        <w:trPr>
          <w:trHeight w:val="1252"/>
          <w:jc w:val="center"/>
        </w:trPr>
        <w:tc>
          <w:tcPr>
            <w:tcW w:w="1410" w:type="dxa"/>
            <w:tcBorders>
              <w:top w:val="nil"/>
              <w:left w:val="single" w:color="auto" w:sz="4" w:space="0"/>
              <w:bottom w:val="single" w:color="auto" w:sz="4" w:space="0"/>
              <w:right w:val="single" w:color="auto" w:sz="4" w:space="0"/>
            </w:tcBorders>
            <w:noWrap/>
            <w:tcMar/>
            <w:vAlign w:val="center"/>
            <w:hideMark/>
          </w:tcPr>
          <w:p w:rsidRPr="00B0114A" w:rsidR="00550054" w:rsidP="00B0114A" w:rsidRDefault="00550054" w14:paraId="3691636A" w14:textId="77777777">
            <w:pPr>
              <w:spacing w:after="0" w:line="240" w:lineRule="auto"/>
              <w:jc w:val="center"/>
              <w:rPr>
                <w:rFonts w:ascii="Verdana" w:hAnsi="Verdana" w:eastAsia="Times New Roman" w:cs="Calibri"/>
                <w:color w:val="000000"/>
                <w:sz w:val="18"/>
                <w:szCs w:val="18"/>
                <w:lang w:eastAsia="es-MX"/>
              </w:rPr>
            </w:pPr>
            <w:r w:rsidRPr="00B0114A">
              <w:rPr>
                <w:rFonts w:ascii="Verdana" w:hAnsi="Verdana" w:eastAsia="Times New Roman" w:cs="Calibri"/>
                <w:color w:val="000000"/>
                <w:sz w:val="18"/>
                <w:szCs w:val="18"/>
                <w:lang w:eastAsia="es-MX"/>
              </w:rPr>
              <w:t>Energía</w:t>
            </w:r>
          </w:p>
        </w:tc>
        <w:tc>
          <w:tcPr>
            <w:tcW w:w="3075" w:type="dxa"/>
            <w:tcBorders>
              <w:top w:val="nil"/>
              <w:left w:val="nil"/>
              <w:bottom w:val="single" w:color="auto" w:sz="4" w:space="0"/>
              <w:right w:val="single" w:color="auto" w:sz="4" w:space="0"/>
            </w:tcBorders>
            <w:tcMar/>
            <w:vAlign w:val="center"/>
            <w:hideMark/>
          </w:tcPr>
          <w:p w:rsidRPr="00B0114A" w:rsidR="00550054" w:rsidP="00B0114A" w:rsidRDefault="00550054" w14:paraId="029FAA82" w14:textId="77777777">
            <w:pPr>
              <w:spacing w:after="0" w:line="240" w:lineRule="auto"/>
              <w:rPr>
                <w:rFonts w:ascii="Verdana" w:hAnsi="Verdana" w:eastAsia="Times New Roman" w:cs="Calibri"/>
                <w:color w:val="000000"/>
                <w:sz w:val="18"/>
                <w:szCs w:val="18"/>
                <w:lang w:eastAsia="es-MX"/>
              </w:rPr>
            </w:pPr>
            <w:r w:rsidRPr="00B0114A">
              <w:rPr>
                <w:rFonts w:ascii="Verdana" w:hAnsi="Verdana" w:eastAsia="Times New Roman" w:cs="Calibri"/>
                <w:color w:val="000000"/>
                <w:sz w:val="18"/>
                <w:szCs w:val="18"/>
                <w:lang w:eastAsia="es-MX"/>
              </w:rPr>
              <w:t>171 - Nuevos usuarios con generación de energía a partir de fuentes no convencionales de energía renovable que se benefician de comunidades energéticas</w:t>
            </w:r>
            <w:r w:rsidRPr="00B0114A">
              <w:rPr>
                <w:rFonts w:ascii="Arial" w:hAnsi="Arial" w:eastAsia="Times New Roman" w:cs="Arial"/>
                <w:color w:val="000000"/>
                <w:sz w:val="18"/>
                <w:szCs w:val="18"/>
                <w:lang w:eastAsia="es-MX"/>
              </w:rPr>
              <w:t>​</w:t>
            </w:r>
          </w:p>
        </w:tc>
        <w:tc>
          <w:tcPr>
            <w:tcW w:w="1240" w:type="dxa"/>
            <w:tcBorders>
              <w:top w:val="nil"/>
              <w:left w:val="nil"/>
              <w:bottom w:val="single" w:color="auto" w:sz="4" w:space="0"/>
              <w:right w:val="single" w:color="auto" w:sz="4" w:space="0"/>
            </w:tcBorders>
            <w:tcMar/>
            <w:vAlign w:val="center"/>
            <w:hideMark/>
          </w:tcPr>
          <w:p w:rsidRPr="00B0114A" w:rsidR="00550054" w:rsidP="00B0114A" w:rsidRDefault="00550054" w14:paraId="425CFE44" w14:textId="77777777">
            <w:pPr>
              <w:spacing w:after="0" w:line="240" w:lineRule="auto"/>
              <w:jc w:val="center"/>
              <w:rPr>
                <w:rFonts w:ascii="Verdana" w:hAnsi="Verdana" w:eastAsia="Times New Roman" w:cs="Calibri"/>
                <w:color w:val="000000"/>
                <w:sz w:val="18"/>
                <w:szCs w:val="18"/>
                <w:lang w:eastAsia="es-MX"/>
              </w:rPr>
            </w:pPr>
            <w:r w:rsidRPr="00B0114A">
              <w:rPr>
                <w:rFonts w:ascii="Verdana" w:hAnsi="Verdana" w:eastAsia="Times New Roman" w:cs="Calibri"/>
                <w:color w:val="000000"/>
                <w:sz w:val="18"/>
                <w:szCs w:val="18"/>
                <w:lang w:eastAsia="es-MX"/>
              </w:rPr>
              <w:t xml:space="preserve">20.000 </w:t>
            </w:r>
            <w:r w:rsidRPr="00B0114A">
              <w:rPr>
                <w:rFonts w:ascii="Arial" w:hAnsi="Arial" w:eastAsia="Times New Roman" w:cs="Arial"/>
                <w:color w:val="000000"/>
                <w:sz w:val="18"/>
                <w:szCs w:val="18"/>
                <w:lang w:eastAsia="es-MX"/>
              </w:rPr>
              <w:t>​</w:t>
            </w:r>
            <w:r w:rsidRPr="00B0114A">
              <w:rPr>
                <w:rFonts w:ascii="Verdana" w:hAnsi="Verdana" w:eastAsia="Times New Roman" w:cs="Calibri"/>
                <w:color w:val="000000"/>
                <w:sz w:val="18"/>
                <w:szCs w:val="18"/>
                <w:lang w:eastAsia="es-MX"/>
              </w:rPr>
              <w:br/>
            </w:r>
            <w:r w:rsidRPr="00B0114A">
              <w:rPr>
                <w:rFonts w:ascii="Verdana" w:hAnsi="Verdana" w:eastAsia="Times New Roman" w:cs="Calibri"/>
                <w:color w:val="000000"/>
                <w:sz w:val="18"/>
                <w:szCs w:val="18"/>
                <w:lang w:eastAsia="es-MX"/>
              </w:rPr>
              <w:t>Comunidades energéticas</w:t>
            </w:r>
            <w:r w:rsidRPr="00B0114A">
              <w:rPr>
                <w:rFonts w:ascii="Arial" w:hAnsi="Arial" w:eastAsia="Times New Roman" w:cs="Arial"/>
                <w:color w:val="000000"/>
                <w:sz w:val="18"/>
                <w:szCs w:val="18"/>
                <w:lang w:eastAsia="es-MX"/>
              </w:rPr>
              <w:t>​</w:t>
            </w:r>
          </w:p>
        </w:tc>
        <w:tc>
          <w:tcPr>
            <w:tcW w:w="1358" w:type="dxa"/>
            <w:tcBorders>
              <w:top w:val="nil"/>
              <w:left w:val="nil"/>
              <w:bottom w:val="single" w:color="auto" w:sz="4" w:space="0"/>
              <w:right w:val="single" w:color="auto" w:sz="4" w:space="0"/>
            </w:tcBorders>
            <w:tcMar/>
            <w:vAlign w:val="center"/>
            <w:hideMark/>
          </w:tcPr>
          <w:p w:rsidRPr="00B0114A" w:rsidR="00550054" w:rsidP="00B0114A" w:rsidRDefault="00550054" w14:paraId="049343A9" w14:textId="77777777">
            <w:pPr>
              <w:spacing w:after="0" w:line="240" w:lineRule="auto"/>
              <w:jc w:val="center"/>
              <w:rPr>
                <w:rFonts w:ascii="Verdana" w:hAnsi="Verdana" w:eastAsia="Times New Roman" w:cs="Calibri"/>
                <w:color w:val="000000"/>
                <w:sz w:val="18"/>
                <w:szCs w:val="18"/>
                <w:lang w:eastAsia="es-MX"/>
              </w:rPr>
            </w:pPr>
            <w:r w:rsidRPr="00B0114A">
              <w:rPr>
                <w:rFonts w:ascii="Verdana" w:hAnsi="Verdana" w:eastAsia="Times New Roman" w:cs="Calibri"/>
                <w:color w:val="000000"/>
                <w:sz w:val="18"/>
                <w:szCs w:val="18"/>
                <w:lang w:eastAsia="es-MX"/>
              </w:rPr>
              <w:t>44,16%</w:t>
            </w:r>
            <w:r w:rsidRPr="00B0114A">
              <w:rPr>
                <w:rFonts w:ascii="Arial" w:hAnsi="Arial" w:eastAsia="Times New Roman" w:cs="Arial"/>
                <w:color w:val="000000"/>
                <w:sz w:val="18"/>
                <w:szCs w:val="18"/>
                <w:lang w:eastAsia="es-MX"/>
              </w:rPr>
              <w:t>​</w:t>
            </w:r>
            <w:r w:rsidRPr="00B0114A">
              <w:rPr>
                <w:rFonts w:ascii="Verdana" w:hAnsi="Verdana" w:eastAsia="Times New Roman" w:cs="Calibri"/>
                <w:color w:val="000000"/>
                <w:sz w:val="18"/>
                <w:szCs w:val="18"/>
                <w:lang w:eastAsia="es-MX"/>
              </w:rPr>
              <w:br/>
            </w:r>
            <w:r w:rsidRPr="00B0114A">
              <w:rPr>
                <w:rFonts w:ascii="Verdana" w:hAnsi="Verdana" w:eastAsia="Times New Roman" w:cs="Calibri"/>
                <w:color w:val="000000"/>
                <w:sz w:val="18"/>
                <w:szCs w:val="18"/>
                <w:lang w:eastAsia="es-MX"/>
              </w:rPr>
              <w:t>8.833 Comunidades Energéticas</w:t>
            </w:r>
            <w:r w:rsidRPr="00B0114A">
              <w:rPr>
                <w:rFonts w:ascii="Arial" w:hAnsi="Arial" w:eastAsia="Times New Roman" w:cs="Arial"/>
                <w:color w:val="000000"/>
                <w:sz w:val="18"/>
                <w:szCs w:val="18"/>
                <w:lang w:eastAsia="es-MX"/>
              </w:rPr>
              <w:t>​</w:t>
            </w:r>
          </w:p>
        </w:tc>
      </w:tr>
      <w:tr w:rsidRPr="00B0114A" w:rsidR="00550054" w:rsidTr="30CF4445" w14:paraId="7AD8414A" w14:textId="77777777">
        <w:trPr>
          <w:trHeight w:val="774"/>
          <w:jc w:val="center"/>
        </w:trPr>
        <w:tc>
          <w:tcPr>
            <w:tcW w:w="1410" w:type="dxa"/>
            <w:tcBorders>
              <w:top w:val="nil"/>
              <w:left w:val="single" w:color="auto" w:sz="4" w:space="0"/>
              <w:bottom w:val="single" w:color="auto" w:sz="4" w:space="0"/>
              <w:right w:val="single" w:color="auto" w:sz="4" w:space="0"/>
            </w:tcBorders>
            <w:noWrap/>
            <w:tcMar/>
            <w:vAlign w:val="center"/>
            <w:hideMark/>
          </w:tcPr>
          <w:p w:rsidRPr="00B0114A" w:rsidR="00550054" w:rsidP="00B0114A" w:rsidRDefault="00550054" w14:paraId="6ACDBC1C" w14:textId="77777777">
            <w:pPr>
              <w:spacing w:after="0" w:line="240" w:lineRule="auto"/>
              <w:jc w:val="center"/>
              <w:rPr>
                <w:rFonts w:ascii="Verdana" w:hAnsi="Verdana" w:eastAsia="Times New Roman" w:cs="Calibri"/>
                <w:color w:val="000000"/>
                <w:sz w:val="18"/>
                <w:szCs w:val="18"/>
                <w:lang w:eastAsia="es-MX"/>
              </w:rPr>
            </w:pPr>
            <w:r w:rsidRPr="00B0114A">
              <w:rPr>
                <w:rFonts w:ascii="Verdana" w:hAnsi="Verdana" w:eastAsia="Times New Roman" w:cs="Calibri"/>
                <w:color w:val="000000"/>
                <w:sz w:val="18"/>
                <w:szCs w:val="18"/>
                <w:lang w:eastAsia="es-MX"/>
              </w:rPr>
              <w:t>Energía</w:t>
            </w:r>
          </w:p>
        </w:tc>
        <w:tc>
          <w:tcPr>
            <w:tcW w:w="3075" w:type="dxa"/>
            <w:tcBorders>
              <w:top w:val="nil"/>
              <w:left w:val="nil"/>
              <w:bottom w:val="single" w:color="auto" w:sz="4" w:space="0"/>
              <w:right w:val="single" w:color="auto" w:sz="4" w:space="0"/>
            </w:tcBorders>
            <w:tcMar/>
            <w:vAlign w:val="center"/>
            <w:hideMark/>
          </w:tcPr>
          <w:p w:rsidRPr="00B0114A" w:rsidR="00550054" w:rsidP="00B0114A" w:rsidRDefault="00550054" w14:paraId="71B67FDF" w14:textId="77777777">
            <w:pPr>
              <w:spacing w:after="0" w:line="240" w:lineRule="auto"/>
              <w:rPr>
                <w:rFonts w:ascii="Verdana" w:hAnsi="Verdana" w:eastAsia="Times New Roman" w:cs="Calibri"/>
                <w:color w:val="000000"/>
                <w:sz w:val="18"/>
                <w:szCs w:val="18"/>
                <w:lang w:eastAsia="es-MX"/>
              </w:rPr>
            </w:pPr>
            <w:r w:rsidRPr="00B0114A">
              <w:rPr>
                <w:rFonts w:ascii="Verdana" w:hAnsi="Verdana" w:eastAsia="Times New Roman" w:cs="Calibri"/>
                <w:color w:val="000000"/>
                <w:sz w:val="18"/>
                <w:szCs w:val="18"/>
                <w:lang w:eastAsia="es-MX"/>
              </w:rPr>
              <w:t>172 - Nuevos usuarios con servicio de energía eléctrica beneficiados con recursos públicos y privados</w:t>
            </w:r>
            <w:r w:rsidRPr="00B0114A">
              <w:rPr>
                <w:rFonts w:ascii="Arial" w:hAnsi="Arial" w:eastAsia="Times New Roman" w:cs="Arial"/>
                <w:color w:val="000000"/>
                <w:sz w:val="18"/>
                <w:szCs w:val="18"/>
                <w:lang w:eastAsia="es-MX"/>
              </w:rPr>
              <w:t>​</w:t>
            </w:r>
          </w:p>
        </w:tc>
        <w:tc>
          <w:tcPr>
            <w:tcW w:w="1240" w:type="dxa"/>
            <w:tcBorders>
              <w:top w:val="nil"/>
              <w:left w:val="nil"/>
              <w:bottom w:val="single" w:color="auto" w:sz="4" w:space="0"/>
              <w:right w:val="single" w:color="auto" w:sz="4" w:space="0"/>
            </w:tcBorders>
            <w:tcMar/>
            <w:vAlign w:val="center"/>
            <w:hideMark/>
          </w:tcPr>
          <w:p w:rsidRPr="00B0114A" w:rsidR="00550054" w:rsidP="00B0114A" w:rsidRDefault="00550054" w14:paraId="0154780A" w14:textId="42566DE7">
            <w:pPr>
              <w:spacing w:after="0" w:line="240" w:lineRule="auto"/>
              <w:jc w:val="center"/>
              <w:rPr>
                <w:rFonts w:ascii="Verdana" w:hAnsi="Verdana" w:eastAsia="Times New Roman" w:cs="Calibri"/>
                <w:color w:val="000000"/>
                <w:sz w:val="18"/>
                <w:szCs w:val="18"/>
                <w:lang w:eastAsia="es-MX"/>
              </w:rPr>
            </w:pPr>
            <w:r w:rsidRPr="30CF4445" w:rsidR="76C30C18">
              <w:rPr>
                <w:rFonts w:ascii="Verdana" w:hAnsi="Verdana" w:eastAsia="Times New Roman" w:cs="Calibri"/>
                <w:color w:val="000000" w:themeColor="text1" w:themeTint="FF" w:themeShade="FF"/>
                <w:sz w:val="18"/>
                <w:szCs w:val="18"/>
                <w:lang w:eastAsia="es-MX"/>
              </w:rPr>
              <w:t>145.000</w:t>
            </w:r>
            <w:r w:rsidRPr="30CF4445" w:rsidR="76C30C18">
              <w:rPr>
                <w:rFonts w:ascii="Arial" w:hAnsi="Arial" w:eastAsia="Times New Roman" w:cs="Arial"/>
                <w:color w:val="000000" w:themeColor="text1" w:themeTint="FF" w:themeShade="FF"/>
                <w:sz w:val="18"/>
                <w:szCs w:val="18"/>
                <w:lang w:eastAsia="es-MX"/>
              </w:rPr>
              <w:t>​</w:t>
            </w:r>
            <w:r>
              <w:br/>
            </w:r>
            <w:r w:rsidRPr="30CF4445" w:rsidR="4AADA3DF">
              <w:rPr>
                <w:rFonts w:ascii="Verdana" w:hAnsi="Verdana" w:eastAsia="Times New Roman" w:cs="Calibri"/>
                <w:color w:val="000000" w:themeColor="text1" w:themeTint="FF" w:themeShade="FF"/>
                <w:sz w:val="18"/>
                <w:szCs w:val="18"/>
                <w:lang w:eastAsia="es-MX"/>
              </w:rPr>
              <w:t>u</w:t>
            </w:r>
            <w:r w:rsidRPr="30CF4445" w:rsidR="76C30C18">
              <w:rPr>
                <w:rFonts w:ascii="Verdana" w:hAnsi="Verdana" w:eastAsia="Times New Roman" w:cs="Calibri"/>
                <w:color w:val="000000" w:themeColor="text1" w:themeTint="FF" w:themeShade="FF"/>
                <w:sz w:val="18"/>
                <w:szCs w:val="18"/>
                <w:lang w:eastAsia="es-MX"/>
              </w:rPr>
              <w:t>suarios</w:t>
            </w:r>
            <w:r w:rsidRPr="30CF4445" w:rsidR="76C30C18">
              <w:rPr>
                <w:rFonts w:ascii="Arial" w:hAnsi="Arial" w:eastAsia="Times New Roman" w:cs="Arial"/>
                <w:color w:val="000000" w:themeColor="text1" w:themeTint="FF" w:themeShade="FF"/>
                <w:sz w:val="18"/>
                <w:szCs w:val="18"/>
                <w:lang w:eastAsia="es-MX"/>
              </w:rPr>
              <w:t>​</w:t>
            </w:r>
          </w:p>
        </w:tc>
        <w:tc>
          <w:tcPr>
            <w:tcW w:w="1358" w:type="dxa"/>
            <w:tcBorders>
              <w:top w:val="nil"/>
              <w:left w:val="nil"/>
              <w:bottom w:val="single" w:color="auto" w:sz="4" w:space="0"/>
              <w:right w:val="single" w:color="auto" w:sz="4" w:space="0"/>
            </w:tcBorders>
            <w:tcMar/>
            <w:vAlign w:val="center"/>
            <w:hideMark/>
          </w:tcPr>
          <w:p w:rsidRPr="00B0114A" w:rsidR="00550054" w:rsidP="00B0114A" w:rsidRDefault="00550054" w14:paraId="208DCC03" w14:textId="77777777">
            <w:pPr>
              <w:spacing w:after="0" w:line="240" w:lineRule="auto"/>
              <w:jc w:val="center"/>
              <w:rPr>
                <w:rFonts w:ascii="Verdana" w:hAnsi="Verdana" w:eastAsia="Times New Roman" w:cs="Calibri"/>
                <w:color w:val="000000"/>
                <w:sz w:val="18"/>
                <w:szCs w:val="18"/>
                <w:lang w:eastAsia="es-MX"/>
              </w:rPr>
            </w:pPr>
            <w:r w:rsidRPr="00B0114A">
              <w:rPr>
                <w:rFonts w:ascii="Verdana" w:hAnsi="Verdana" w:eastAsia="Times New Roman" w:cs="Calibri"/>
                <w:color w:val="000000"/>
                <w:sz w:val="18"/>
                <w:szCs w:val="18"/>
                <w:lang w:eastAsia="es-MX"/>
              </w:rPr>
              <w:t>117,24%</w:t>
            </w:r>
            <w:r w:rsidRPr="00B0114A">
              <w:rPr>
                <w:rFonts w:ascii="Verdana" w:hAnsi="Verdana" w:eastAsia="Times New Roman" w:cs="Calibri"/>
                <w:color w:val="000000"/>
                <w:sz w:val="18"/>
                <w:szCs w:val="18"/>
                <w:lang w:eastAsia="es-MX"/>
              </w:rPr>
              <w:br/>
            </w:r>
            <w:r w:rsidRPr="00B0114A">
              <w:rPr>
                <w:rFonts w:ascii="Verdana" w:hAnsi="Verdana" w:eastAsia="Times New Roman" w:cs="Calibri"/>
                <w:color w:val="000000"/>
                <w:sz w:val="18"/>
                <w:szCs w:val="18"/>
                <w:lang w:eastAsia="es-MX"/>
              </w:rPr>
              <w:t>169.997 usuarios</w:t>
            </w:r>
            <w:r w:rsidRPr="00B0114A">
              <w:rPr>
                <w:rFonts w:ascii="Arial" w:hAnsi="Arial" w:eastAsia="Times New Roman" w:cs="Arial"/>
                <w:color w:val="000000"/>
                <w:sz w:val="18"/>
                <w:szCs w:val="18"/>
                <w:lang w:eastAsia="es-MX"/>
              </w:rPr>
              <w:t>​</w:t>
            </w:r>
          </w:p>
        </w:tc>
      </w:tr>
      <w:tr w:rsidRPr="00B0114A" w:rsidR="00550054" w:rsidTr="30CF4445" w14:paraId="679B3B47" w14:textId="77777777">
        <w:trPr>
          <w:trHeight w:val="487"/>
          <w:jc w:val="center"/>
        </w:trPr>
        <w:tc>
          <w:tcPr>
            <w:tcW w:w="1410" w:type="dxa"/>
            <w:tcBorders>
              <w:top w:val="nil"/>
              <w:left w:val="single" w:color="auto" w:sz="4" w:space="0"/>
              <w:bottom w:val="single" w:color="auto" w:sz="4" w:space="0"/>
              <w:right w:val="single" w:color="auto" w:sz="4" w:space="0"/>
            </w:tcBorders>
            <w:noWrap/>
            <w:tcMar/>
            <w:vAlign w:val="center"/>
            <w:hideMark/>
          </w:tcPr>
          <w:p w:rsidRPr="00B0114A" w:rsidR="00550054" w:rsidP="00B0114A" w:rsidRDefault="00550054" w14:paraId="554DB40C" w14:textId="77777777">
            <w:pPr>
              <w:spacing w:after="0" w:line="240" w:lineRule="auto"/>
              <w:jc w:val="center"/>
              <w:rPr>
                <w:rFonts w:ascii="Verdana" w:hAnsi="Verdana" w:eastAsia="Times New Roman" w:cs="Calibri"/>
                <w:color w:val="000000"/>
                <w:sz w:val="18"/>
                <w:szCs w:val="18"/>
                <w:lang w:eastAsia="es-MX"/>
              </w:rPr>
            </w:pPr>
            <w:r w:rsidRPr="00B0114A">
              <w:rPr>
                <w:rFonts w:ascii="Verdana" w:hAnsi="Verdana" w:eastAsia="Times New Roman" w:cs="Calibri"/>
                <w:color w:val="000000"/>
                <w:sz w:val="18"/>
                <w:szCs w:val="18"/>
                <w:lang w:eastAsia="es-MX"/>
              </w:rPr>
              <w:t>Hidrocarburos</w:t>
            </w:r>
          </w:p>
        </w:tc>
        <w:tc>
          <w:tcPr>
            <w:tcW w:w="3075" w:type="dxa"/>
            <w:tcBorders>
              <w:top w:val="nil"/>
              <w:left w:val="nil"/>
              <w:bottom w:val="single" w:color="auto" w:sz="4" w:space="0"/>
              <w:right w:val="single" w:color="auto" w:sz="4" w:space="0"/>
            </w:tcBorders>
            <w:tcMar/>
            <w:vAlign w:val="center"/>
            <w:hideMark/>
          </w:tcPr>
          <w:p w:rsidRPr="00B0114A" w:rsidR="00550054" w:rsidP="00B0114A" w:rsidRDefault="00550054" w14:paraId="210111D8" w14:textId="77777777">
            <w:pPr>
              <w:spacing w:after="0" w:line="240" w:lineRule="auto"/>
              <w:rPr>
                <w:rFonts w:ascii="Verdana" w:hAnsi="Verdana" w:eastAsia="Times New Roman" w:cs="Calibri"/>
                <w:color w:val="000000"/>
                <w:sz w:val="18"/>
                <w:szCs w:val="18"/>
                <w:lang w:eastAsia="es-MX"/>
              </w:rPr>
            </w:pPr>
            <w:r w:rsidRPr="00B0114A">
              <w:rPr>
                <w:rFonts w:ascii="Verdana" w:hAnsi="Verdana" w:eastAsia="Times New Roman" w:cs="Calibri"/>
                <w:color w:val="000000"/>
                <w:sz w:val="18"/>
                <w:szCs w:val="18"/>
                <w:lang w:eastAsia="es-MX"/>
              </w:rPr>
              <w:t>173 - Usuarios residenciales conectados al servicio domiciliario de gas combustible por redes</w:t>
            </w:r>
            <w:r w:rsidRPr="00B0114A">
              <w:rPr>
                <w:rFonts w:ascii="Arial" w:hAnsi="Arial" w:eastAsia="Times New Roman" w:cs="Arial"/>
                <w:color w:val="000000"/>
                <w:sz w:val="18"/>
                <w:szCs w:val="18"/>
                <w:lang w:eastAsia="es-MX"/>
              </w:rPr>
              <w:t>​</w:t>
            </w:r>
          </w:p>
        </w:tc>
        <w:tc>
          <w:tcPr>
            <w:tcW w:w="1240" w:type="dxa"/>
            <w:tcBorders>
              <w:top w:val="nil"/>
              <w:left w:val="nil"/>
              <w:bottom w:val="single" w:color="auto" w:sz="4" w:space="0"/>
              <w:right w:val="single" w:color="auto" w:sz="4" w:space="0"/>
            </w:tcBorders>
            <w:tcMar/>
            <w:vAlign w:val="center"/>
            <w:hideMark/>
          </w:tcPr>
          <w:p w:rsidRPr="00B0114A" w:rsidR="00550054" w:rsidP="00B0114A" w:rsidRDefault="00550054" w14:paraId="41164B02" w14:textId="10CD91AD">
            <w:pPr>
              <w:spacing w:after="0" w:line="240" w:lineRule="auto"/>
              <w:jc w:val="center"/>
              <w:rPr>
                <w:rFonts w:ascii="Verdana" w:hAnsi="Verdana" w:eastAsia="Times New Roman" w:cs="Calibri"/>
                <w:color w:val="000000"/>
                <w:sz w:val="18"/>
                <w:szCs w:val="18"/>
                <w:lang w:eastAsia="es-MX"/>
              </w:rPr>
            </w:pPr>
            <w:r w:rsidRPr="30CF4445" w:rsidR="76C30C18">
              <w:rPr>
                <w:rFonts w:ascii="Verdana" w:hAnsi="Verdana" w:eastAsia="Times New Roman" w:cs="Calibri"/>
                <w:color w:val="000000" w:themeColor="text1" w:themeTint="FF" w:themeShade="FF"/>
                <w:sz w:val="18"/>
                <w:szCs w:val="18"/>
                <w:lang w:eastAsia="es-MX"/>
              </w:rPr>
              <w:t>12.759.110</w:t>
            </w:r>
            <w:r w:rsidRPr="30CF4445" w:rsidR="76C30C18">
              <w:rPr>
                <w:rFonts w:ascii="Arial" w:hAnsi="Arial" w:eastAsia="Times New Roman" w:cs="Arial"/>
                <w:color w:val="000000" w:themeColor="text1" w:themeTint="FF" w:themeShade="FF"/>
                <w:sz w:val="18"/>
                <w:szCs w:val="18"/>
                <w:lang w:eastAsia="es-MX"/>
              </w:rPr>
              <w:t>​</w:t>
            </w:r>
            <w:r>
              <w:br/>
            </w:r>
            <w:r w:rsidRPr="30CF4445" w:rsidR="342A45B8">
              <w:rPr>
                <w:rFonts w:ascii="Verdana" w:hAnsi="Verdana" w:eastAsia="Times New Roman" w:cs="Calibri"/>
                <w:color w:val="000000" w:themeColor="text1" w:themeTint="FF" w:themeShade="FF"/>
                <w:sz w:val="18"/>
                <w:szCs w:val="18"/>
                <w:lang w:eastAsia="es-MX"/>
              </w:rPr>
              <w:t>u</w:t>
            </w:r>
            <w:r w:rsidRPr="30CF4445" w:rsidR="76C30C18">
              <w:rPr>
                <w:rFonts w:ascii="Verdana" w:hAnsi="Verdana" w:eastAsia="Times New Roman" w:cs="Calibri"/>
                <w:color w:val="000000" w:themeColor="text1" w:themeTint="FF" w:themeShade="FF"/>
                <w:sz w:val="18"/>
                <w:szCs w:val="18"/>
                <w:lang w:eastAsia="es-MX"/>
              </w:rPr>
              <w:t>suarios</w:t>
            </w:r>
            <w:r w:rsidRPr="30CF4445" w:rsidR="76C30C18">
              <w:rPr>
                <w:rFonts w:ascii="Arial" w:hAnsi="Arial" w:eastAsia="Times New Roman" w:cs="Arial"/>
                <w:color w:val="000000" w:themeColor="text1" w:themeTint="FF" w:themeShade="FF"/>
                <w:sz w:val="18"/>
                <w:szCs w:val="18"/>
                <w:lang w:eastAsia="es-MX"/>
              </w:rPr>
              <w:t>​</w:t>
            </w:r>
          </w:p>
        </w:tc>
        <w:tc>
          <w:tcPr>
            <w:tcW w:w="1358" w:type="dxa"/>
            <w:tcBorders>
              <w:top w:val="nil"/>
              <w:left w:val="nil"/>
              <w:bottom w:val="single" w:color="auto" w:sz="4" w:space="0"/>
              <w:right w:val="single" w:color="auto" w:sz="4" w:space="0"/>
            </w:tcBorders>
            <w:tcMar/>
            <w:vAlign w:val="center"/>
            <w:hideMark/>
          </w:tcPr>
          <w:p w:rsidRPr="00B0114A" w:rsidR="00550054" w:rsidP="00B0114A" w:rsidRDefault="00550054" w14:paraId="0F4866C5" w14:textId="77777777">
            <w:pPr>
              <w:spacing w:after="0" w:line="240" w:lineRule="auto"/>
              <w:jc w:val="center"/>
              <w:rPr>
                <w:rFonts w:ascii="Verdana" w:hAnsi="Verdana" w:eastAsia="Times New Roman" w:cs="Calibri"/>
                <w:color w:val="000000"/>
                <w:sz w:val="18"/>
                <w:szCs w:val="18"/>
                <w:lang w:eastAsia="es-MX"/>
              </w:rPr>
            </w:pPr>
            <w:r w:rsidRPr="00B0114A">
              <w:rPr>
                <w:rFonts w:ascii="Verdana" w:hAnsi="Verdana" w:eastAsia="Times New Roman" w:cs="Calibri"/>
                <w:color w:val="000000"/>
                <w:sz w:val="18"/>
                <w:szCs w:val="18"/>
                <w:lang w:eastAsia="es-MX"/>
              </w:rPr>
              <w:t>92,04%</w:t>
            </w:r>
            <w:r w:rsidRPr="00B0114A">
              <w:rPr>
                <w:rFonts w:ascii="Arial" w:hAnsi="Arial" w:eastAsia="Times New Roman" w:cs="Arial"/>
                <w:color w:val="000000"/>
                <w:sz w:val="18"/>
                <w:szCs w:val="18"/>
                <w:lang w:eastAsia="es-MX"/>
              </w:rPr>
              <w:t>​</w:t>
            </w:r>
            <w:r w:rsidRPr="00B0114A">
              <w:rPr>
                <w:rFonts w:ascii="Verdana" w:hAnsi="Verdana" w:eastAsia="Times New Roman" w:cs="Calibri"/>
                <w:color w:val="000000"/>
                <w:sz w:val="18"/>
                <w:szCs w:val="18"/>
                <w:lang w:eastAsia="es-MX"/>
              </w:rPr>
              <w:br/>
            </w:r>
            <w:r w:rsidRPr="00B0114A">
              <w:rPr>
                <w:rFonts w:ascii="Verdana" w:hAnsi="Verdana" w:eastAsia="Times New Roman" w:cs="Calibri"/>
                <w:color w:val="000000"/>
                <w:sz w:val="18"/>
                <w:szCs w:val="18"/>
                <w:lang w:eastAsia="es-MX"/>
              </w:rPr>
              <w:t>12,639,735 Usuarios</w:t>
            </w:r>
            <w:r w:rsidRPr="00B0114A">
              <w:rPr>
                <w:rFonts w:ascii="Arial" w:hAnsi="Arial" w:eastAsia="Times New Roman" w:cs="Arial"/>
                <w:color w:val="000000"/>
                <w:sz w:val="18"/>
                <w:szCs w:val="18"/>
                <w:lang w:eastAsia="es-MX"/>
              </w:rPr>
              <w:t>​</w:t>
            </w:r>
          </w:p>
        </w:tc>
      </w:tr>
      <w:tr w:rsidRPr="00B0114A" w:rsidR="00550054" w:rsidTr="30CF4445" w14:paraId="7E0BC5E0" w14:textId="77777777">
        <w:trPr>
          <w:trHeight w:val="627"/>
          <w:jc w:val="center"/>
        </w:trPr>
        <w:tc>
          <w:tcPr>
            <w:tcW w:w="1410" w:type="dxa"/>
            <w:tcBorders>
              <w:top w:val="nil"/>
              <w:left w:val="single" w:color="auto" w:sz="4" w:space="0"/>
              <w:bottom w:val="single" w:color="auto" w:sz="4" w:space="0"/>
              <w:right w:val="single" w:color="auto" w:sz="4" w:space="0"/>
            </w:tcBorders>
            <w:noWrap/>
            <w:tcMar/>
            <w:vAlign w:val="center"/>
            <w:hideMark/>
          </w:tcPr>
          <w:p w:rsidRPr="00B0114A" w:rsidR="00550054" w:rsidP="00B0114A" w:rsidRDefault="00550054" w14:paraId="493DF6F9" w14:textId="77777777">
            <w:pPr>
              <w:spacing w:after="0" w:line="240" w:lineRule="auto"/>
              <w:jc w:val="center"/>
              <w:rPr>
                <w:rFonts w:ascii="Verdana" w:hAnsi="Verdana" w:eastAsia="Times New Roman" w:cs="Calibri"/>
                <w:color w:val="000000"/>
                <w:sz w:val="18"/>
                <w:szCs w:val="18"/>
                <w:lang w:eastAsia="es-MX"/>
              </w:rPr>
            </w:pPr>
            <w:r w:rsidRPr="00B0114A">
              <w:rPr>
                <w:rFonts w:ascii="Verdana" w:hAnsi="Verdana" w:eastAsia="Times New Roman" w:cs="Calibri"/>
                <w:color w:val="000000"/>
                <w:sz w:val="18"/>
                <w:szCs w:val="18"/>
                <w:lang w:eastAsia="es-MX"/>
              </w:rPr>
              <w:t>Energía</w:t>
            </w:r>
          </w:p>
        </w:tc>
        <w:tc>
          <w:tcPr>
            <w:tcW w:w="3075" w:type="dxa"/>
            <w:tcBorders>
              <w:top w:val="nil"/>
              <w:left w:val="nil"/>
              <w:bottom w:val="single" w:color="auto" w:sz="4" w:space="0"/>
              <w:right w:val="single" w:color="auto" w:sz="4" w:space="0"/>
            </w:tcBorders>
            <w:tcMar/>
            <w:vAlign w:val="center"/>
            <w:hideMark/>
          </w:tcPr>
          <w:p w:rsidRPr="00B0114A" w:rsidR="00550054" w:rsidP="00B0114A" w:rsidRDefault="00550054" w14:paraId="693882AD" w14:textId="77777777">
            <w:pPr>
              <w:spacing w:after="0" w:line="240" w:lineRule="auto"/>
              <w:rPr>
                <w:rFonts w:ascii="Verdana" w:hAnsi="Verdana" w:eastAsia="Times New Roman" w:cs="Calibri"/>
                <w:color w:val="000000"/>
                <w:sz w:val="18"/>
                <w:szCs w:val="18"/>
                <w:lang w:eastAsia="es-MX"/>
              </w:rPr>
            </w:pPr>
            <w:r w:rsidRPr="00B0114A">
              <w:rPr>
                <w:rFonts w:ascii="Verdana" w:hAnsi="Verdana" w:eastAsia="Times New Roman" w:cs="Calibri"/>
                <w:color w:val="000000"/>
                <w:sz w:val="18"/>
                <w:szCs w:val="18"/>
                <w:lang w:eastAsia="es-MX"/>
              </w:rPr>
              <w:t>24 - Capacidad en operación comercial de generación eléctrica a partir de fuentes no convencionales de energía renovable – FNCER.</w:t>
            </w:r>
            <w:r w:rsidRPr="00B0114A">
              <w:rPr>
                <w:rFonts w:ascii="Arial" w:hAnsi="Arial" w:eastAsia="Times New Roman" w:cs="Arial"/>
                <w:color w:val="000000"/>
                <w:sz w:val="18"/>
                <w:szCs w:val="18"/>
                <w:lang w:eastAsia="es-MX"/>
              </w:rPr>
              <w:t>​</w:t>
            </w:r>
          </w:p>
        </w:tc>
        <w:tc>
          <w:tcPr>
            <w:tcW w:w="1240" w:type="dxa"/>
            <w:tcBorders>
              <w:top w:val="nil"/>
              <w:left w:val="nil"/>
              <w:bottom w:val="single" w:color="auto" w:sz="4" w:space="0"/>
              <w:right w:val="single" w:color="auto" w:sz="4" w:space="0"/>
            </w:tcBorders>
            <w:tcMar/>
            <w:vAlign w:val="center"/>
            <w:hideMark/>
          </w:tcPr>
          <w:p w:rsidRPr="00B0114A" w:rsidR="00550054" w:rsidP="00B0114A" w:rsidRDefault="00550054" w14:paraId="37FA06FB" w14:textId="77777777">
            <w:pPr>
              <w:spacing w:after="0" w:line="240" w:lineRule="auto"/>
              <w:jc w:val="center"/>
              <w:rPr>
                <w:rFonts w:ascii="Verdana" w:hAnsi="Verdana" w:eastAsia="Times New Roman" w:cs="Calibri"/>
                <w:color w:val="000000"/>
                <w:sz w:val="18"/>
                <w:szCs w:val="18"/>
                <w:lang w:eastAsia="es-MX"/>
              </w:rPr>
            </w:pPr>
            <w:r w:rsidRPr="00B0114A">
              <w:rPr>
                <w:rFonts w:ascii="Verdana" w:hAnsi="Verdana" w:eastAsia="Times New Roman" w:cs="Calibri"/>
                <w:color w:val="000000"/>
                <w:sz w:val="18"/>
                <w:szCs w:val="18"/>
                <w:lang w:eastAsia="es-MX"/>
              </w:rPr>
              <w:t xml:space="preserve">2.297,08 MW </w:t>
            </w:r>
            <w:r w:rsidRPr="00B0114A">
              <w:rPr>
                <w:rFonts w:ascii="Arial" w:hAnsi="Arial" w:eastAsia="Times New Roman" w:cs="Arial"/>
                <w:color w:val="000000"/>
                <w:sz w:val="18"/>
                <w:szCs w:val="18"/>
                <w:lang w:eastAsia="es-MX"/>
              </w:rPr>
              <w:t>​</w:t>
            </w:r>
          </w:p>
        </w:tc>
        <w:tc>
          <w:tcPr>
            <w:tcW w:w="1358" w:type="dxa"/>
            <w:tcBorders>
              <w:top w:val="nil"/>
              <w:left w:val="nil"/>
              <w:bottom w:val="single" w:color="auto" w:sz="4" w:space="0"/>
              <w:right w:val="single" w:color="auto" w:sz="4" w:space="0"/>
            </w:tcBorders>
            <w:tcMar/>
            <w:vAlign w:val="center"/>
            <w:hideMark/>
          </w:tcPr>
          <w:p w:rsidRPr="00B0114A" w:rsidR="00550054" w:rsidP="00B0114A" w:rsidRDefault="00550054" w14:paraId="0DEAA6C0" w14:textId="77777777">
            <w:pPr>
              <w:spacing w:after="0" w:line="240" w:lineRule="auto"/>
              <w:jc w:val="center"/>
              <w:rPr>
                <w:rFonts w:ascii="Verdana" w:hAnsi="Verdana" w:eastAsia="Times New Roman" w:cs="Calibri"/>
                <w:color w:val="000000"/>
                <w:sz w:val="18"/>
                <w:szCs w:val="18"/>
                <w:lang w:eastAsia="es-MX"/>
              </w:rPr>
            </w:pPr>
            <w:r w:rsidRPr="00B0114A">
              <w:rPr>
                <w:rFonts w:ascii="Verdana" w:hAnsi="Verdana" w:eastAsia="Times New Roman" w:cs="Calibri"/>
                <w:color w:val="000000"/>
                <w:sz w:val="18"/>
                <w:szCs w:val="18"/>
                <w:lang w:eastAsia="es-MX"/>
              </w:rPr>
              <w:t>108.48%</w:t>
            </w:r>
            <w:r w:rsidRPr="00B0114A">
              <w:rPr>
                <w:rFonts w:ascii="Arial" w:hAnsi="Arial" w:eastAsia="Times New Roman" w:cs="Arial"/>
                <w:color w:val="000000"/>
                <w:sz w:val="18"/>
                <w:szCs w:val="18"/>
                <w:lang w:eastAsia="es-MX"/>
              </w:rPr>
              <w:t>​</w:t>
            </w:r>
            <w:r w:rsidRPr="00B0114A">
              <w:rPr>
                <w:rFonts w:ascii="Verdana" w:hAnsi="Verdana" w:eastAsia="Times New Roman" w:cs="Calibri"/>
                <w:color w:val="000000"/>
                <w:sz w:val="18"/>
                <w:szCs w:val="18"/>
                <w:lang w:eastAsia="es-MX"/>
              </w:rPr>
              <w:br/>
            </w:r>
            <w:r w:rsidRPr="00B0114A">
              <w:rPr>
                <w:rFonts w:ascii="Verdana" w:hAnsi="Verdana" w:eastAsia="Times New Roman" w:cs="Calibri"/>
                <w:color w:val="000000"/>
                <w:sz w:val="18"/>
                <w:szCs w:val="18"/>
                <w:lang w:eastAsia="es-MX"/>
              </w:rPr>
              <w:t>2.466,58 MW</w:t>
            </w:r>
            <w:r w:rsidRPr="00B0114A">
              <w:rPr>
                <w:rFonts w:ascii="Arial" w:hAnsi="Arial" w:eastAsia="Times New Roman" w:cs="Arial"/>
                <w:color w:val="000000"/>
                <w:sz w:val="18"/>
                <w:szCs w:val="18"/>
                <w:lang w:eastAsia="es-MX"/>
              </w:rPr>
              <w:t>​</w:t>
            </w:r>
          </w:p>
        </w:tc>
      </w:tr>
      <w:tr w:rsidRPr="00B0114A" w:rsidR="00550054" w:rsidTr="30CF4445" w14:paraId="40CD4962" w14:textId="77777777">
        <w:trPr>
          <w:trHeight w:val="89"/>
          <w:jc w:val="center"/>
        </w:trPr>
        <w:tc>
          <w:tcPr>
            <w:tcW w:w="1410" w:type="dxa"/>
            <w:tcBorders>
              <w:top w:val="nil"/>
              <w:left w:val="single" w:color="auto" w:sz="4" w:space="0"/>
              <w:bottom w:val="single" w:color="auto" w:sz="4" w:space="0"/>
              <w:right w:val="single" w:color="auto" w:sz="4" w:space="0"/>
            </w:tcBorders>
            <w:noWrap/>
            <w:tcMar/>
            <w:vAlign w:val="center"/>
            <w:hideMark/>
          </w:tcPr>
          <w:p w:rsidRPr="00B0114A" w:rsidR="00550054" w:rsidP="00B0114A" w:rsidRDefault="00550054" w14:paraId="24B31012" w14:textId="77777777">
            <w:pPr>
              <w:spacing w:after="0" w:line="240" w:lineRule="auto"/>
              <w:jc w:val="center"/>
              <w:rPr>
                <w:rFonts w:ascii="Verdana" w:hAnsi="Verdana" w:eastAsia="Times New Roman" w:cs="Calibri"/>
                <w:color w:val="000000"/>
                <w:sz w:val="18"/>
                <w:szCs w:val="18"/>
                <w:lang w:eastAsia="es-MX"/>
              </w:rPr>
            </w:pPr>
            <w:r w:rsidRPr="00B0114A">
              <w:rPr>
                <w:rFonts w:ascii="Verdana" w:hAnsi="Verdana" w:eastAsia="Times New Roman" w:cs="Calibri"/>
                <w:color w:val="000000"/>
                <w:sz w:val="18"/>
                <w:szCs w:val="18"/>
                <w:lang w:eastAsia="es-MX"/>
              </w:rPr>
              <w:t>Minería</w:t>
            </w:r>
          </w:p>
        </w:tc>
        <w:tc>
          <w:tcPr>
            <w:tcW w:w="3075" w:type="dxa"/>
            <w:tcBorders>
              <w:top w:val="nil"/>
              <w:left w:val="nil"/>
              <w:bottom w:val="single" w:color="auto" w:sz="4" w:space="0"/>
              <w:right w:val="single" w:color="auto" w:sz="4" w:space="0"/>
            </w:tcBorders>
            <w:tcMar/>
            <w:vAlign w:val="center"/>
            <w:hideMark/>
          </w:tcPr>
          <w:p w:rsidRPr="00B0114A" w:rsidR="00550054" w:rsidP="00B0114A" w:rsidRDefault="00550054" w14:paraId="047C5963" w14:textId="77777777">
            <w:pPr>
              <w:spacing w:after="0" w:line="240" w:lineRule="auto"/>
              <w:rPr>
                <w:rFonts w:ascii="Verdana" w:hAnsi="Verdana" w:eastAsia="Times New Roman" w:cs="Calibri"/>
                <w:color w:val="000000"/>
                <w:sz w:val="18"/>
                <w:szCs w:val="18"/>
                <w:lang w:eastAsia="es-MX"/>
              </w:rPr>
            </w:pPr>
            <w:r w:rsidRPr="00B0114A">
              <w:rPr>
                <w:rFonts w:ascii="Verdana" w:hAnsi="Verdana" w:eastAsia="Times New Roman" w:cs="Calibri"/>
                <w:color w:val="000000"/>
                <w:sz w:val="18"/>
                <w:szCs w:val="18"/>
                <w:lang w:eastAsia="es-MX"/>
              </w:rPr>
              <w:t>169 - Nuevas áreas asignadas para aprovechamiento de minerales estratégicos</w:t>
            </w:r>
            <w:r w:rsidRPr="00B0114A">
              <w:rPr>
                <w:rFonts w:ascii="Arial" w:hAnsi="Arial" w:eastAsia="Times New Roman" w:cs="Arial"/>
                <w:color w:val="000000"/>
                <w:sz w:val="18"/>
                <w:szCs w:val="18"/>
                <w:lang w:eastAsia="es-MX"/>
              </w:rPr>
              <w:t>​</w:t>
            </w:r>
          </w:p>
        </w:tc>
        <w:tc>
          <w:tcPr>
            <w:tcW w:w="1240" w:type="dxa"/>
            <w:tcBorders>
              <w:top w:val="nil"/>
              <w:left w:val="nil"/>
              <w:bottom w:val="single" w:color="auto" w:sz="4" w:space="0"/>
              <w:right w:val="single" w:color="auto" w:sz="4" w:space="0"/>
            </w:tcBorders>
            <w:tcMar/>
            <w:vAlign w:val="center"/>
            <w:hideMark/>
          </w:tcPr>
          <w:p w:rsidRPr="00B0114A" w:rsidR="00550054" w:rsidP="00B0114A" w:rsidRDefault="00550054" w14:paraId="317DCC16" w14:textId="77777777">
            <w:pPr>
              <w:spacing w:after="0" w:line="240" w:lineRule="auto"/>
              <w:jc w:val="center"/>
              <w:rPr>
                <w:rFonts w:ascii="Verdana" w:hAnsi="Verdana" w:eastAsia="Times New Roman" w:cs="Calibri"/>
                <w:color w:val="000000"/>
                <w:sz w:val="18"/>
                <w:szCs w:val="18"/>
                <w:lang w:eastAsia="es-MX"/>
              </w:rPr>
            </w:pPr>
            <w:r w:rsidRPr="00B0114A">
              <w:rPr>
                <w:rFonts w:ascii="Verdana" w:hAnsi="Verdana" w:eastAsia="Times New Roman" w:cs="Calibri"/>
                <w:color w:val="000000"/>
                <w:sz w:val="18"/>
                <w:szCs w:val="18"/>
                <w:lang w:eastAsia="es-MX"/>
              </w:rPr>
              <w:t>30 áreas</w:t>
            </w:r>
            <w:r w:rsidRPr="00B0114A">
              <w:rPr>
                <w:rFonts w:ascii="Arial" w:hAnsi="Arial" w:eastAsia="Times New Roman" w:cs="Arial"/>
                <w:color w:val="000000"/>
                <w:sz w:val="18"/>
                <w:szCs w:val="18"/>
                <w:lang w:eastAsia="es-MX"/>
              </w:rPr>
              <w:t>​</w:t>
            </w:r>
          </w:p>
        </w:tc>
        <w:tc>
          <w:tcPr>
            <w:tcW w:w="1358" w:type="dxa"/>
            <w:tcBorders>
              <w:top w:val="nil"/>
              <w:left w:val="nil"/>
              <w:bottom w:val="single" w:color="auto" w:sz="4" w:space="0"/>
              <w:right w:val="single" w:color="auto" w:sz="4" w:space="0"/>
            </w:tcBorders>
            <w:tcMar/>
            <w:vAlign w:val="center"/>
            <w:hideMark/>
          </w:tcPr>
          <w:p w:rsidRPr="00B0114A" w:rsidR="00550054" w:rsidP="00B0114A" w:rsidRDefault="00550054" w14:paraId="420B2668" w14:textId="77777777">
            <w:pPr>
              <w:spacing w:after="0" w:line="240" w:lineRule="auto"/>
              <w:jc w:val="center"/>
              <w:rPr>
                <w:rFonts w:ascii="Verdana" w:hAnsi="Verdana" w:eastAsia="Times New Roman" w:cs="Calibri"/>
                <w:color w:val="000000"/>
                <w:sz w:val="18"/>
                <w:szCs w:val="18"/>
                <w:lang w:eastAsia="es-MX"/>
              </w:rPr>
            </w:pPr>
            <w:r w:rsidRPr="00B0114A">
              <w:rPr>
                <w:rFonts w:ascii="Verdana" w:hAnsi="Verdana" w:eastAsia="Times New Roman" w:cs="Calibri"/>
                <w:color w:val="000000"/>
                <w:sz w:val="18"/>
                <w:szCs w:val="18"/>
                <w:lang w:eastAsia="es-MX"/>
              </w:rPr>
              <w:t>16,67%</w:t>
            </w:r>
            <w:r w:rsidRPr="00B0114A">
              <w:rPr>
                <w:rFonts w:ascii="Arial" w:hAnsi="Arial" w:eastAsia="Times New Roman" w:cs="Arial"/>
                <w:color w:val="000000"/>
                <w:sz w:val="18"/>
                <w:szCs w:val="18"/>
                <w:lang w:eastAsia="es-MX"/>
              </w:rPr>
              <w:t>​</w:t>
            </w:r>
            <w:r w:rsidRPr="00B0114A">
              <w:rPr>
                <w:rFonts w:ascii="Verdana" w:hAnsi="Verdana" w:eastAsia="Times New Roman" w:cs="Calibri"/>
                <w:color w:val="000000"/>
                <w:sz w:val="18"/>
                <w:szCs w:val="18"/>
                <w:lang w:eastAsia="es-MX"/>
              </w:rPr>
              <w:br/>
            </w:r>
            <w:r w:rsidRPr="00B0114A">
              <w:rPr>
                <w:rFonts w:ascii="Verdana" w:hAnsi="Verdana" w:eastAsia="Times New Roman" w:cs="Calibri"/>
                <w:color w:val="000000"/>
                <w:sz w:val="18"/>
                <w:szCs w:val="18"/>
                <w:lang w:eastAsia="es-MX"/>
              </w:rPr>
              <w:t>5 áreas</w:t>
            </w:r>
            <w:r w:rsidRPr="00B0114A">
              <w:rPr>
                <w:rFonts w:ascii="Arial" w:hAnsi="Arial" w:eastAsia="Times New Roman" w:cs="Arial"/>
                <w:color w:val="000000"/>
                <w:sz w:val="18"/>
                <w:szCs w:val="18"/>
                <w:lang w:eastAsia="es-MX"/>
              </w:rPr>
              <w:t>​</w:t>
            </w:r>
          </w:p>
        </w:tc>
      </w:tr>
      <w:tr w:rsidRPr="00B0114A" w:rsidR="00550054" w:rsidTr="30CF4445" w14:paraId="3C6AAD63" w14:textId="77777777">
        <w:trPr>
          <w:trHeight w:val="89"/>
          <w:jc w:val="center"/>
        </w:trPr>
        <w:tc>
          <w:tcPr>
            <w:tcW w:w="1410" w:type="dxa"/>
            <w:tcBorders>
              <w:top w:val="nil"/>
              <w:left w:val="single" w:color="auto" w:sz="4" w:space="0"/>
              <w:bottom w:val="single" w:color="auto" w:sz="4" w:space="0"/>
              <w:right w:val="single" w:color="auto" w:sz="4" w:space="0"/>
            </w:tcBorders>
            <w:noWrap/>
            <w:tcMar/>
            <w:vAlign w:val="center"/>
            <w:hideMark/>
          </w:tcPr>
          <w:p w:rsidRPr="00B0114A" w:rsidR="00550054" w:rsidP="00B0114A" w:rsidRDefault="00550054" w14:paraId="1E851A22" w14:textId="77777777">
            <w:pPr>
              <w:spacing w:after="0" w:line="240" w:lineRule="auto"/>
              <w:jc w:val="center"/>
              <w:rPr>
                <w:rFonts w:ascii="Verdana" w:hAnsi="Verdana" w:eastAsia="Times New Roman" w:cs="Calibri"/>
                <w:color w:val="000000"/>
                <w:sz w:val="18"/>
                <w:szCs w:val="18"/>
                <w:lang w:eastAsia="es-MX"/>
              </w:rPr>
            </w:pPr>
            <w:r w:rsidRPr="00B0114A">
              <w:rPr>
                <w:rFonts w:ascii="Verdana" w:hAnsi="Verdana" w:eastAsia="Times New Roman" w:cs="Calibri"/>
                <w:color w:val="000000"/>
                <w:sz w:val="18"/>
                <w:szCs w:val="18"/>
                <w:lang w:eastAsia="es-MX"/>
              </w:rPr>
              <w:t>Minería</w:t>
            </w:r>
          </w:p>
        </w:tc>
        <w:tc>
          <w:tcPr>
            <w:tcW w:w="3075" w:type="dxa"/>
            <w:tcBorders>
              <w:top w:val="nil"/>
              <w:left w:val="nil"/>
              <w:bottom w:val="single" w:color="auto" w:sz="4" w:space="0"/>
              <w:right w:val="single" w:color="auto" w:sz="4" w:space="0"/>
            </w:tcBorders>
            <w:tcMar/>
            <w:vAlign w:val="center"/>
            <w:hideMark/>
          </w:tcPr>
          <w:p w:rsidRPr="00B0114A" w:rsidR="00550054" w:rsidP="00B0114A" w:rsidRDefault="00550054" w14:paraId="7348428C" w14:textId="77777777">
            <w:pPr>
              <w:spacing w:after="0" w:line="240" w:lineRule="auto"/>
              <w:rPr>
                <w:rFonts w:ascii="Verdana" w:hAnsi="Verdana" w:eastAsia="Times New Roman" w:cs="Calibri"/>
                <w:color w:val="000000"/>
                <w:sz w:val="18"/>
                <w:szCs w:val="18"/>
                <w:lang w:eastAsia="es-MX"/>
              </w:rPr>
            </w:pPr>
            <w:r w:rsidRPr="00B0114A">
              <w:rPr>
                <w:rFonts w:ascii="Verdana" w:hAnsi="Verdana" w:eastAsia="Times New Roman" w:cs="Calibri"/>
                <w:color w:val="000000"/>
                <w:sz w:val="18"/>
                <w:szCs w:val="18"/>
                <w:lang w:eastAsia="es-MX"/>
              </w:rPr>
              <w:t>170 - Nuevas áreas evaluadas geológicamente para minerales estratégicos</w:t>
            </w:r>
            <w:r w:rsidRPr="00B0114A">
              <w:rPr>
                <w:rFonts w:ascii="Arial" w:hAnsi="Arial" w:eastAsia="Times New Roman" w:cs="Arial"/>
                <w:color w:val="000000"/>
                <w:sz w:val="18"/>
                <w:szCs w:val="18"/>
                <w:lang w:eastAsia="es-MX"/>
              </w:rPr>
              <w:t>​</w:t>
            </w:r>
          </w:p>
        </w:tc>
        <w:tc>
          <w:tcPr>
            <w:tcW w:w="1240" w:type="dxa"/>
            <w:tcBorders>
              <w:top w:val="nil"/>
              <w:left w:val="nil"/>
              <w:bottom w:val="single" w:color="auto" w:sz="4" w:space="0"/>
              <w:right w:val="single" w:color="auto" w:sz="4" w:space="0"/>
            </w:tcBorders>
            <w:tcMar/>
            <w:vAlign w:val="center"/>
            <w:hideMark/>
          </w:tcPr>
          <w:p w:rsidRPr="00B0114A" w:rsidR="00550054" w:rsidP="00B0114A" w:rsidRDefault="00550054" w14:paraId="362DD78A" w14:textId="77777777">
            <w:pPr>
              <w:spacing w:after="0" w:line="240" w:lineRule="auto"/>
              <w:jc w:val="center"/>
              <w:rPr>
                <w:rFonts w:ascii="Verdana" w:hAnsi="Verdana" w:eastAsia="Times New Roman" w:cs="Calibri"/>
                <w:color w:val="000000"/>
                <w:sz w:val="18"/>
                <w:szCs w:val="18"/>
                <w:lang w:eastAsia="es-MX"/>
              </w:rPr>
            </w:pPr>
            <w:r w:rsidRPr="00B0114A">
              <w:rPr>
                <w:rFonts w:ascii="Verdana" w:hAnsi="Verdana" w:eastAsia="Times New Roman" w:cs="Calibri"/>
                <w:color w:val="000000"/>
                <w:sz w:val="18"/>
                <w:szCs w:val="18"/>
                <w:lang w:eastAsia="es-MX"/>
              </w:rPr>
              <w:t>30 áreas</w:t>
            </w:r>
            <w:r w:rsidRPr="00B0114A">
              <w:rPr>
                <w:rFonts w:ascii="Arial" w:hAnsi="Arial" w:eastAsia="Times New Roman" w:cs="Arial"/>
                <w:color w:val="000000"/>
                <w:sz w:val="18"/>
                <w:szCs w:val="18"/>
                <w:lang w:eastAsia="es-MX"/>
              </w:rPr>
              <w:t>​</w:t>
            </w:r>
          </w:p>
        </w:tc>
        <w:tc>
          <w:tcPr>
            <w:tcW w:w="1358" w:type="dxa"/>
            <w:tcBorders>
              <w:top w:val="nil"/>
              <w:left w:val="nil"/>
              <w:bottom w:val="single" w:color="auto" w:sz="4" w:space="0"/>
              <w:right w:val="single" w:color="auto" w:sz="4" w:space="0"/>
            </w:tcBorders>
            <w:tcMar/>
            <w:vAlign w:val="center"/>
            <w:hideMark/>
          </w:tcPr>
          <w:p w:rsidRPr="00B0114A" w:rsidR="00550054" w:rsidP="00B0114A" w:rsidRDefault="00550054" w14:paraId="17B2AB84" w14:textId="77777777">
            <w:pPr>
              <w:spacing w:after="0" w:line="240" w:lineRule="auto"/>
              <w:jc w:val="center"/>
              <w:rPr>
                <w:rFonts w:ascii="Verdana" w:hAnsi="Verdana" w:eastAsia="Times New Roman" w:cs="Calibri"/>
                <w:color w:val="000000"/>
                <w:sz w:val="18"/>
                <w:szCs w:val="18"/>
                <w:lang w:eastAsia="es-MX"/>
              </w:rPr>
            </w:pPr>
            <w:r w:rsidRPr="00B0114A">
              <w:rPr>
                <w:rFonts w:ascii="Verdana" w:hAnsi="Verdana" w:eastAsia="Times New Roman" w:cs="Calibri"/>
                <w:color w:val="000000"/>
                <w:sz w:val="18"/>
                <w:szCs w:val="18"/>
                <w:lang w:eastAsia="es-MX"/>
              </w:rPr>
              <w:t>30%</w:t>
            </w:r>
            <w:r w:rsidRPr="00B0114A">
              <w:rPr>
                <w:rFonts w:ascii="Arial" w:hAnsi="Arial" w:eastAsia="Times New Roman" w:cs="Arial"/>
                <w:color w:val="000000"/>
                <w:sz w:val="18"/>
                <w:szCs w:val="18"/>
                <w:lang w:eastAsia="es-MX"/>
              </w:rPr>
              <w:t>​</w:t>
            </w:r>
            <w:r w:rsidRPr="00B0114A">
              <w:rPr>
                <w:rFonts w:ascii="Verdana" w:hAnsi="Verdana" w:eastAsia="Times New Roman" w:cs="Calibri"/>
                <w:color w:val="000000"/>
                <w:sz w:val="18"/>
                <w:szCs w:val="18"/>
                <w:lang w:eastAsia="es-MX"/>
              </w:rPr>
              <w:br/>
            </w:r>
            <w:r w:rsidRPr="00B0114A">
              <w:rPr>
                <w:rFonts w:ascii="Verdana" w:hAnsi="Verdana" w:eastAsia="Times New Roman" w:cs="Calibri"/>
                <w:color w:val="000000"/>
                <w:sz w:val="18"/>
                <w:szCs w:val="18"/>
                <w:lang w:eastAsia="es-MX"/>
              </w:rPr>
              <w:t>9 áreas</w:t>
            </w:r>
            <w:r w:rsidRPr="00B0114A">
              <w:rPr>
                <w:rFonts w:ascii="Arial" w:hAnsi="Arial" w:eastAsia="Times New Roman" w:cs="Arial"/>
                <w:color w:val="000000"/>
                <w:sz w:val="18"/>
                <w:szCs w:val="18"/>
                <w:lang w:eastAsia="es-MX"/>
              </w:rPr>
              <w:t>​</w:t>
            </w:r>
          </w:p>
        </w:tc>
      </w:tr>
    </w:tbl>
    <w:p w:rsidRPr="00B0114A" w:rsidR="00C04ED5" w:rsidP="00B0114A" w:rsidRDefault="75468D5D" w14:paraId="638A7EE9" w14:textId="77777777">
      <w:pPr>
        <w:spacing w:after="0" w:line="240" w:lineRule="auto"/>
        <w:jc w:val="center"/>
        <w:rPr>
          <w:rFonts w:ascii="Verdana" w:hAnsi="Verdana"/>
          <w:sz w:val="18"/>
          <w:szCs w:val="18"/>
        </w:rPr>
      </w:pPr>
      <w:r w:rsidRPr="180099B3">
        <w:rPr>
          <w:rFonts w:ascii="Verdana" w:hAnsi="Verdana"/>
          <w:sz w:val="18"/>
          <w:szCs w:val="18"/>
        </w:rPr>
        <w:t xml:space="preserve">Fuente: </w:t>
      </w:r>
      <w:r w:rsidRPr="180099B3" w:rsidR="06C9FEE4">
        <w:rPr>
          <w:rFonts w:ascii="Verdana" w:hAnsi="Verdana"/>
          <w:sz w:val="18"/>
          <w:szCs w:val="18"/>
        </w:rPr>
        <w:t>E</w:t>
      </w:r>
      <w:r w:rsidRPr="180099B3">
        <w:rPr>
          <w:rFonts w:ascii="Verdana" w:hAnsi="Verdana"/>
          <w:sz w:val="18"/>
          <w:szCs w:val="18"/>
        </w:rPr>
        <w:t xml:space="preserve">laboración propia </w:t>
      </w:r>
      <w:r w:rsidRPr="180099B3" w:rsidR="3FEBA2CD">
        <w:rPr>
          <w:rFonts w:ascii="Verdana" w:hAnsi="Verdana"/>
          <w:sz w:val="18"/>
          <w:szCs w:val="18"/>
        </w:rPr>
        <w:t xml:space="preserve">OPGI - </w:t>
      </w:r>
      <w:r w:rsidRPr="180099B3">
        <w:rPr>
          <w:rFonts w:ascii="Verdana" w:hAnsi="Verdana"/>
          <w:sz w:val="18"/>
          <w:szCs w:val="18"/>
        </w:rPr>
        <w:t>MME, 31 de marzo 2026.</w:t>
      </w:r>
    </w:p>
    <w:p w:rsidRPr="00C140A0" w:rsidR="00C04ED5" w:rsidP="006A0A13" w:rsidRDefault="00C04ED5" w14:paraId="5333A994" w14:textId="77777777">
      <w:pPr>
        <w:spacing w:after="0" w:line="360" w:lineRule="auto"/>
        <w:rPr>
          <w:rFonts w:ascii="Verdana" w:hAnsi="Verdana"/>
          <w:sz w:val="24"/>
          <w:szCs w:val="24"/>
        </w:rPr>
      </w:pPr>
    </w:p>
    <w:p w:rsidR="005442B9" w:rsidP="006A0A13" w:rsidRDefault="005442B9" w14:paraId="7FFD730B" w14:textId="77777777">
      <w:pPr>
        <w:spacing w:after="0" w:line="360" w:lineRule="auto"/>
        <w:jc w:val="both"/>
        <w:rPr>
          <w:rFonts w:ascii="Verdana" w:hAnsi="Verdana"/>
          <w:sz w:val="24"/>
          <w:szCs w:val="24"/>
        </w:rPr>
      </w:pPr>
      <w:r w:rsidRPr="00B0114A">
        <w:rPr>
          <w:rFonts w:ascii="Verdana" w:hAnsi="Verdana"/>
          <w:sz w:val="24"/>
          <w:szCs w:val="24"/>
        </w:rPr>
        <w:t xml:space="preserve">Con base en los avances registrados en las metas del Plan Nacional de Desarrollo 2022–2026, a </w:t>
      </w:r>
      <w:r w:rsidRPr="00B0114A" w:rsidR="005229F9">
        <w:rPr>
          <w:rFonts w:ascii="Verdana" w:hAnsi="Verdana"/>
          <w:sz w:val="24"/>
          <w:szCs w:val="24"/>
        </w:rPr>
        <w:t>continuación,</w:t>
      </w:r>
      <w:r w:rsidRPr="00B0114A">
        <w:rPr>
          <w:rFonts w:ascii="Verdana" w:hAnsi="Verdana"/>
          <w:sz w:val="24"/>
          <w:szCs w:val="24"/>
        </w:rPr>
        <w:t xml:space="preserve"> se presentan los principales logros alcanzados por el Ministerio de Minas y Energía durante el periodo de gobierno. Estos resultados reflejan las acciones implementadas para dar cumplimiento a los compromisos sectoriales establecidos en el PND y evidencian el aporte de la Entidad al desarrollo de la Transición Energética Justa, el fortalecimiento de la seguridad energética, la ampliación del acceso a los servicios energéticos, la sostenibilidad ambiental y el cierre de brechas territoriales. Asimismo, permiten identificar los avances más </w:t>
      </w:r>
      <w:r w:rsidRPr="00B0114A">
        <w:rPr>
          <w:rFonts w:ascii="Verdana" w:hAnsi="Verdana"/>
          <w:sz w:val="24"/>
          <w:szCs w:val="24"/>
        </w:rPr>
        <w:t>relevantes en materia de política pública, gestión institucional, regulación, inversión y ejecución de programas estratégicos para el sector minero-energético.</w:t>
      </w:r>
    </w:p>
    <w:p w:rsidRPr="00B0114A" w:rsidR="00B0114A" w:rsidP="006A0A13" w:rsidRDefault="00B0114A" w14:paraId="39337CDC" w14:textId="77777777">
      <w:pPr>
        <w:spacing w:after="0" w:line="360" w:lineRule="auto"/>
        <w:jc w:val="both"/>
        <w:rPr>
          <w:rFonts w:ascii="Verdana" w:hAnsi="Verdana"/>
          <w:sz w:val="24"/>
          <w:szCs w:val="24"/>
        </w:rPr>
      </w:pPr>
    </w:p>
    <w:p w:rsidR="005442B9" w:rsidP="006A0A13" w:rsidRDefault="005442B9" w14:paraId="0749D42D" w14:textId="77777777">
      <w:pPr>
        <w:spacing w:after="0" w:line="360" w:lineRule="auto"/>
        <w:jc w:val="both"/>
        <w:rPr>
          <w:rFonts w:ascii="Verdana" w:hAnsi="Verdana"/>
          <w:b/>
          <w:bCs/>
          <w:sz w:val="24"/>
          <w:szCs w:val="24"/>
        </w:rPr>
      </w:pPr>
      <w:r w:rsidRPr="00B0114A">
        <w:rPr>
          <w:rFonts w:ascii="Verdana" w:hAnsi="Verdana"/>
          <w:b/>
          <w:bCs/>
          <w:sz w:val="24"/>
          <w:szCs w:val="24"/>
        </w:rPr>
        <w:t>Pivote de Energía</w:t>
      </w:r>
    </w:p>
    <w:p w:rsidRPr="00B0114A" w:rsidR="005442B9" w:rsidRDefault="005442B9" w14:paraId="365D6411" w14:textId="77777777">
      <w:pPr>
        <w:pStyle w:val="Prrafodelista"/>
        <w:numPr>
          <w:ilvl w:val="1"/>
          <w:numId w:val="66"/>
        </w:numPr>
        <w:spacing w:after="0" w:line="360" w:lineRule="auto"/>
        <w:ind w:left="709" w:hanging="283"/>
        <w:jc w:val="both"/>
        <w:rPr>
          <w:rFonts w:ascii="Verdana" w:hAnsi="Verdana"/>
          <w:sz w:val="24"/>
          <w:szCs w:val="24"/>
        </w:rPr>
      </w:pPr>
      <w:r w:rsidRPr="00B0114A">
        <w:rPr>
          <w:rFonts w:ascii="Verdana" w:hAnsi="Verdana"/>
          <w:sz w:val="24"/>
          <w:szCs w:val="24"/>
        </w:rPr>
        <w:t xml:space="preserve">Implementación del Plan 6GW+, logrando más de 4,1 GW de capacidad en energías renovables, con una participación del 18,6% en la matriz eléctrica y más de 265 plantas en operación/pruebas. </w:t>
      </w:r>
    </w:p>
    <w:p w:rsidRPr="00B0114A" w:rsidR="005442B9" w:rsidRDefault="005442B9" w14:paraId="37D4AFFA" w14:textId="77777777">
      <w:pPr>
        <w:pStyle w:val="Prrafodelista"/>
        <w:numPr>
          <w:ilvl w:val="1"/>
          <w:numId w:val="66"/>
        </w:numPr>
        <w:spacing w:after="0" w:line="360" w:lineRule="auto"/>
        <w:ind w:left="709" w:hanging="283"/>
        <w:jc w:val="both"/>
        <w:rPr>
          <w:rFonts w:ascii="Verdana" w:hAnsi="Verdana"/>
          <w:sz w:val="24"/>
          <w:szCs w:val="24"/>
        </w:rPr>
      </w:pPr>
      <w:r w:rsidRPr="00B0114A">
        <w:rPr>
          <w:rFonts w:ascii="Verdana" w:hAnsi="Verdana"/>
          <w:sz w:val="24"/>
          <w:szCs w:val="24"/>
        </w:rPr>
        <w:t xml:space="preserve">Impulso masivo a la autogeneración solar, con más de 17.000 proyectos, fortaleciendo la democratización energética. </w:t>
      </w:r>
    </w:p>
    <w:p w:rsidRPr="00B0114A" w:rsidR="005442B9" w:rsidRDefault="005442B9" w14:paraId="756FCE74" w14:textId="77777777">
      <w:pPr>
        <w:pStyle w:val="Prrafodelista"/>
        <w:numPr>
          <w:ilvl w:val="1"/>
          <w:numId w:val="66"/>
        </w:numPr>
        <w:spacing w:after="0" w:line="360" w:lineRule="auto"/>
        <w:ind w:left="709" w:hanging="283"/>
        <w:jc w:val="both"/>
        <w:rPr>
          <w:rFonts w:ascii="Verdana" w:hAnsi="Verdana"/>
          <w:sz w:val="24"/>
          <w:szCs w:val="24"/>
        </w:rPr>
      </w:pPr>
      <w:r w:rsidRPr="00B0114A">
        <w:rPr>
          <w:rFonts w:ascii="Verdana" w:hAnsi="Verdana"/>
          <w:sz w:val="24"/>
          <w:szCs w:val="24"/>
        </w:rPr>
        <w:t xml:space="preserve">Liberación de 6.019 MW de capacidad de transporte, facilitando la entrada de nuevos proyectos renovables. </w:t>
      </w:r>
    </w:p>
    <w:p w:rsidRPr="00B0114A" w:rsidR="005442B9" w:rsidRDefault="005442B9" w14:paraId="5D5020AA" w14:textId="77777777">
      <w:pPr>
        <w:pStyle w:val="Prrafodelista"/>
        <w:numPr>
          <w:ilvl w:val="1"/>
          <w:numId w:val="66"/>
        </w:numPr>
        <w:spacing w:after="0" w:line="360" w:lineRule="auto"/>
        <w:ind w:left="709" w:hanging="283"/>
        <w:jc w:val="both"/>
        <w:rPr>
          <w:rFonts w:ascii="Verdana" w:hAnsi="Verdana"/>
          <w:sz w:val="24"/>
          <w:szCs w:val="24"/>
        </w:rPr>
      </w:pPr>
      <w:r w:rsidRPr="00B0114A">
        <w:rPr>
          <w:rFonts w:ascii="Verdana" w:hAnsi="Verdana"/>
          <w:sz w:val="24"/>
          <w:szCs w:val="24"/>
        </w:rPr>
        <w:t xml:space="preserve">Desarrollo de la estrategia de Comunidades Energéticas, con miles de iniciativas postuladas, más de 500.000 beneficiarios y presencia en 28 departamentos. </w:t>
      </w:r>
    </w:p>
    <w:p w:rsidRPr="00B0114A" w:rsidR="005442B9" w:rsidRDefault="005442B9" w14:paraId="66020295" w14:textId="77777777">
      <w:pPr>
        <w:pStyle w:val="Prrafodelista"/>
        <w:numPr>
          <w:ilvl w:val="1"/>
          <w:numId w:val="66"/>
        </w:numPr>
        <w:spacing w:after="0" w:line="360" w:lineRule="auto"/>
        <w:ind w:left="709" w:hanging="283"/>
        <w:jc w:val="both"/>
        <w:rPr>
          <w:rFonts w:ascii="Verdana" w:hAnsi="Verdana"/>
          <w:sz w:val="24"/>
          <w:szCs w:val="24"/>
        </w:rPr>
      </w:pPr>
      <w:r w:rsidRPr="00B0114A">
        <w:rPr>
          <w:rFonts w:ascii="Verdana" w:hAnsi="Verdana"/>
          <w:sz w:val="24"/>
          <w:szCs w:val="24"/>
        </w:rPr>
        <w:t xml:space="preserve">Creación del programa Colombia Solar, con inversión de $6 billones, orientado a sustituir subsidios por infraestructura solar para estratos 1, 2 y 3. </w:t>
      </w:r>
    </w:p>
    <w:p w:rsidRPr="00B0114A" w:rsidR="005442B9" w:rsidRDefault="005442B9" w14:paraId="7629EC63" w14:textId="77777777">
      <w:pPr>
        <w:pStyle w:val="Prrafodelista"/>
        <w:numPr>
          <w:ilvl w:val="1"/>
          <w:numId w:val="66"/>
        </w:numPr>
        <w:spacing w:after="0" w:line="360" w:lineRule="auto"/>
        <w:ind w:left="709" w:hanging="283"/>
        <w:jc w:val="both"/>
        <w:rPr>
          <w:rFonts w:ascii="Verdana" w:hAnsi="Verdana"/>
          <w:sz w:val="24"/>
          <w:szCs w:val="24"/>
        </w:rPr>
      </w:pPr>
      <w:r w:rsidRPr="00B0114A">
        <w:rPr>
          <w:rFonts w:ascii="Verdana" w:hAnsi="Verdana"/>
          <w:sz w:val="24"/>
          <w:szCs w:val="24"/>
        </w:rPr>
        <w:t xml:space="preserve">Avance en interconexiones eléctricas internacionales con Panamá y Venezuela, fortaleciendo la integración energética regional. </w:t>
      </w:r>
    </w:p>
    <w:p w:rsidRPr="00B0114A" w:rsidR="005442B9" w:rsidRDefault="005442B9" w14:paraId="415E7F23" w14:textId="77777777">
      <w:pPr>
        <w:pStyle w:val="Prrafodelista"/>
        <w:numPr>
          <w:ilvl w:val="1"/>
          <w:numId w:val="66"/>
        </w:numPr>
        <w:spacing w:after="0" w:line="360" w:lineRule="auto"/>
        <w:ind w:left="709" w:hanging="283"/>
        <w:jc w:val="both"/>
        <w:rPr>
          <w:rFonts w:ascii="Verdana" w:hAnsi="Verdana"/>
          <w:sz w:val="24"/>
          <w:szCs w:val="24"/>
        </w:rPr>
      </w:pPr>
      <w:r w:rsidRPr="00B0114A">
        <w:rPr>
          <w:rFonts w:ascii="Verdana" w:hAnsi="Verdana"/>
          <w:sz w:val="24"/>
          <w:szCs w:val="24"/>
        </w:rPr>
        <w:t xml:space="preserve">Estabilización y pago de subsidios de energía y gas, incluyendo el pago total de deudas acumuladas a empresas del sector. </w:t>
      </w:r>
    </w:p>
    <w:p w:rsidRPr="00B0114A" w:rsidR="005442B9" w:rsidRDefault="005442B9" w14:paraId="61402E37" w14:textId="77777777">
      <w:pPr>
        <w:pStyle w:val="Prrafodelista"/>
        <w:numPr>
          <w:ilvl w:val="1"/>
          <w:numId w:val="66"/>
        </w:numPr>
        <w:spacing w:after="0" w:line="360" w:lineRule="auto"/>
        <w:ind w:left="709" w:hanging="283"/>
        <w:jc w:val="both"/>
        <w:rPr>
          <w:rFonts w:ascii="Verdana" w:hAnsi="Verdana"/>
          <w:sz w:val="24"/>
          <w:szCs w:val="24"/>
        </w:rPr>
      </w:pPr>
      <w:r w:rsidRPr="00B0114A">
        <w:rPr>
          <w:rFonts w:ascii="Verdana" w:hAnsi="Verdana"/>
          <w:sz w:val="24"/>
          <w:szCs w:val="24"/>
        </w:rPr>
        <w:t xml:space="preserve">Reducción y estabilización de tarifas de energía, con disminuciones significativas a nivel nacional y en la región Caribe. </w:t>
      </w:r>
    </w:p>
    <w:p w:rsidRPr="00B0114A" w:rsidR="005442B9" w:rsidRDefault="005442B9" w14:paraId="7639DF46" w14:textId="77777777">
      <w:pPr>
        <w:pStyle w:val="Prrafodelista"/>
        <w:numPr>
          <w:ilvl w:val="1"/>
          <w:numId w:val="66"/>
        </w:numPr>
        <w:spacing w:after="0" w:line="360" w:lineRule="auto"/>
        <w:ind w:left="709" w:hanging="283"/>
        <w:jc w:val="both"/>
        <w:rPr>
          <w:rFonts w:ascii="Verdana" w:hAnsi="Verdana"/>
          <w:sz w:val="24"/>
          <w:szCs w:val="24"/>
        </w:rPr>
      </w:pPr>
      <w:r w:rsidRPr="00B0114A">
        <w:rPr>
          <w:rFonts w:ascii="Verdana" w:hAnsi="Verdana"/>
          <w:sz w:val="24"/>
          <w:szCs w:val="24"/>
        </w:rPr>
        <w:t>Creación del Fondo Único FONENERGÍA, integrando fuentes de financiamiento para ampliar cobertura y acceso en zonas vulnerables.</w:t>
      </w:r>
    </w:p>
    <w:p w:rsidR="00B0114A" w:rsidP="006A0A13" w:rsidRDefault="00B0114A" w14:paraId="253784D4" w14:textId="77777777">
      <w:pPr>
        <w:spacing w:after="0" w:line="360" w:lineRule="auto"/>
        <w:jc w:val="both"/>
        <w:rPr>
          <w:rFonts w:ascii="Verdana" w:hAnsi="Verdana"/>
          <w:sz w:val="24"/>
          <w:szCs w:val="24"/>
        </w:rPr>
      </w:pPr>
    </w:p>
    <w:p w:rsidRPr="00B0114A" w:rsidR="00B0114A" w:rsidP="006A0A13" w:rsidRDefault="005442B9" w14:paraId="5DEF915B" w14:textId="77777777">
      <w:pPr>
        <w:spacing w:after="0" w:line="360" w:lineRule="auto"/>
        <w:jc w:val="both"/>
        <w:rPr>
          <w:rFonts w:ascii="Verdana" w:hAnsi="Verdana"/>
          <w:sz w:val="24"/>
          <w:szCs w:val="24"/>
        </w:rPr>
      </w:pPr>
      <w:r w:rsidRPr="00B0114A">
        <w:rPr>
          <w:rFonts w:ascii="Verdana" w:hAnsi="Verdana"/>
          <w:b/>
          <w:bCs/>
          <w:sz w:val="24"/>
          <w:szCs w:val="24"/>
        </w:rPr>
        <w:t>Pivote de Minería</w:t>
      </w:r>
    </w:p>
    <w:p w:rsidRPr="00B0114A" w:rsidR="005442B9" w:rsidRDefault="005442B9" w14:paraId="4AA82FD1" w14:textId="1C71F949">
      <w:pPr>
        <w:pStyle w:val="Prrafodelista"/>
        <w:numPr>
          <w:ilvl w:val="1"/>
          <w:numId w:val="66"/>
        </w:numPr>
        <w:spacing w:after="0" w:line="360" w:lineRule="auto"/>
        <w:ind w:left="709" w:hanging="283"/>
        <w:jc w:val="both"/>
        <w:rPr>
          <w:rFonts w:ascii="Verdana" w:hAnsi="Verdana"/>
          <w:sz w:val="24"/>
          <w:szCs w:val="24"/>
        </w:rPr>
      </w:pPr>
      <w:r w:rsidRPr="30CF4445" w:rsidR="66DCDCF8">
        <w:rPr>
          <w:rFonts w:ascii="Verdana" w:hAnsi="Verdana"/>
          <w:sz w:val="24"/>
          <w:szCs w:val="24"/>
        </w:rPr>
        <w:t>Implementación de Distritos Mineros para la Paz, con delimitación de territorios y fortalecimiento de más de 8.000 mineros hacia la formalización. Se han generado cuatro (4) resoluciones de delimitación para los distritos mineros de Bajo Cauca, ABADES, Tri</w:t>
      </w:r>
      <w:r w:rsidRPr="30CF4445" w:rsidR="31230D56">
        <w:rPr>
          <w:rFonts w:ascii="Verdana" w:hAnsi="Verdana"/>
          <w:sz w:val="24"/>
          <w:szCs w:val="24"/>
        </w:rPr>
        <w:t>á</w:t>
      </w:r>
      <w:r w:rsidRPr="30CF4445" w:rsidR="66DCDCF8">
        <w:rPr>
          <w:rFonts w:ascii="Verdana" w:hAnsi="Verdana"/>
          <w:sz w:val="24"/>
          <w:szCs w:val="24"/>
        </w:rPr>
        <w:t xml:space="preserve">ngulo de </w:t>
      </w:r>
      <w:r w:rsidRPr="30CF4445" w:rsidR="66DCDCF8">
        <w:rPr>
          <w:rFonts w:ascii="Verdana" w:hAnsi="Verdana"/>
          <w:sz w:val="24"/>
          <w:szCs w:val="24"/>
        </w:rPr>
        <w:t>Telemb</w:t>
      </w:r>
      <w:r w:rsidRPr="30CF4445" w:rsidR="61941357">
        <w:rPr>
          <w:rFonts w:ascii="Verdana" w:hAnsi="Verdana"/>
          <w:sz w:val="24"/>
          <w:szCs w:val="24"/>
        </w:rPr>
        <w:t>í</w:t>
      </w:r>
      <w:r w:rsidRPr="30CF4445" w:rsidR="66DCDCF8">
        <w:rPr>
          <w:rFonts w:ascii="Verdana" w:hAnsi="Verdana"/>
          <w:sz w:val="24"/>
          <w:szCs w:val="24"/>
        </w:rPr>
        <w:t xml:space="preserve"> y Norte del Cauca.</w:t>
      </w:r>
    </w:p>
    <w:p w:rsidRPr="00B0114A" w:rsidR="005442B9" w:rsidRDefault="005442B9" w14:paraId="313F4403" w14:textId="77777777">
      <w:pPr>
        <w:pStyle w:val="Prrafodelista"/>
        <w:numPr>
          <w:ilvl w:val="1"/>
          <w:numId w:val="66"/>
        </w:numPr>
        <w:spacing w:after="0" w:line="360" w:lineRule="auto"/>
        <w:ind w:left="709" w:hanging="283"/>
        <w:jc w:val="both"/>
        <w:rPr>
          <w:rFonts w:ascii="Verdana" w:hAnsi="Verdana"/>
          <w:sz w:val="24"/>
          <w:szCs w:val="24"/>
        </w:rPr>
      </w:pPr>
      <w:r w:rsidRPr="00B0114A">
        <w:rPr>
          <w:rFonts w:ascii="Verdana" w:hAnsi="Verdana"/>
          <w:sz w:val="24"/>
          <w:szCs w:val="24"/>
        </w:rPr>
        <w:t xml:space="preserve">Desarrollo de Distritos Mineros para la Transición Energética Justa, promoviendo reconversión productiva y diversificación en regiones mineras. </w:t>
      </w:r>
    </w:p>
    <w:p w:rsidRPr="00B0114A" w:rsidR="005442B9" w:rsidRDefault="005442B9" w14:paraId="6320EDD2" w14:textId="77777777">
      <w:pPr>
        <w:pStyle w:val="Prrafodelista"/>
        <w:numPr>
          <w:ilvl w:val="1"/>
          <w:numId w:val="66"/>
        </w:numPr>
        <w:spacing w:after="0" w:line="360" w:lineRule="auto"/>
        <w:ind w:left="709" w:hanging="283"/>
        <w:jc w:val="both"/>
        <w:rPr>
          <w:rFonts w:ascii="Verdana" w:hAnsi="Verdana"/>
          <w:sz w:val="24"/>
          <w:szCs w:val="24"/>
        </w:rPr>
      </w:pPr>
      <w:r w:rsidRPr="00B0114A">
        <w:rPr>
          <w:rFonts w:ascii="Verdana" w:hAnsi="Verdana"/>
          <w:sz w:val="24"/>
          <w:szCs w:val="24"/>
        </w:rPr>
        <w:t xml:space="preserve">Formulación del Plan Nacional de Conocimiento Geocientífico, fortaleciendo información estratégica sobre recursos del subsuelo. </w:t>
      </w:r>
    </w:p>
    <w:p w:rsidRPr="00B0114A" w:rsidR="005442B9" w:rsidRDefault="005442B9" w14:paraId="01507D1D" w14:textId="77777777">
      <w:pPr>
        <w:pStyle w:val="Prrafodelista"/>
        <w:numPr>
          <w:ilvl w:val="1"/>
          <w:numId w:val="66"/>
        </w:numPr>
        <w:spacing w:after="0" w:line="360" w:lineRule="auto"/>
        <w:ind w:left="709" w:hanging="283"/>
        <w:jc w:val="both"/>
        <w:rPr>
          <w:rFonts w:ascii="Verdana" w:hAnsi="Verdana"/>
          <w:sz w:val="24"/>
          <w:szCs w:val="24"/>
        </w:rPr>
      </w:pPr>
      <w:r w:rsidRPr="00B0114A">
        <w:rPr>
          <w:rFonts w:ascii="Verdana" w:hAnsi="Verdana"/>
          <w:sz w:val="24"/>
          <w:szCs w:val="24"/>
        </w:rPr>
        <w:t xml:space="preserve">Estructuración de una nueva Ley Minera con enfoque ambiental, social y participativo, incluyendo consulta previa con comunidades étnicas. </w:t>
      </w:r>
    </w:p>
    <w:p w:rsidRPr="00B0114A" w:rsidR="005442B9" w:rsidRDefault="005442B9" w14:paraId="07DC83A0" w14:textId="77777777">
      <w:pPr>
        <w:pStyle w:val="Prrafodelista"/>
        <w:numPr>
          <w:ilvl w:val="1"/>
          <w:numId w:val="66"/>
        </w:numPr>
        <w:spacing w:after="0" w:line="360" w:lineRule="auto"/>
        <w:ind w:left="709" w:hanging="283"/>
        <w:jc w:val="both"/>
        <w:rPr>
          <w:rFonts w:ascii="Verdana" w:hAnsi="Verdana"/>
          <w:sz w:val="24"/>
          <w:szCs w:val="24"/>
        </w:rPr>
      </w:pPr>
      <w:r w:rsidRPr="00B0114A">
        <w:rPr>
          <w:rFonts w:ascii="Verdana" w:hAnsi="Verdana"/>
          <w:sz w:val="24"/>
          <w:szCs w:val="24"/>
        </w:rPr>
        <w:t xml:space="preserve">Avance en el CONPES de minerales estratégicos, orientado a seguridad, sostenibilidad y aprovechamiento económico. </w:t>
      </w:r>
    </w:p>
    <w:p w:rsidRPr="00B0114A" w:rsidR="005442B9" w:rsidRDefault="005442B9" w14:paraId="31B24C8C" w14:textId="77777777">
      <w:pPr>
        <w:pStyle w:val="Prrafodelista"/>
        <w:numPr>
          <w:ilvl w:val="1"/>
          <w:numId w:val="66"/>
        </w:numPr>
        <w:spacing w:after="0" w:line="360" w:lineRule="auto"/>
        <w:ind w:left="709" w:hanging="283"/>
        <w:jc w:val="both"/>
        <w:rPr>
          <w:rFonts w:ascii="Verdana" w:hAnsi="Verdana"/>
          <w:sz w:val="24"/>
          <w:szCs w:val="24"/>
        </w:rPr>
      </w:pPr>
      <w:r w:rsidRPr="00B0114A">
        <w:rPr>
          <w:rFonts w:ascii="Verdana" w:hAnsi="Verdana"/>
          <w:sz w:val="24"/>
          <w:szCs w:val="24"/>
        </w:rPr>
        <w:t xml:space="preserve">Creación de la estrategia de comercialización estatal de oro, incluyendo la transferencia de empresas al Estado y el lanzamiento de Ecodorado para formalizar la cadena aurífera. </w:t>
      </w:r>
    </w:p>
    <w:p w:rsidRPr="00B0114A" w:rsidR="005442B9" w:rsidRDefault="005442B9" w14:paraId="202F576A" w14:textId="055A24CE">
      <w:pPr>
        <w:pStyle w:val="Prrafodelista"/>
        <w:numPr>
          <w:ilvl w:val="1"/>
          <w:numId w:val="66"/>
        </w:numPr>
        <w:spacing w:after="0" w:line="360" w:lineRule="auto"/>
        <w:ind w:left="709" w:hanging="283"/>
        <w:jc w:val="both"/>
        <w:rPr>
          <w:rFonts w:ascii="Verdana" w:hAnsi="Verdana"/>
          <w:sz w:val="24"/>
          <w:szCs w:val="24"/>
        </w:rPr>
      </w:pPr>
      <w:r w:rsidRPr="30CF4445" w:rsidR="66DCDCF8">
        <w:rPr>
          <w:rFonts w:ascii="Verdana" w:hAnsi="Verdana"/>
          <w:sz w:val="24"/>
          <w:szCs w:val="24"/>
        </w:rPr>
        <w:t xml:space="preserve">Impulso a la reindustrialización minera, mediante desarrollo de cadenas de valor, clústeres, apoyo a </w:t>
      </w:r>
      <w:r w:rsidRPr="30CF4445" w:rsidR="0CD04833">
        <w:rPr>
          <w:rFonts w:ascii="Verdana" w:hAnsi="Verdana"/>
          <w:sz w:val="24"/>
          <w:szCs w:val="24"/>
        </w:rPr>
        <w:t>mipymes</w:t>
      </w:r>
      <w:r w:rsidRPr="30CF4445" w:rsidR="66DCDCF8">
        <w:rPr>
          <w:rFonts w:ascii="Verdana" w:hAnsi="Verdana"/>
          <w:sz w:val="24"/>
          <w:szCs w:val="24"/>
        </w:rPr>
        <w:t xml:space="preserve"> y aprovechamiento de minerales estratégicos.</w:t>
      </w:r>
    </w:p>
    <w:p w:rsidR="00B0114A" w:rsidP="006A0A13" w:rsidRDefault="00B0114A" w14:paraId="53393059" w14:textId="77777777">
      <w:pPr>
        <w:spacing w:after="0" w:line="360" w:lineRule="auto"/>
        <w:jc w:val="both"/>
        <w:rPr>
          <w:rFonts w:ascii="Verdana" w:hAnsi="Verdana"/>
          <w:sz w:val="24"/>
          <w:szCs w:val="24"/>
        </w:rPr>
      </w:pPr>
    </w:p>
    <w:p w:rsidRPr="00B0114A" w:rsidR="00B0114A" w:rsidP="006A0A13" w:rsidRDefault="005442B9" w14:paraId="54009651" w14:textId="77777777">
      <w:pPr>
        <w:spacing w:after="0" w:line="360" w:lineRule="auto"/>
        <w:jc w:val="both"/>
        <w:rPr>
          <w:rFonts w:ascii="Verdana" w:hAnsi="Verdana"/>
          <w:sz w:val="24"/>
          <w:szCs w:val="24"/>
        </w:rPr>
      </w:pPr>
      <w:r w:rsidRPr="00B0114A">
        <w:rPr>
          <w:rFonts w:ascii="Verdana" w:hAnsi="Verdana"/>
          <w:b/>
          <w:bCs/>
          <w:sz w:val="24"/>
          <w:szCs w:val="24"/>
        </w:rPr>
        <w:t>Pivote de Hidrocarburos</w:t>
      </w:r>
    </w:p>
    <w:p w:rsidRPr="00B0114A" w:rsidR="005442B9" w:rsidRDefault="005442B9" w14:paraId="35938AA0" w14:textId="77777777">
      <w:pPr>
        <w:pStyle w:val="Prrafodelista"/>
        <w:numPr>
          <w:ilvl w:val="1"/>
          <w:numId w:val="66"/>
        </w:numPr>
        <w:spacing w:after="0" w:line="360" w:lineRule="auto"/>
        <w:ind w:left="709" w:hanging="283"/>
        <w:jc w:val="both"/>
        <w:rPr>
          <w:rFonts w:ascii="Verdana" w:hAnsi="Verdana"/>
          <w:sz w:val="24"/>
          <w:szCs w:val="24"/>
        </w:rPr>
      </w:pPr>
      <w:r w:rsidRPr="00B0114A">
        <w:rPr>
          <w:rFonts w:ascii="Verdana" w:hAnsi="Verdana"/>
          <w:sz w:val="24"/>
          <w:szCs w:val="24"/>
        </w:rPr>
        <w:t xml:space="preserve">Formulación del Plan de Abastecimiento de Gas Natural 2023–2038 y creación del CAPHN para garantizar seguridad energética. </w:t>
      </w:r>
    </w:p>
    <w:p w:rsidRPr="00B0114A" w:rsidR="005442B9" w:rsidRDefault="005442B9" w14:paraId="7839F6DC" w14:textId="77777777">
      <w:pPr>
        <w:pStyle w:val="Prrafodelista"/>
        <w:numPr>
          <w:ilvl w:val="1"/>
          <w:numId w:val="66"/>
        </w:numPr>
        <w:spacing w:after="0" w:line="360" w:lineRule="auto"/>
        <w:ind w:left="709" w:hanging="283"/>
        <w:jc w:val="both"/>
        <w:rPr>
          <w:rFonts w:ascii="Verdana" w:hAnsi="Verdana"/>
          <w:sz w:val="24"/>
          <w:szCs w:val="24"/>
        </w:rPr>
      </w:pPr>
      <w:r w:rsidRPr="00B0114A">
        <w:rPr>
          <w:rFonts w:ascii="Verdana" w:hAnsi="Verdana"/>
          <w:sz w:val="24"/>
          <w:szCs w:val="24"/>
        </w:rPr>
        <w:t xml:space="preserve">Implementación de medidas para incrementar reservas y producción de hidrocarburos, optimizando infraestructura y promoviendo exploración. </w:t>
      </w:r>
    </w:p>
    <w:p w:rsidRPr="00B0114A" w:rsidR="005442B9" w:rsidRDefault="005442B9" w14:paraId="62C054D9" w14:textId="77777777">
      <w:pPr>
        <w:pStyle w:val="Prrafodelista"/>
        <w:numPr>
          <w:ilvl w:val="1"/>
          <w:numId w:val="66"/>
        </w:numPr>
        <w:spacing w:after="0" w:line="360" w:lineRule="auto"/>
        <w:ind w:left="709" w:hanging="283"/>
        <w:jc w:val="both"/>
        <w:rPr>
          <w:rFonts w:ascii="Verdana" w:hAnsi="Verdana"/>
          <w:sz w:val="24"/>
          <w:szCs w:val="24"/>
        </w:rPr>
      </w:pPr>
      <w:r w:rsidRPr="00B0114A">
        <w:rPr>
          <w:rFonts w:ascii="Verdana" w:hAnsi="Verdana"/>
          <w:sz w:val="24"/>
          <w:szCs w:val="24"/>
        </w:rPr>
        <w:t xml:space="preserve">Desarrollo del hidrógeno como nueva fuente energética, con incentivos, regulación, pilotos y formulación de política pública. </w:t>
      </w:r>
    </w:p>
    <w:p w:rsidRPr="00B0114A" w:rsidR="005442B9" w:rsidRDefault="005442B9" w14:paraId="0783FDA6" w14:textId="77777777">
      <w:pPr>
        <w:pStyle w:val="Prrafodelista"/>
        <w:numPr>
          <w:ilvl w:val="1"/>
          <w:numId w:val="66"/>
        </w:numPr>
        <w:spacing w:after="0" w:line="360" w:lineRule="auto"/>
        <w:ind w:left="709" w:hanging="283"/>
        <w:jc w:val="both"/>
        <w:rPr>
          <w:rFonts w:ascii="Verdana" w:hAnsi="Verdana"/>
          <w:sz w:val="24"/>
          <w:szCs w:val="24"/>
        </w:rPr>
      </w:pPr>
      <w:r w:rsidRPr="00B0114A">
        <w:rPr>
          <w:rFonts w:ascii="Verdana" w:hAnsi="Verdana"/>
          <w:sz w:val="24"/>
          <w:szCs w:val="24"/>
        </w:rPr>
        <w:t xml:space="preserve">Impulso a la geotermia, con marco normativo, permisos de exploración y mecanismos de mercado para viabilidad de proyectos. </w:t>
      </w:r>
    </w:p>
    <w:p w:rsidRPr="00B0114A" w:rsidR="005442B9" w:rsidRDefault="005442B9" w14:paraId="6DA68399" w14:textId="77777777">
      <w:pPr>
        <w:pStyle w:val="Prrafodelista"/>
        <w:numPr>
          <w:ilvl w:val="1"/>
          <w:numId w:val="66"/>
        </w:numPr>
        <w:spacing w:after="0" w:line="360" w:lineRule="auto"/>
        <w:ind w:left="709" w:hanging="283"/>
        <w:jc w:val="both"/>
        <w:rPr>
          <w:rFonts w:ascii="Verdana" w:hAnsi="Verdana"/>
          <w:sz w:val="24"/>
          <w:szCs w:val="24"/>
        </w:rPr>
      </w:pPr>
      <w:r w:rsidRPr="00B0114A">
        <w:rPr>
          <w:rFonts w:ascii="Verdana" w:hAnsi="Verdana"/>
          <w:sz w:val="24"/>
          <w:szCs w:val="24"/>
        </w:rPr>
        <w:t xml:space="preserve">Consolidación de la energía eólica costa afuera, con proceso competitivo, regulación y alto potencial de 109 GW. </w:t>
      </w:r>
    </w:p>
    <w:p w:rsidRPr="00B0114A" w:rsidR="005442B9" w:rsidRDefault="005442B9" w14:paraId="28136A90" w14:textId="77777777">
      <w:pPr>
        <w:pStyle w:val="Prrafodelista"/>
        <w:numPr>
          <w:ilvl w:val="1"/>
          <w:numId w:val="66"/>
        </w:numPr>
        <w:spacing w:after="0" w:line="360" w:lineRule="auto"/>
        <w:ind w:left="709" w:hanging="283"/>
        <w:jc w:val="both"/>
        <w:rPr>
          <w:rFonts w:ascii="Verdana" w:hAnsi="Verdana"/>
          <w:sz w:val="24"/>
          <w:szCs w:val="24"/>
        </w:rPr>
      </w:pPr>
      <w:r w:rsidRPr="00B0114A">
        <w:rPr>
          <w:rFonts w:ascii="Verdana" w:hAnsi="Verdana"/>
          <w:sz w:val="24"/>
          <w:szCs w:val="24"/>
        </w:rPr>
        <w:t xml:space="preserve">Promoción de la electromovilidad, con regulación, alianzas intersectoriales, infraestructura de carga y proyectos piloto. </w:t>
      </w:r>
    </w:p>
    <w:p w:rsidRPr="00B0114A" w:rsidR="005442B9" w:rsidRDefault="005442B9" w14:paraId="0BEBD209" w14:textId="77777777">
      <w:pPr>
        <w:pStyle w:val="Prrafodelista"/>
        <w:numPr>
          <w:ilvl w:val="1"/>
          <w:numId w:val="66"/>
        </w:numPr>
        <w:spacing w:after="0" w:line="360" w:lineRule="auto"/>
        <w:ind w:left="709" w:hanging="283"/>
        <w:jc w:val="both"/>
        <w:rPr>
          <w:rFonts w:ascii="Verdana" w:hAnsi="Verdana"/>
          <w:sz w:val="24"/>
          <w:szCs w:val="24"/>
        </w:rPr>
      </w:pPr>
      <w:r w:rsidRPr="00B0114A">
        <w:rPr>
          <w:rFonts w:ascii="Verdana" w:hAnsi="Verdana"/>
          <w:sz w:val="24"/>
          <w:szCs w:val="24"/>
        </w:rPr>
        <w:t>Avance en la transición energética de termoeléctricas (Gensa y Gecelca), incluyendo proyectos solares y estrategias de descarbonización.</w:t>
      </w:r>
    </w:p>
    <w:p w:rsidR="00B0114A" w:rsidP="006A0A13" w:rsidRDefault="00B0114A" w14:paraId="70E54DD3" w14:textId="77777777">
      <w:pPr>
        <w:spacing w:after="0" w:line="360" w:lineRule="auto"/>
        <w:jc w:val="both"/>
        <w:rPr>
          <w:rFonts w:ascii="Verdana" w:hAnsi="Verdana"/>
          <w:sz w:val="24"/>
          <w:szCs w:val="24"/>
        </w:rPr>
      </w:pPr>
    </w:p>
    <w:p w:rsidRPr="00B0114A" w:rsidR="00A54255" w:rsidP="006A0A13" w:rsidRDefault="005442B9" w14:paraId="27E79E73" w14:textId="77777777">
      <w:pPr>
        <w:spacing w:after="0" w:line="360" w:lineRule="auto"/>
        <w:jc w:val="both"/>
        <w:rPr>
          <w:rFonts w:ascii="Verdana" w:hAnsi="Verdana"/>
          <w:sz w:val="24"/>
          <w:szCs w:val="24"/>
        </w:rPr>
      </w:pPr>
      <w:r w:rsidRPr="00B0114A">
        <w:rPr>
          <w:rFonts w:ascii="Verdana" w:hAnsi="Verdana"/>
          <w:sz w:val="24"/>
          <w:szCs w:val="24"/>
        </w:rPr>
        <w:t>En conjunto, los avances alcanzados durante el periodo 2022–2026 evidencian una transformación estructural del sector minero-energético, orientada a consolidar la Transición Energética Justa como eje central de la política pública. A través del fortalecimiento de las energías renovables, la democratización del acceso a la energía, la ampliación de la cobertura energética, la formalización y reindustrialización minera, el aprovechamiento sostenible de los recursos estratégicos y la diversificación de las fuentes energéticas, el Ministerio de Minas y Energía logró sentar las bases para un modelo energético más limpio, inclusivo, competitivo y resiliente. Estos resultados contribuyen al fortalecimiento de la seguridad y soberanía energética del país, al cierre de brechas territoriales y al desarrollo sostenible de las regiones, consolidando una visión de largo plazo para el sector.</w:t>
      </w:r>
    </w:p>
    <w:p w:rsidRPr="00B0114A" w:rsidR="005442B9" w:rsidP="006A0A13" w:rsidRDefault="005442B9" w14:paraId="7BB672EC" w14:textId="77777777">
      <w:pPr>
        <w:spacing w:after="0" w:line="360" w:lineRule="auto"/>
        <w:jc w:val="both"/>
        <w:rPr>
          <w:rFonts w:ascii="Verdana" w:hAnsi="Verdana"/>
          <w:sz w:val="24"/>
          <w:szCs w:val="24"/>
        </w:rPr>
      </w:pPr>
    </w:p>
    <w:p w:rsidRPr="00B0114A" w:rsidR="00A82055" w:rsidRDefault="00A82055" w14:paraId="2163BD13" w14:textId="77777777">
      <w:pPr>
        <w:pStyle w:val="Prrafodelista"/>
        <w:numPr>
          <w:ilvl w:val="0"/>
          <w:numId w:val="42"/>
        </w:numPr>
        <w:spacing w:after="0" w:line="360" w:lineRule="auto"/>
        <w:outlineLvl w:val="0"/>
        <w:rPr>
          <w:rFonts w:ascii="Verdana" w:hAnsi="Verdana"/>
          <w:b/>
          <w:bCs/>
          <w:sz w:val="24"/>
          <w:szCs w:val="24"/>
        </w:rPr>
      </w:pPr>
      <w:bookmarkStart w:name="_Toc233996723" w:id="6"/>
      <w:r w:rsidRPr="00B0114A">
        <w:rPr>
          <w:rFonts w:ascii="Verdana" w:hAnsi="Verdana"/>
          <w:b/>
          <w:bCs/>
          <w:sz w:val="24"/>
          <w:szCs w:val="24"/>
        </w:rPr>
        <w:t>Nuestros Colaboradores</w:t>
      </w:r>
      <w:bookmarkEnd w:id="6"/>
    </w:p>
    <w:p w:rsidRPr="00B0114A" w:rsidR="009C314E" w:rsidP="006A0A13" w:rsidRDefault="009C314E" w14:paraId="0A5946C4" w14:textId="77777777">
      <w:pPr>
        <w:spacing w:after="0" w:line="360" w:lineRule="auto"/>
        <w:jc w:val="both"/>
        <w:rPr>
          <w:rFonts w:ascii="Verdana" w:hAnsi="Verdana"/>
          <w:sz w:val="24"/>
          <w:szCs w:val="24"/>
        </w:rPr>
      </w:pPr>
    </w:p>
    <w:p w:rsidR="009C314E" w:rsidP="006A0A13" w:rsidRDefault="009C314E" w14:paraId="1DFC7DE9" w14:textId="77777777">
      <w:pPr>
        <w:spacing w:after="0" w:line="360" w:lineRule="auto"/>
        <w:jc w:val="both"/>
        <w:rPr>
          <w:rFonts w:ascii="Verdana" w:hAnsi="Verdana"/>
          <w:sz w:val="24"/>
          <w:szCs w:val="24"/>
        </w:rPr>
      </w:pPr>
      <w:r w:rsidRPr="00B0114A">
        <w:rPr>
          <w:rFonts w:ascii="Verdana" w:hAnsi="Verdana"/>
          <w:sz w:val="24"/>
          <w:szCs w:val="24"/>
        </w:rPr>
        <w:t xml:space="preserve">En los últimos cuatro años el Ministerio de Minas y Energía ha orientado sus esfuerzos al fortalecimiento integral de la gestión del talento humano, reconociendo a sus servidores como eje fundamental para el cumplimiento de los objetivos estratégicos institucionales y la </w:t>
      </w:r>
      <w:r w:rsidRPr="00B0114A">
        <w:rPr>
          <w:rFonts w:ascii="Verdana" w:hAnsi="Verdana"/>
          <w:sz w:val="24"/>
          <w:szCs w:val="24"/>
        </w:rPr>
        <w:t>consolidación de una administración pública capacitada, eficiente, transparente y orientada al servicio.</w:t>
      </w:r>
    </w:p>
    <w:p w:rsidRPr="00B0114A" w:rsidR="00B0114A" w:rsidP="006A0A13" w:rsidRDefault="00B0114A" w14:paraId="7A7709AA" w14:textId="77777777">
      <w:pPr>
        <w:spacing w:after="0" w:line="360" w:lineRule="auto"/>
        <w:jc w:val="both"/>
        <w:rPr>
          <w:rFonts w:ascii="Verdana" w:hAnsi="Verdana"/>
          <w:sz w:val="24"/>
          <w:szCs w:val="24"/>
        </w:rPr>
      </w:pPr>
    </w:p>
    <w:p w:rsidR="009C314E" w:rsidP="006A0A13" w:rsidRDefault="009C314E" w14:paraId="43BABD89" w14:textId="77777777">
      <w:pPr>
        <w:spacing w:after="0" w:line="360" w:lineRule="auto"/>
        <w:jc w:val="both"/>
        <w:rPr>
          <w:rFonts w:ascii="Verdana" w:hAnsi="Verdana"/>
          <w:sz w:val="24"/>
          <w:szCs w:val="24"/>
        </w:rPr>
      </w:pPr>
      <w:r w:rsidRPr="00B0114A">
        <w:rPr>
          <w:rFonts w:ascii="Verdana" w:hAnsi="Verdana"/>
          <w:sz w:val="24"/>
          <w:szCs w:val="24"/>
        </w:rPr>
        <w:t>En este marco, desde la Subdirección de Talento Humano se impulsaron acciones dirigidas a la implementación de estrategias para fortalecer los conocimientos técnicos y de procedimientos internos, a la provisión de cargos, evaluación del desempeño y fortalecimiento institucional, en concordancia con la normativa vigente y los lineamientos del Modelo Integrado de Planeación y Gestión – MIPG.</w:t>
      </w:r>
    </w:p>
    <w:p w:rsidRPr="00B0114A" w:rsidR="00B0114A" w:rsidP="006A0A13" w:rsidRDefault="00B0114A" w14:paraId="6E06177E" w14:textId="77777777">
      <w:pPr>
        <w:spacing w:after="0" w:line="360" w:lineRule="auto"/>
        <w:jc w:val="both"/>
        <w:rPr>
          <w:rFonts w:ascii="Verdana" w:hAnsi="Verdana"/>
          <w:sz w:val="24"/>
          <w:szCs w:val="24"/>
        </w:rPr>
      </w:pPr>
    </w:p>
    <w:p w:rsidR="009C314E" w:rsidP="006A0A13" w:rsidRDefault="009C314E" w14:paraId="7AC03E19" w14:textId="0172FCAD">
      <w:pPr>
        <w:spacing w:after="0" w:line="360" w:lineRule="auto"/>
        <w:jc w:val="both"/>
        <w:rPr>
          <w:rFonts w:ascii="Verdana" w:hAnsi="Verdana"/>
          <w:sz w:val="24"/>
          <w:szCs w:val="24"/>
        </w:rPr>
      </w:pPr>
      <w:r w:rsidRPr="30CF4445" w:rsidR="72013B22">
        <w:rPr>
          <w:rFonts w:ascii="Verdana" w:hAnsi="Verdana"/>
          <w:sz w:val="24"/>
          <w:szCs w:val="24"/>
        </w:rPr>
        <w:t>Para ello, se promovieron actividades orientadas al bienestar laboral y al fortalecimiento de la cultura organizacional, a través de programas enfocados en la calidad de vida, el reconocimiento institucional, la integración, el clima organizacional, la salud mental y la consolidación de entornos laborales participativos e incluyentes, contribuyendo al fortalecimiento del sentido de pertenencia y compromiso institucional. Así mismo, hemos implementado y mejorado acciones orientadas a la prevención y gestión de los riesgos y accidentes laborales mediante el mayor desarrollo del Sistema de Gestión de Seguridad y Salud en el Trabajo (SG-SST) en las diferentes sedes, acorde con las normas legales que rigen dicho sistema; la implementación de estrategias de promoción y prevención; la gestión del riesgo psicosocial; la coordinación ante emergencias y el fortalecimiento del Plan Estratégico de Seguridad Vial-PESV, con el propósito de promover ambientes de trabajo seguro</w:t>
      </w:r>
      <w:r w:rsidRPr="30CF4445" w:rsidR="4C44CC63">
        <w:rPr>
          <w:rFonts w:ascii="Verdana" w:hAnsi="Verdana"/>
          <w:sz w:val="24"/>
          <w:szCs w:val="24"/>
        </w:rPr>
        <w:t>s</w:t>
      </w:r>
      <w:r w:rsidRPr="30CF4445" w:rsidR="72013B22">
        <w:rPr>
          <w:rFonts w:ascii="Verdana" w:hAnsi="Verdana"/>
          <w:sz w:val="24"/>
          <w:szCs w:val="24"/>
        </w:rPr>
        <w:t xml:space="preserve"> y saludable</w:t>
      </w:r>
      <w:r w:rsidRPr="30CF4445" w:rsidR="263A0B91">
        <w:rPr>
          <w:rFonts w:ascii="Verdana" w:hAnsi="Verdana"/>
          <w:sz w:val="24"/>
          <w:szCs w:val="24"/>
        </w:rPr>
        <w:t>s</w:t>
      </w:r>
      <w:r w:rsidRPr="30CF4445" w:rsidR="72013B22">
        <w:rPr>
          <w:rFonts w:ascii="Verdana" w:hAnsi="Verdana"/>
          <w:sz w:val="24"/>
          <w:szCs w:val="24"/>
        </w:rPr>
        <w:t xml:space="preserve">. </w:t>
      </w:r>
    </w:p>
    <w:p w:rsidRPr="00B0114A" w:rsidR="00B0114A" w:rsidP="006A0A13" w:rsidRDefault="00B0114A" w14:paraId="3C1B32B4" w14:textId="77777777">
      <w:pPr>
        <w:spacing w:after="0" w:line="360" w:lineRule="auto"/>
        <w:jc w:val="both"/>
        <w:rPr>
          <w:rFonts w:ascii="Verdana" w:hAnsi="Verdana"/>
          <w:sz w:val="24"/>
          <w:szCs w:val="24"/>
        </w:rPr>
      </w:pPr>
    </w:p>
    <w:p w:rsidRPr="00B0114A" w:rsidR="009C314E" w:rsidP="006A0A13" w:rsidRDefault="009C314E" w14:paraId="7A74F356" w14:textId="745B6286">
      <w:pPr>
        <w:spacing w:after="0" w:line="360" w:lineRule="auto"/>
        <w:jc w:val="both"/>
        <w:rPr>
          <w:rFonts w:ascii="Verdana" w:hAnsi="Verdana"/>
          <w:sz w:val="24"/>
          <w:szCs w:val="24"/>
        </w:rPr>
      </w:pPr>
      <w:r w:rsidRPr="30CF4445" w:rsidR="72013B22">
        <w:rPr>
          <w:rFonts w:ascii="Verdana" w:hAnsi="Verdana"/>
          <w:sz w:val="24"/>
          <w:szCs w:val="24"/>
        </w:rPr>
        <w:t>De igual manera, avanzamos en la promoción de los principios de trabajo decente, diálogo social y libertad sindical, a través de los mecanismos legales</w:t>
      </w:r>
      <w:r w:rsidRPr="30CF4445" w:rsidR="199F5F82">
        <w:rPr>
          <w:rFonts w:ascii="Verdana" w:hAnsi="Verdana"/>
          <w:sz w:val="24"/>
          <w:szCs w:val="24"/>
        </w:rPr>
        <w:t xml:space="preserve"> de</w:t>
      </w:r>
      <w:r w:rsidRPr="30CF4445" w:rsidR="72013B22">
        <w:rPr>
          <w:rFonts w:ascii="Verdana" w:hAnsi="Verdana"/>
          <w:sz w:val="24"/>
          <w:szCs w:val="24"/>
        </w:rPr>
        <w:t xml:space="preserve"> participación, concertación y negociación colectiva, así como acciones dirigidas al respeto de los derechos laborales individuales y </w:t>
      </w:r>
      <w:r w:rsidRPr="30CF4445" w:rsidR="72013B22">
        <w:rPr>
          <w:rFonts w:ascii="Verdana" w:hAnsi="Verdana"/>
          <w:sz w:val="24"/>
          <w:szCs w:val="24"/>
        </w:rPr>
        <w:t>colectivos, la construcción de relaciones laborales justas y el fortalecimiento de espacios de interlocución con las organizaciones sindicales.</w:t>
      </w:r>
    </w:p>
    <w:p w:rsidRPr="00B0114A" w:rsidR="009C314E" w:rsidP="006A0A13" w:rsidRDefault="009C314E" w14:paraId="73A8232C" w14:textId="77777777">
      <w:pPr>
        <w:spacing w:after="0" w:line="360" w:lineRule="auto"/>
        <w:jc w:val="both"/>
        <w:rPr>
          <w:rFonts w:ascii="Verdana" w:hAnsi="Verdana"/>
          <w:sz w:val="24"/>
          <w:szCs w:val="24"/>
        </w:rPr>
      </w:pPr>
    </w:p>
    <w:p w:rsidRPr="00B0114A" w:rsidR="00A82055" w:rsidRDefault="00A82055" w14:paraId="145A55C9" w14:textId="77777777">
      <w:pPr>
        <w:pStyle w:val="Prrafodelista"/>
        <w:numPr>
          <w:ilvl w:val="1"/>
          <w:numId w:val="42"/>
        </w:numPr>
        <w:spacing w:after="0" w:line="360" w:lineRule="auto"/>
        <w:outlineLvl w:val="1"/>
        <w:rPr>
          <w:rFonts w:ascii="Verdana" w:hAnsi="Verdana"/>
          <w:b/>
          <w:bCs/>
          <w:sz w:val="24"/>
          <w:szCs w:val="24"/>
        </w:rPr>
      </w:pPr>
      <w:bookmarkStart w:name="_Toc233996724" w:id="7"/>
      <w:r w:rsidRPr="00B0114A">
        <w:rPr>
          <w:rFonts w:ascii="Verdana" w:hAnsi="Verdana"/>
          <w:b/>
          <w:bCs/>
          <w:sz w:val="24"/>
          <w:szCs w:val="24"/>
        </w:rPr>
        <w:t>Gestión del talento humano</w:t>
      </w:r>
      <w:bookmarkEnd w:id="7"/>
    </w:p>
    <w:p w:rsidR="00B0114A" w:rsidP="006A0A13" w:rsidRDefault="00B0114A" w14:paraId="6899AACD" w14:textId="77777777">
      <w:pPr>
        <w:spacing w:after="0" w:line="360" w:lineRule="auto"/>
        <w:jc w:val="both"/>
        <w:rPr>
          <w:rFonts w:ascii="Verdana" w:hAnsi="Verdana"/>
          <w:sz w:val="24"/>
          <w:szCs w:val="24"/>
        </w:rPr>
      </w:pPr>
    </w:p>
    <w:p w:rsidR="009C314E" w:rsidP="006A0A13" w:rsidRDefault="009C314E" w14:paraId="6A3A6FCF" w14:textId="77777777">
      <w:pPr>
        <w:spacing w:after="0" w:line="360" w:lineRule="auto"/>
        <w:jc w:val="both"/>
        <w:rPr>
          <w:rFonts w:ascii="Verdana" w:hAnsi="Verdana"/>
          <w:sz w:val="24"/>
          <w:szCs w:val="24"/>
        </w:rPr>
      </w:pPr>
      <w:r w:rsidRPr="00B0114A">
        <w:rPr>
          <w:rFonts w:ascii="Verdana" w:hAnsi="Verdana"/>
          <w:sz w:val="24"/>
          <w:szCs w:val="24"/>
        </w:rPr>
        <w:t>Tras las reformas realizadas entre 2012 y 2022, el Ministerio fortaleció y optimizó su estructura institucional, incluyendo la creación de la Oficina de Control Interno Disciplinario. Como resultado, actualmente cuenta con una planta de 305 empleos</w:t>
      </w:r>
      <w:r w:rsidR="00B0114A">
        <w:rPr>
          <w:rFonts w:ascii="Verdana" w:hAnsi="Verdana"/>
          <w:sz w:val="24"/>
          <w:szCs w:val="24"/>
        </w:rPr>
        <w:t>.</w:t>
      </w:r>
    </w:p>
    <w:p w:rsidRPr="00B0114A" w:rsidR="00B0114A" w:rsidP="006A0A13" w:rsidRDefault="00B0114A" w14:paraId="5EE04345" w14:textId="77777777">
      <w:pPr>
        <w:spacing w:after="0" w:line="360" w:lineRule="auto"/>
        <w:jc w:val="both"/>
        <w:rPr>
          <w:rFonts w:ascii="Verdana" w:hAnsi="Verdana"/>
          <w:sz w:val="24"/>
          <w:szCs w:val="24"/>
        </w:rPr>
      </w:pPr>
    </w:p>
    <w:p w:rsidR="009C314E" w:rsidP="00B0114A" w:rsidRDefault="009C314E" w14:paraId="5C819D8F" w14:textId="248982BA">
      <w:pPr>
        <w:spacing w:after="0" w:line="240" w:lineRule="auto"/>
        <w:jc w:val="center"/>
        <w:rPr>
          <w:rFonts w:ascii="Verdana" w:hAnsi="Verdana"/>
          <w:sz w:val="18"/>
          <w:szCs w:val="18"/>
        </w:rPr>
      </w:pPr>
      <w:r w:rsidRPr="30CF4445" w:rsidR="72013B22">
        <w:rPr>
          <w:rFonts w:ascii="Verdana" w:hAnsi="Verdana"/>
          <w:sz w:val="18"/>
          <w:szCs w:val="18"/>
        </w:rPr>
        <w:t>Tabla</w:t>
      </w:r>
      <w:r w:rsidRPr="30CF4445" w:rsidR="729C71F2">
        <w:rPr>
          <w:rFonts w:ascii="Verdana" w:hAnsi="Verdana"/>
          <w:sz w:val="18"/>
          <w:szCs w:val="18"/>
        </w:rPr>
        <w:t xml:space="preserve"> No. 18</w:t>
      </w:r>
      <w:r w:rsidRPr="30CF4445" w:rsidR="147DF18D">
        <w:rPr>
          <w:rFonts w:ascii="Verdana" w:hAnsi="Verdana"/>
          <w:sz w:val="18"/>
          <w:szCs w:val="18"/>
        </w:rPr>
        <w:t>.</w:t>
      </w:r>
      <w:r w:rsidRPr="30CF4445" w:rsidR="72013B22">
        <w:rPr>
          <w:rFonts w:ascii="Verdana" w:hAnsi="Verdana"/>
          <w:sz w:val="18"/>
          <w:szCs w:val="18"/>
        </w:rPr>
        <w:t xml:space="preserve"> Evolución normativa de la Planta de Personal</w:t>
      </w:r>
    </w:p>
    <w:tbl>
      <w:tblPr>
        <w:tblW w:w="0" w:type="auto"/>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674"/>
        <w:gridCol w:w="1840"/>
        <w:gridCol w:w="3377"/>
        <w:gridCol w:w="2927"/>
      </w:tblGrid>
      <w:tr w:rsidRPr="00B0114A" w:rsidR="009C314E" w:rsidTr="00E558DE" w14:paraId="00C382AF" w14:textId="77777777">
        <w:trPr>
          <w:trHeight w:val="354"/>
        </w:trPr>
        <w:tc>
          <w:tcPr>
            <w:tcW w:w="0" w:type="auto"/>
            <w:tcBorders>
              <w:top w:val="single" w:color="auto" w:sz="8" w:space="0"/>
              <w:left w:val="single" w:color="auto" w:sz="8" w:space="0"/>
              <w:bottom w:val="single" w:color="auto" w:sz="8" w:space="0"/>
              <w:right w:val="single" w:color="auto" w:sz="8" w:space="0"/>
            </w:tcBorders>
            <w:shd w:val="clear" w:color="auto" w:fill="A6A6A6" w:themeFill="background1" w:themeFillShade="A6"/>
            <w:tcMar>
              <w:top w:w="0" w:type="dxa"/>
              <w:left w:w="108" w:type="dxa"/>
              <w:bottom w:w="0" w:type="dxa"/>
              <w:right w:w="108" w:type="dxa"/>
            </w:tcMar>
            <w:vAlign w:val="center"/>
            <w:hideMark/>
          </w:tcPr>
          <w:p w:rsidRPr="00B0114A" w:rsidR="009C314E" w:rsidP="00B0114A" w:rsidRDefault="009C314E" w14:paraId="73865B93" w14:textId="77777777">
            <w:pPr>
              <w:spacing w:after="0" w:line="240" w:lineRule="auto"/>
              <w:jc w:val="center"/>
              <w:rPr>
                <w:rFonts w:ascii="Verdana" w:hAnsi="Verdana"/>
                <w:sz w:val="18"/>
                <w:szCs w:val="18"/>
              </w:rPr>
            </w:pPr>
            <w:r w:rsidRPr="00B0114A">
              <w:rPr>
                <w:rFonts w:ascii="Verdana" w:hAnsi="Verdana"/>
                <w:b/>
                <w:bCs/>
                <w:sz w:val="18"/>
                <w:szCs w:val="18"/>
              </w:rPr>
              <w:t>Año</w:t>
            </w:r>
          </w:p>
        </w:tc>
        <w:tc>
          <w:tcPr>
            <w:tcW w:w="0" w:type="auto"/>
            <w:tcBorders>
              <w:top w:val="single" w:color="auto" w:sz="8" w:space="0"/>
              <w:left w:val="outset" w:color="auto" w:sz="6" w:space="0"/>
              <w:bottom w:val="single" w:color="auto" w:sz="8" w:space="0"/>
              <w:right w:val="single" w:color="auto" w:sz="8" w:space="0"/>
            </w:tcBorders>
            <w:shd w:val="clear" w:color="auto" w:fill="A6A6A6" w:themeFill="background1" w:themeFillShade="A6"/>
            <w:tcMar>
              <w:top w:w="0" w:type="dxa"/>
              <w:left w:w="108" w:type="dxa"/>
              <w:bottom w:w="0" w:type="dxa"/>
              <w:right w:w="108" w:type="dxa"/>
            </w:tcMar>
            <w:vAlign w:val="center"/>
            <w:hideMark/>
          </w:tcPr>
          <w:p w:rsidRPr="00B0114A" w:rsidR="009C314E" w:rsidP="00B0114A" w:rsidRDefault="009C314E" w14:paraId="04741470" w14:textId="77777777">
            <w:pPr>
              <w:spacing w:after="0" w:line="240" w:lineRule="auto"/>
              <w:jc w:val="center"/>
              <w:rPr>
                <w:rFonts w:ascii="Verdana" w:hAnsi="Verdana"/>
                <w:sz w:val="18"/>
                <w:szCs w:val="18"/>
              </w:rPr>
            </w:pPr>
            <w:r w:rsidRPr="00B0114A">
              <w:rPr>
                <w:rFonts w:ascii="Verdana" w:hAnsi="Verdana"/>
                <w:b/>
                <w:bCs/>
                <w:sz w:val="18"/>
                <w:szCs w:val="18"/>
              </w:rPr>
              <w:t>Norma / Hito</w:t>
            </w:r>
          </w:p>
        </w:tc>
        <w:tc>
          <w:tcPr>
            <w:tcW w:w="0" w:type="auto"/>
            <w:tcBorders>
              <w:top w:val="single" w:color="auto" w:sz="8" w:space="0"/>
              <w:left w:val="outset" w:color="auto" w:sz="6" w:space="0"/>
              <w:bottom w:val="single" w:color="auto" w:sz="8" w:space="0"/>
              <w:right w:val="single" w:color="auto" w:sz="8" w:space="0"/>
            </w:tcBorders>
            <w:shd w:val="clear" w:color="auto" w:fill="A6A6A6" w:themeFill="background1" w:themeFillShade="A6"/>
            <w:tcMar>
              <w:top w:w="0" w:type="dxa"/>
              <w:left w:w="108" w:type="dxa"/>
              <w:bottom w:w="0" w:type="dxa"/>
              <w:right w:w="108" w:type="dxa"/>
            </w:tcMar>
            <w:vAlign w:val="center"/>
            <w:hideMark/>
          </w:tcPr>
          <w:p w:rsidRPr="00B0114A" w:rsidR="009C314E" w:rsidP="00B0114A" w:rsidRDefault="009C314E" w14:paraId="7440ADE1" w14:textId="77777777">
            <w:pPr>
              <w:spacing w:after="0" w:line="240" w:lineRule="auto"/>
              <w:jc w:val="center"/>
              <w:rPr>
                <w:rFonts w:ascii="Verdana" w:hAnsi="Verdana"/>
                <w:sz w:val="18"/>
                <w:szCs w:val="18"/>
              </w:rPr>
            </w:pPr>
            <w:r w:rsidRPr="00B0114A">
              <w:rPr>
                <w:rFonts w:ascii="Verdana" w:hAnsi="Verdana"/>
                <w:b/>
                <w:bCs/>
                <w:sz w:val="18"/>
                <w:szCs w:val="18"/>
              </w:rPr>
              <w:t>Acción Desarrollada</w:t>
            </w:r>
          </w:p>
        </w:tc>
        <w:tc>
          <w:tcPr>
            <w:tcW w:w="0" w:type="auto"/>
            <w:tcBorders>
              <w:top w:val="single" w:color="auto" w:sz="8" w:space="0"/>
              <w:left w:val="outset" w:color="auto" w:sz="6" w:space="0"/>
              <w:bottom w:val="single" w:color="auto" w:sz="8" w:space="0"/>
              <w:right w:val="single" w:color="auto" w:sz="8" w:space="0"/>
            </w:tcBorders>
            <w:shd w:val="clear" w:color="auto" w:fill="A6A6A6" w:themeFill="background1" w:themeFillShade="A6"/>
            <w:tcMar>
              <w:top w:w="0" w:type="dxa"/>
              <w:left w:w="108" w:type="dxa"/>
              <w:bottom w:w="0" w:type="dxa"/>
              <w:right w:w="108" w:type="dxa"/>
            </w:tcMar>
            <w:vAlign w:val="center"/>
            <w:hideMark/>
          </w:tcPr>
          <w:p w:rsidRPr="00B0114A" w:rsidR="009C314E" w:rsidP="00B0114A" w:rsidRDefault="009C314E" w14:paraId="705B7C7C" w14:textId="77777777">
            <w:pPr>
              <w:spacing w:after="0" w:line="240" w:lineRule="auto"/>
              <w:jc w:val="center"/>
              <w:rPr>
                <w:rFonts w:ascii="Verdana" w:hAnsi="Verdana"/>
                <w:sz w:val="18"/>
                <w:szCs w:val="18"/>
              </w:rPr>
            </w:pPr>
            <w:r w:rsidRPr="00B0114A">
              <w:rPr>
                <w:rFonts w:ascii="Verdana" w:hAnsi="Verdana"/>
                <w:b/>
                <w:bCs/>
                <w:sz w:val="18"/>
                <w:szCs w:val="18"/>
              </w:rPr>
              <w:t>Resultado / Impacto</w:t>
            </w:r>
          </w:p>
        </w:tc>
      </w:tr>
      <w:tr w:rsidRPr="00B0114A" w:rsidR="009C314E" w:rsidTr="00B0114A" w14:paraId="221EBC12" w14:textId="77777777">
        <w:tc>
          <w:tcPr>
            <w:tcW w:w="0" w:type="auto"/>
            <w:tcBorders>
              <w:top w:val="outset" w:color="auto" w:sz="6" w:space="0"/>
              <w:left w:val="single" w:color="auto" w:sz="8" w:space="0"/>
              <w:bottom w:val="single" w:color="auto" w:sz="8" w:space="0"/>
              <w:right w:val="single" w:color="auto" w:sz="8" w:space="0"/>
            </w:tcBorders>
            <w:tcMar>
              <w:top w:w="0" w:type="dxa"/>
              <w:left w:w="108" w:type="dxa"/>
              <w:bottom w:w="0" w:type="dxa"/>
              <w:right w:w="108" w:type="dxa"/>
            </w:tcMar>
            <w:vAlign w:val="center"/>
            <w:hideMark/>
          </w:tcPr>
          <w:p w:rsidRPr="00B0114A" w:rsidR="009C314E" w:rsidP="00B0114A" w:rsidRDefault="009C314E" w14:paraId="67791AC2" w14:textId="77777777">
            <w:pPr>
              <w:spacing w:after="0" w:line="240" w:lineRule="auto"/>
              <w:rPr>
                <w:rFonts w:ascii="Verdana" w:hAnsi="Verdana"/>
                <w:sz w:val="18"/>
                <w:szCs w:val="18"/>
              </w:rPr>
            </w:pPr>
            <w:r w:rsidRPr="00B0114A">
              <w:rPr>
                <w:rFonts w:ascii="Verdana" w:hAnsi="Verdana"/>
                <w:sz w:val="18"/>
                <w:szCs w:val="18"/>
              </w:rPr>
              <w:t>2012</w:t>
            </w:r>
          </w:p>
        </w:tc>
        <w:tc>
          <w:tcPr>
            <w:tcW w:w="0" w:type="auto"/>
            <w:tcBorders>
              <w:top w:val="outset" w:color="auto" w:sz="6" w:space="0"/>
              <w:left w:val="outset" w:color="auto" w:sz="6" w:space="0"/>
              <w:bottom w:val="single" w:color="auto" w:sz="8" w:space="0"/>
              <w:right w:val="single" w:color="auto" w:sz="8" w:space="0"/>
            </w:tcBorders>
            <w:tcMar>
              <w:top w:w="0" w:type="dxa"/>
              <w:left w:w="108" w:type="dxa"/>
              <w:bottom w:w="0" w:type="dxa"/>
              <w:right w:w="108" w:type="dxa"/>
            </w:tcMar>
            <w:vAlign w:val="center"/>
            <w:hideMark/>
          </w:tcPr>
          <w:p w:rsidRPr="00B0114A" w:rsidR="009C314E" w:rsidP="00B0114A" w:rsidRDefault="009C314E" w14:paraId="2C04849B" w14:textId="77777777">
            <w:pPr>
              <w:spacing w:after="0" w:line="240" w:lineRule="auto"/>
              <w:rPr>
                <w:rFonts w:ascii="Verdana" w:hAnsi="Verdana"/>
                <w:sz w:val="18"/>
                <w:szCs w:val="18"/>
              </w:rPr>
            </w:pPr>
            <w:r w:rsidRPr="00B0114A">
              <w:rPr>
                <w:rFonts w:ascii="Verdana" w:hAnsi="Verdana"/>
                <w:sz w:val="18"/>
                <w:szCs w:val="18"/>
              </w:rPr>
              <w:t>Decretos 381, 382, 2585 y 2586</w:t>
            </w:r>
          </w:p>
        </w:tc>
        <w:tc>
          <w:tcPr>
            <w:tcW w:w="0" w:type="auto"/>
            <w:tcBorders>
              <w:top w:val="outset" w:color="auto" w:sz="6" w:space="0"/>
              <w:left w:val="outset" w:color="auto" w:sz="6" w:space="0"/>
              <w:bottom w:val="single" w:color="auto" w:sz="8" w:space="0"/>
              <w:right w:val="single" w:color="auto" w:sz="8" w:space="0"/>
            </w:tcBorders>
            <w:tcMar>
              <w:top w:w="0" w:type="dxa"/>
              <w:left w:w="108" w:type="dxa"/>
              <w:bottom w:w="0" w:type="dxa"/>
              <w:right w:w="108" w:type="dxa"/>
            </w:tcMar>
            <w:vAlign w:val="center"/>
            <w:hideMark/>
          </w:tcPr>
          <w:p w:rsidRPr="00B0114A" w:rsidR="009C314E" w:rsidP="00B0114A" w:rsidRDefault="009C314E" w14:paraId="4460047A" w14:textId="77777777">
            <w:pPr>
              <w:spacing w:after="0" w:line="240" w:lineRule="auto"/>
              <w:rPr>
                <w:rFonts w:ascii="Verdana" w:hAnsi="Verdana"/>
                <w:sz w:val="18"/>
                <w:szCs w:val="18"/>
              </w:rPr>
            </w:pPr>
            <w:r w:rsidRPr="00B0114A">
              <w:rPr>
                <w:rFonts w:ascii="Verdana" w:hAnsi="Verdana"/>
                <w:sz w:val="18"/>
                <w:szCs w:val="18"/>
              </w:rPr>
              <w:t>Modernización institucional y consolidación de la estructura del Ministerio</w:t>
            </w:r>
          </w:p>
        </w:tc>
        <w:tc>
          <w:tcPr>
            <w:tcW w:w="0" w:type="auto"/>
            <w:tcBorders>
              <w:top w:val="outset" w:color="auto" w:sz="6" w:space="0"/>
              <w:left w:val="outset" w:color="auto" w:sz="6" w:space="0"/>
              <w:bottom w:val="single" w:color="auto" w:sz="8" w:space="0"/>
              <w:right w:val="single" w:color="auto" w:sz="8" w:space="0"/>
            </w:tcBorders>
            <w:tcMar>
              <w:top w:w="0" w:type="dxa"/>
              <w:left w:w="108" w:type="dxa"/>
              <w:bottom w:w="0" w:type="dxa"/>
              <w:right w:w="108" w:type="dxa"/>
            </w:tcMar>
            <w:vAlign w:val="center"/>
            <w:hideMark/>
          </w:tcPr>
          <w:p w:rsidRPr="00B0114A" w:rsidR="009C314E" w:rsidP="00B0114A" w:rsidRDefault="009C314E" w14:paraId="329891D1" w14:textId="77777777">
            <w:pPr>
              <w:spacing w:after="0" w:line="240" w:lineRule="auto"/>
              <w:rPr>
                <w:rFonts w:ascii="Verdana" w:hAnsi="Verdana"/>
                <w:sz w:val="18"/>
                <w:szCs w:val="18"/>
              </w:rPr>
            </w:pPr>
            <w:r w:rsidRPr="00B0114A">
              <w:rPr>
                <w:rFonts w:ascii="Verdana" w:hAnsi="Verdana"/>
                <w:sz w:val="18"/>
                <w:szCs w:val="18"/>
              </w:rPr>
              <w:t>Se consolidó la estructura organizacional del Ministerio de Minas y Energía</w:t>
            </w:r>
          </w:p>
        </w:tc>
      </w:tr>
      <w:tr w:rsidRPr="00B0114A" w:rsidR="009C314E" w:rsidTr="00B0114A" w14:paraId="63575929" w14:textId="77777777">
        <w:tc>
          <w:tcPr>
            <w:tcW w:w="0" w:type="auto"/>
            <w:tcBorders>
              <w:top w:val="outset" w:color="auto" w:sz="6" w:space="0"/>
              <w:left w:val="single" w:color="auto" w:sz="8" w:space="0"/>
              <w:bottom w:val="single" w:color="auto" w:sz="8" w:space="0"/>
              <w:right w:val="single" w:color="auto" w:sz="8" w:space="0"/>
            </w:tcBorders>
            <w:tcMar>
              <w:top w:w="0" w:type="dxa"/>
              <w:left w:w="108" w:type="dxa"/>
              <w:bottom w:w="0" w:type="dxa"/>
              <w:right w:w="108" w:type="dxa"/>
            </w:tcMar>
            <w:vAlign w:val="center"/>
            <w:hideMark/>
          </w:tcPr>
          <w:p w:rsidRPr="00B0114A" w:rsidR="009C314E" w:rsidP="00B0114A" w:rsidRDefault="009C314E" w14:paraId="1021BA69" w14:textId="77777777">
            <w:pPr>
              <w:spacing w:after="0" w:line="240" w:lineRule="auto"/>
              <w:rPr>
                <w:rFonts w:ascii="Verdana" w:hAnsi="Verdana"/>
                <w:sz w:val="18"/>
                <w:szCs w:val="18"/>
              </w:rPr>
            </w:pPr>
            <w:r w:rsidRPr="00B0114A">
              <w:rPr>
                <w:rFonts w:ascii="Verdana" w:hAnsi="Verdana"/>
                <w:sz w:val="18"/>
                <w:szCs w:val="18"/>
              </w:rPr>
              <w:t>2013</w:t>
            </w:r>
          </w:p>
        </w:tc>
        <w:tc>
          <w:tcPr>
            <w:tcW w:w="0" w:type="auto"/>
            <w:tcBorders>
              <w:top w:val="outset" w:color="auto" w:sz="6" w:space="0"/>
              <w:left w:val="outset" w:color="auto" w:sz="6" w:space="0"/>
              <w:bottom w:val="single" w:color="auto" w:sz="8" w:space="0"/>
              <w:right w:val="single" w:color="auto" w:sz="8" w:space="0"/>
            </w:tcBorders>
            <w:tcMar>
              <w:top w:w="0" w:type="dxa"/>
              <w:left w:w="108" w:type="dxa"/>
              <w:bottom w:w="0" w:type="dxa"/>
              <w:right w:w="108" w:type="dxa"/>
            </w:tcMar>
            <w:vAlign w:val="center"/>
            <w:hideMark/>
          </w:tcPr>
          <w:p w:rsidRPr="00B0114A" w:rsidR="009C314E" w:rsidP="00B0114A" w:rsidRDefault="009C314E" w14:paraId="78F906A3" w14:textId="77777777">
            <w:pPr>
              <w:spacing w:after="0" w:line="240" w:lineRule="auto"/>
              <w:rPr>
                <w:rFonts w:ascii="Verdana" w:hAnsi="Verdana"/>
                <w:sz w:val="18"/>
                <w:szCs w:val="18"/>
              </w:rPr>
            </w:pPr>
            <w:r w:rsidRPr="00B0114A">
              <w:rPr>
                <w:rFonts w:ascii="Verdana" w:hAnsi="Verdana"/>
                <w:sz w:val="18"/>
                <w:szCs w:val="18"/>
              </w:rPr>
              <w:t>Decreto 2881</w:t>
            </w:r>
          </w:p>
        </w:tc>
        <w:tc>
          <w:tcPr>
            <w:tcW w:w="0" w:type="auto"/>
            <w:tcBorders>
              <w:top w:val="outset" w:color="auto" w:sz="6" w:space="0"/>
              <w:left w:val="outset" w:color="auto" w:sz="6" w:space="0"/>
              <w:bottom w:val="single" w:color="auto" w:sz="8" w:space="0"/>
              <w:right w:val="single" w:color="auto" w:sz="8" w:space="0"/>
            </w:tcBorders>
            <w:tcMar>
              <w:top w:w="0" w:type="dxa"/>
              <w:left w:w="108" w:type="dxa"/>
              <w:bottom w:w="0" w:type="dxa"/>
              <w:right w:w="108" w:type="dxa"/>
            </w:tcMar>
            <w:vAlign w:val="center"/>
            <w:hideMark/>
          </w:tcPr>
          <w:p w:rsidRPr="00B0114A" w:rsidR="009C314E" w:rsidP="00B0114A" w:rsidRDefault="009C314E" w14:paraId="048099C6" w14:textId="77777777">
            <w:pPr>
              <w:spacing w:after="0" w:line="240" w:lineRule="auto"/>
              <w:rPr>
                <w:rFonts w:ascii="Verdana" w:hAnsi="Verdana"/>
                <w:sz w:val="18"/>
                <w:szCs w:val="18"/>
              </w:rPr>
            </w:pPr>
            <w:r w:rsidRPr="00B0114A">
              <w:rPr>
                <w:rFonts w:ascii="Verdana" w:hAnsi="Verdana"/>
                <w:sz w:val="18"/>
                <w:szCs w:val="18"/>
              </w:rPr>
              <w:t>Modificación de la planta de personal</w:t>
            </w:r>
          </w:p>
        </w:tc>
        <w:tc>
          <w:tcPr>
            <w:tcW w:w="0" w:type="auto"/>
            <w:tcBorders>
              <w:top w:val="outset" w:color="auto" w:sz="6" w:space="0"/>
              <w:left w:val="outset" w:color="auto" w:sz="6" w:space="0"/>
              <w:bottom w:val="single" w:color="auto" w:sz="8" w:space="0"/>
              <w:right w:val="single" w:color="auto" w:sz="8" w:space="0"/>
            </w:tcBorders>
            <w:tcMar>
              <w:top w:w="0" w:type="dxa"/>
              <w:left w:w="108" w:type="dxa"/>
              <w:bottom w:w="0" w:type="dxa"/>
              <w:right w:w="108" w:type="dxa"/>
            </w:tcMar>
            <w:vAlign w:val="center"/>
            <w:hideMark/>
          </w:tcPr>
          <w:p w:rsidRPr="00B0114A" w:rsidR="009C314E" w:rsidP="00B0114A" w:rsidRDefault="009C314E" w14:paraId="5497EC76" w14:textId="77777777">
            <w:pPr>
              <w:spacing w:after="0" w:line="240" w:lineRule="auto"/>
              <w:rPr>
                <w:rFonts w:ascii="Verdana" w:hAnsi="Verdana"/>
                <w:sz w:val="18"/>
                <w:szCs w:val="18"/>
              </w:rPr>
            </w:pPr>
            <w:r w:rsidRPr="00B0114A">
              <w:rPr>
                <w:rFonts w:ascii="Verdana" w:hAnsi="Verdana"/>
                <w:sz w:val="18"/>
                <w:szCs w:val="18"/>
              </w:rPr>
              <w:t>Optimización de capacidades institucionales</w:t>
            </w:r>
          </w:p>
        </w:tc>
      </w:tr>
      <w:tr w:rsidRPr="00B0114A" w:rsidR="009C314E" w:rsidTr="00B0114A" w14:paraId="48AED607" w14:textId="77777777">
        <w:tc>
          <w:tcPr>
            <w:tcW w:w="0" w:type="auto"/>
            <w:tcBorders>
              <w:top w:val="outset" w:color="auto" w:sz="6" w:space="0"/>
              <w:left w:val="single" w:color="auto" w:sz="8" w:space="0"/>
              <w:bottom w:val="single" w:color="auto" w:sz="8" w:space="0"/>
              <w:right w:val="single" w:color="auto" w:sz="8" w:space="0"/>
            </w:tcBorders>
            <w:tcMar>
              <w:top w:w="0" w:type="dxa"/>
              <w:left w:w="108" w:type="dxa"/>
              <w:bottom w:w="0" w:type="dxa"/>
              <w:right w:w="108" w:type="dxa"/>
            </w:tcMar>
            <w:vAlign w:val="center"/>
            <w:hideMark/>
          </w:tcPr>
          <w:p w:rsidRPr="00B0114A" w:rsidR="009C314E" w:rsidP="00B0114A" w:rsidRDefault="009C314E" w14:paraId="2904621F" w14:textId="77777777">
            <w:pPr>
              <w:spacing w:after="0" w:line="240" w:lineRule="auto"/>
              <w:rPr>
                <w:rFonts w:ascii="Verdana" w:hAnsi="Verdana"/>
                <w:sz w:val="18"/>
                <w:szCs w:val="18"/>
              </w:rPr>
            </w:pPr>
            <w:r w:rsidRPr="00B0114A">
              <w:rPr>
                <w:rFonts w:ascii="Verdana" w:hAnsi="Verdana"/>
                <w:sz w:val="18"/>
                <w:szCs w:val="18"/>
              </w:rPr>
              <w:t>2016</w:t>
            </w:r>
          </w:p>
        </w:tc>
        <w:tc>
          <w:tcPr>
            <w:tcW w:w="0" w:type="auto"/>
            <w:tcBorders>
              <w:top w:val="outset" w:color="auto" w:sz="6" w:space="0"/>
              <w:left w:val="outset" w:color="auto" w:sz="6" w:space="0"/>
              <w:bottom w:val="single" w:color="auto" w:sz="8" w:space="0"/>
              <w:right w:val="single" w:color="auto" w:sz="8" w:space="0"/>
            </w:tcBorders>
            <w:tcMar>
              <w:top w:w="0" w:type="dxa"/>
              <w:left w:w="108" w:type="dxa"/>
              <w:bottom w:w="0" w:type="dxa"/>
              <w:right w:w="108" w:type="dxa"/>
            </w:tcMar>
            <w:vAlign w:val="center"/>
            <w:hideMark/>
          </w:tcPr>
          <w:p w:rsidRPr="00B0114A" w:rsidR="009C314E" w:rsidP="00B0114A" w:rsidRDefault="009C314E" w14:paraId="28350C24" w14:textId="77777777">
            <w:pPr>
              <w:spacing w:after="0" w:line="240" w:lineRule="auto"/>
              <w:rPr>
                <w:rFonts w:ascii="Verdana" w:hAnsi="Verdana"/>
                <w:sz w:val="18"/>
                <w:szCs w:val="18"/>
              </w:rPr>
            </w:pPr>
            <w:r w:rsidRPr="00B0114A">
              <w:rPr>
                <w:rFonts w:ascii="Verdana" w:hAnsi="Verdana"/>
                <w:sz w:val="18"/>
                <w:szCs w:val="18"/>
              </w:rPr>
              <w:t>Decreto 591 de 2016</w:t>
            </w:r>
          </w:p>
        </w:tc>
        <w:tc>
          <w:tcPr>
            <w:tcW w:w="0" w:type="auto"/>
            <w:tcBorders>
              <w:top w:val="outset" w:color="auto" w:sz="6" w:space="0"/>
              <w:left w:val="outset" w:color="auto" w:sz="6" w:space="0"/>
              <w:bottom w:val="single" w:color="auto" w:sz="8" w:space="0"/>
              <w:right w:val="single" w:color="auto" w:sz="8" w:space="0"/>
            </w:tcBorders>
            <w:tcMar>
              <w:top w:w="0" w:type="dxa"/>
              <w:left w:w="108" w:type="dxa"/>
              <w:bottom w:w="0" w:type="dxa"/>
              <w:right w:w="108" w:type="dxa"/>
            </w:tcMar>
            <w:vAlign w:val="center"/>
            <w:hideMark/>
          </w:tcPr>
          <w:p w:rsidRPr="00B0114A" w:rsidR="009C314E" w:rsidP="00B0114A" w:rsidRDefault="009C314E" w14:paraId="161F827E" w14:textId="77777777">
            <w:pPr>
              <w:spacing w:after="0" w:line="240" w:lineRule="auto"/>
              <w:rPr>
                <w:rFonts w:ascii="Verdana" w:hAnsi="Verdana"/>
                <w:sz w:val="18"/>
                <w:szCs w:val="18"/>
              </w:rPr>
            </w:pPr>
            <w:r w:rsidRPr="00B0114A">
              <w:rPr>
                <w:rFonts w:ascii="Verdana" w:hAnsi="Verdana"/>
                <w:sz w:val="18"/>
                <w:szCs w:val="18"/>
              </w:rPr>
              <w:t>Creación de planta temporal para atender obligaciones derivadas del Sistema General de Regalías</w:t>
            </w:r>
          </w:p>
        </w:tc>
        <w:tc>
          <w:tcPr>
            <w:tcW w:w="0" w:type="auto"/>
            <w:tcBorders>
              <w:top w:val="outset" w:color="auto" w:sz="6" w:space="0"/>
              <w:left w:val="outset" w:color="auto" w:sz="6" w:space="0"/>
              <w:bottom w:val="single" w:color="auto" w:sz="8" w:space="0"/>
              <w:right w:val="single" w:color="auto" w:sz="8" w:space="0"/>
            </w:tcBorders>
            <w:tcMar>
              <w:top w:w="0" w:type="dxa"/>
              <w:left w:w="108" w:type="dxa"/>
              <w:bottom w:w="0" w:type="dxa"/>
              <w:right w:w="108" w:type="dxa"/>
            </w:tcMar>
            <w:vAlign w:val="center"/>
            <w:hideMark/>
          </w:tcPr>
          <w:p w:rsidRPr="00B0114A" w:rsidR="009C314E" w:rsidP="00B0114A" w:rsidRDefault="009C314E" w14:paraId="51DDE534" w14:textId="77777777">
            <w:pPr>
              <w:spacing w:after="0" w:line="240" w:lineRule="auto"/>
              <w:rPr>
                <w:rFonts w:ascii="Verdana" w:hAnsi="Verdana"/>
                <w:sz w:val="18"/>
                <w:szCs w:val="18"/>
              </w:rPr>
            </w:pPr>
            <w:r w:rsidRPr="00B0114A">
              <w:rPr>
                <w:rFonts w:ascii="Verdana" w:hAnsi="Verdana"/>
                <w:sz w:val="18"/>
                <w:szCs w:val="18"/>
              </w:rPr>
              <w:t>Creación de 18 empleos temporales</w:t>
            </w:r>
          </w:p>
        </w:tc>
      </w:tr>
      <w:tr w:rsidRPr="00B0114A" w:rsidR="009C314E" w:rsidTr="00B0114A" w14:paraId="5C269CA4" w14:textId="77777777">
        <w:tc>
          <w:tcPr>
            <w:tcW w:w="0" w:type="auto"/>
            <w:tcBorders>
              <w:top w:val="outset" w:color="auto" w:sz="6" w:space="0"/>
              <w:left w:val="single" w:color="auto" w:sz="8" w:space="0"/>
              <w:bottom w:val="single" w:color="auto" w:sz="8" w:space="0"/>
              <w:right w:val="single" w:color="auto" w:sz="8" w:space="0"/>
            </w:tcBorders>
            <w:tcMar>
              <w:top w:w="0" w:type="dxa"/>
              <w:left w:w="108" w:type="dxa"/>
              <w:bottom w:w="0" w:type="dxa"/>
              <w:right w:w="108" w:type="dxa"/>
            </w:tcMar>
            <w:vAlign w:val="center"/>
            <w:hideMark/>
          </w:tcPr>
          <w:p w:rsidRPr="00B0114A" w:rsidR="009C314E" w:rsidP="00B0114A" w:rsidRDefault="009C314E" w14:paraId="7655B816" w14:textId="77777777">
            <w:pPr>
              <w:spacing w:after="0" w:line="240" w:lineRule="auto"/>
              <w:rPr>
                <w:rFonts w:ascii="Verdana" w:hAnsi="Verdana"/>
                <w:sz w:val="18"/>
                <w:szCs w:val="18"/>
              </w:rPr>
            </w:pPr>
            <w:r w:rsidRPr="00B0114A">
              <w:rPr>
                <w:rFonts w:ascii="Verdana" w:hAnsi="Verdana"/>
                <w:sz w:val="18"/>
                <w:szCs w:val="18"/>
              </w:rPr>
              <w:t>2020</w:t>
            </w:r>
          </w:p>
        </w:tc>
        <w:tc>
          <w:tcPr>
            <w:tcW w:w="0" w:type="auto"/>
            <w:tcBorders>
              <w:top w:val="outset" w:color="auto" w:sz="6" w:space="0"/>
              <w:left w:val="outset" w:color="auto" w:sz="6" w:space="0"/>
              <w:bottom w:val="single" w:color="auto" w:sz="8" w:space="0"/>
              <w:right w:val="single" w:color="auto" w:sz="8" w:space="0"/>
            </w:tcBorders>
            <w:tcMar>
              <w:top w:w="0" w:type="dxa"/>
              <w:left w:w="108" w:type="dxa"/>
              <w:bottom w:w="0" w:type="dxa"/>
              <w:right w:w="108" w:type="dxa"/>
            </w:tcMar>
            <w:vAlign w:val="center"/>
            <w:hideMark/>
          </w:tcPr>
          <w:p w:rsidRPr="00B0114A" w:rsidR="009C314E" w:rsidP="00B0114A" w:rsidRDefault="009C314E" w14:paraId="51841343" w14:textId="77777777">
            <w:pPr>
              <w:spacing w:after="0" w:line="240" w:lineRule="auto"/>
              <w:rPr>
                <w:rFonts w:ascii="Verdana" w:hAnsi="Verdana"/>
                <w:sz w:val="18"/>
                <w:szCs w:val="18"/>
              </w:rPr>
            </w:pPr>
            <w:r w:rsidRPr="00B0114A">
              <w:rPr>
                <w:rFonts w:ascii="Verdana" w:hAnsi="Verdana"/>
                <w:sz w:val="18"/>
                <w:szCs w:val="18"/>
              </w:rPr>
              <w:t>Decreto 1793 del 30 de diciembre de 2020</w:t>
            </w:r>
          </w:p>
        </w:tc>
        <w:tc>
          <w:tcPr>
            <w:tcW w:w="0" w:type="auto"/>
            <w:tcBorders>
              <w:top w:val="outset" w:color="auto" w:sz="6" w:space="0"/>
              <w:left w:val="outset" w:color="auto" w:sz="6" w:space="0"/>
              <w:bottom w:val="single" w:color="auto" w:sz="8" w:space="0"/>
              <w:right w:val="single" w:color="auto" w:sz="8" w:space="0"/>
            </w:tcBorders>
            <w:tcMar>
              <w:top w:w="0" w:type="dxa"/>
              <w:left w:w="108" w:type="dxa"/>
              <w:bottom w:w="0" w:type="dxa"/>
              <w:right w:w="108" w:type="dxa"/>
            </w:tcMar>
            <w:vAlign w:val="center"/>
            <w:hideMark/>
          </w:tcPr>
          <w:p w:rsidRPr="00B0114A" w:rsidR="009C314E" w:rsidP="00B0114A" w:rsidRDefault="009C314E" w14:paraId="52E3C123" w14:textId="77777777">
            <w:pPr>
              <w:spacing w:after="0" w:line="240" w:lineRule="auto"/>
              <w:rPr>
                <w:rFonts w:ascii="Verdana" w:hAnsi="Verdana"/>
                <w:sz w:val="18"/>
                <w:szCs w:val="18"/>
              </w:rPr>
            </w:pPr>
            <w:r w:rsidRPr="00B0114A">
              <w:rPr>
                <w:rFonts w:ascii="Verdana" w:hAnsi="Verdana"/>
                <w:sz w:val="18"/>
                <w:szCs w:val="18"/>
              </w:rPr>
              <w:t>Supresión parcial de cargos de la planta temporal</w:t>
            </w:r>
          </w:p>
        </w:tc>
        <w:tc>
          <w:tcPr>
            <w:tcW w:w="0" w:type="auto"/>
            <w:tcBorders>
              <w:top w:val="outset" w:color="auto" w:sz="6" w:space="0"/>
              <w:left w:val="outset" w:color="auto" w:sz="6" w:space="0"/>
              <w:bottom w:val="single" w:color="auto" w:sz="8" w:space="0"/>
              <w:right w:val="single" w:color="auto" w:sz="8" w:space="0"/>
            </w:tcBorders>
            <w:tcMar>
              <w:top w:w="0" w:type="dxa"/>
              <w:left w:w="108" w:type="dxa"/>
              <w:bottom w:w="0" w:type="dxa"/>
              <w:right w:w="108" w:type="dxa"/>
            </w:tcMar>
            <w:vAlign w:val="center"/>
            <w:hideMark/>
          </w:tcPr>
          <w:p w:rsidRPr="00B0114A" w:rsidR="009C314E" w:rsidP="00B0114A" w:rsidRDefault="009C314E" w14:paraId="067546B7" w14:textId="77777777">
            <w:pPr>
              <w:spacing w:after="0" w:line="240" w:lineRule="auto"/>
              <w:rPr>
                <w:rFonts w:ascii="Verdana" w:hAnsi="Verdana"/>
                <w:sz w:val="18"/>
                <w:szCs w:val="18"/>
              </w:rPr>
            </w:pPr>
            <w:r w:rsidRPr="00B0114A">
              <w:rPr>
                <w:rFonts w:ascii="Verdana" w:hAnsi="Verdana"/>
                <w:sz w:val="18"/>
                <w:szCs w:val="18"/>
              </w:rPr>
              <w:t>Reducción de 2 cargos y consolidación de 16 empleos temporales</w:t>
            </w:r>
          </w:p>
        </w:tc>
      </w:tr>
      <w:tr w:rsidRPr="00B0114A" w:rsidR="009C314E" w:rsidTr="00B0114A" w14:paraId="1D1E867C" w14:textId="77777777">
        <w:tc>
          <w:tcPr>
            <w:tcW w:w="0" w:type="auto"/>
            <w:tcBorders>
              <w:top w:val="outset" w:color="auto" w:sz="6" w:space="0"/>
              <w:left w:val="single" w:color="auto" w:sz="8" w:space="0"/>
              <w:bottom w:val="single" w:color="auto" w:sz="8" w:space="0"/>
              <w:right w:val="single" w:color="auto" w:sz="8" w:space="0"/>
            </w:tcBorders>
            <w:tcMar>
              <w:top w:w="0" w:type="dxa"/>
              <w:left w:w="108" w:type="dxa"/>
              <w:bottom w:w="0" w:type="dxa"/>
              <w:right w:w="108" w:type="dxa"/>
            </w:tcMar>
            <w:vAlign w:val="center"/>
            <w:hideMark/>
          </w:tcPr>
          <w:p w:rsidRPr="00B0114A" w:rsidR="009C314E" w:rsidP="00B0114A" w:rsidRDefault="009C314E" w14:paraId="50542854" w14:textId="77777777">
            <w:pPr>
              <w:spacing w:after="0" w:line="240" w:lineRule="auto"/>
              <w:rPr>
                <w:rFonts w:ascii="Verdana" w:hAnsi="Verdana"/>
                <w:sz w:val="18"/>
                <w:szCs w:val="18"/>
              </w:rPr>
            </w:pPr>
            <w:r w:rsidRPr="00B0114A">
              <w:rPr>
                <w:rFonts w:ascii="Verdana" w:hAnsi="Verdana"/>
                <w:sz w:val="18"/>
                <w:szCs w:val="18"/>
              </w:rPr>
              <w:t>2022</w:t>
            </w:r>
          </w:p>
        </w:tc>
        <w:tc>
          <w:tcPr>
            <w:tcW w:w="0" w:type="auto"/>
            <w:tcBorders>
              <w:top w:val="outset" w:color="auto" w:sz="6" w:space="0"/>
              <w:left w:val="outset" w:color="auto" w:sz="6" w:space="0"/>
              <w:bottom w:val="single" w:color="auto" w:sz="8" w:space="0"/>
              <w:right w:val="single" w:color="auto" w:sz="8" w:space="0"/>
            </w:tcBorders>
            <w:tcMar>
              <w:top w:w="0" w:type="dxa"/>
              <w:left w:w="108" w:type="dxa"/>
              <w:bottom w:w="0" w:type="dxa"/>
              <w:right w:w="108" w:type="dxa"/>
            </w:tcMar>
            <w:vAlign w:val="center"/>
            <w:hideMark/>
          </w:tcPr>
          <w:p w:rsidRPr="00B0114A" w:rsidR="009C314E" w:rsidP="00B0114A" w:rsidRDefault="009C314E" w14:paraId="479BF5CF" w14:textId="77777777">
            <w:pPr>
              <w:spacing w:after="0" w:line="240" w:lineRule="auto"/>
              <w:rPr>
                <w:rFonts w:ascii="Verdana" w:hAnsi="Verdana"/>
                <w:sz w:val="18"/>
                <w:szCs w:val="18"/>
              </w:rPr>
            </w:pPr>
            <w:r w:rsidRPr="00B0114A">
              <w:rPr>
                <w:rFonts w:ascii="Verdana" w:hAnsi="Verdana"/>
                <w:sz w:val="18"/>
                <w:szCs w:val="18"/>
              </w:rPr>
              <w:t>Decreto 030 de 2022</w:t>
            </w:r>
          </w:p>
        </w:tc>
        <w:tc>
          <w:tcPr>
            <w:tcW w:w="0" w:type="auto"/>
            <w:tcBorders>
              <w:top w:val="outset" w:color="auto" w:sz="6" w:space="0"/>
              <w:left w:val="outset" w:color="auto" w:sz="6" w:space="0"/>
              <w:bottom w:val="single" w:color="auto" w:sz="8" w:space="0"/>
              <w:right w:val="single" w:color="auto" w:sz="8" w:space="0"/>
            </w:tcBorders>
            <w:tcMar>
              <w:top w:w="0" w:type="dxa"/>
              <w:left w:w="108" w:type="dxa"/>
              <w:bottom w:w="0" w:type="dxa"/>
              <w:right w:w="108" w:type="dxa"/>
            </w:tcMar>
            <w:vAlign w:val="center"/>
            <w:hideMark/>
          </w:tcPr>
          <w:p w:rsidRPr="00B0114A" w:rsidR="009C314E" w:rsidP="00B0114A" w:rsidRDefault="009C314E" w14:paraId="4531D121" w14:textId="77777777">
            <w:pPr>
              <w:spacing w:after="0" w:line="240" w:lineRule="auto"/>
              <w:rPr>
                <w:rFonts w:ascii="Verdana" w:hAnsi="Verdana"/>
                <w:sz w:val="18"/>
                <w:szCs w:val="18"/>
              </w:rPr>
            </w:pPr>
            <w:r w:rsidRPr="00B0114A">
              <w:rPr>
                <w:rFonts w:ascii="Verdana" w:hAnsi="Verdana"/>
                <w:sz w:val="18"/>
                <w:szCs w:val="18"/>
              </w:rPr>
              <w:t>Creación del cargo de Jefe de Oficina de Control Interno Disciplinario Interno</w:t>
            </w:r>
          </w:p>
        </w:tc>
        <w:tc>
          <w:tcPr>
            <w:tcW w:w="0" w:type="auto"/>
            <w:tcBorders>
              <w:top w:val="outset" w:color="auto" w:sz="6" w:space="0"/>
              <w:left w:val="outset" w:color="auto" w:sz="6" w:space="0"/>
              <w:bottom w:val="single" w:color="auto" w:sz="8" w:space="0"/>
              <w:right w:val="single" w:color="auto" w:sz="8" w:space="0"/>
            </w:tcBorders>
            <w:tcMar>
              <w:top w:w="0" w:type="dxa"/>
              <w:left w:w="108" w:type="dxa"/>
              <w:bottom w:w="0" w:type="dxa"/>
              <w:right w:w="108" w:type="dxa"/>
            </w:tcMar>
            <w:vAlign w:val="center"/>
            <w:hideMark/>
          </w:tcPr>
          <w:p w:rsidRPr="00B0114A" w:rsidR="009C314E" w:rsidP="00B0114A" w:rsidRDefault="009C314E" w14:paraId="2330AB0B" w14:textId="77777777">
            <w:pPr>
              <w:spacing w:after="0" w:line="240" w:lineRule="auto"/>
              <w:rPr>
                <w:rFonts w:ascii="Verdana" w:hAnsi="Verdana"/>
                <w:sz w:val="18"/>
                <w:szCs w:val="18"/>
              </w:rPr>
            </w:pPr>
            <w:r w:rsidRPr="00B0114A">
              <w:rPr>
                <w:rFonts w:ascii="Verdana" w:hAnsi="Verdana"/>
                <w:sz w:val="18"/>
                <w:szCs w:val="18"/>
              </w:rPr>
              <w:t>Fortalecimiento de los procesos disciplinarios y del control interno</w:t>
            </w:r>
          </w:p>
        </w:tc>
      </w:tr>
    </w:tbl>
    <w:p w:rsidRPr="00B0114A" w:rsidR="009C314E" w:rsidP="00E558DE" w:rsidRDefault="48FA6C7B" w14:paraId="371A1372" w14:textId="77777777">
      <w:pPr>
        <w:tabs>
          <w:tab w:val="left" w:pos="2694"/>
        </w:tabs>
        <w:spacing w:after="0" w:line="240" w:lineRule="auto"/>
        <w:jc w:val="center"/>
        <w:rPr>
          <w:rFonts w:ascii="Verdana" w:hAnsi="Verdana"/>
          <w:sz w:val="18"/>
          <w:szCs w:val="18"/>
        </w:rPr>
      </w:pPr>
      <w:r w:rsidRPr="180099B3">
        <w:rPr>
          <w:rFonts w:ascii="Verdana" w:hAnsi="Verdana"/>
          <w:sz w:val="18"/>
          <w:szCs w:val="18"/>
        </w:rPr>
        <w:t>Fuente: Subdirección de Talento Humano</w:t>
      </w:r>
      <w:r w:rsidRPr="180099B3" w:rsidR="61F0341B">
        <w:rPr>
          <w:rFonts w:ascii="Verdana" w:hAnsi="Verdana"/>
          <w:sz w:val="18"/>
          <w:szCs w:val="18"/>
        </w:rPr>
        <w:t xml:space="preserve"> - MME</w:t>
      </w:r>
    </w:p>
    <w:p w:rsidRPr="00C140A0" w:rsidR="009C314E" w:rsidP="006A0A13" w:rsidRDefault="009C314E" w14:paraId="7E68D26E" w14:textId="77777777">
      <w:pPr>
        <w:spacing w:after="0" w:line="360" w:lineRule="auto"/>
        <w:jc w:val="both"/>
        <w:rPr>
          <w:rFonts w:ascii="Verdana" w:hAnsi="Verdana"/>
          <w:sz w:val="24"/>
          <w:szCs w:val="24"/>
        </w:rPr>
      </w:pPr>
    </w:p>
    <w:p w:rsidR="009C314E" w:rsidP="006A0A13" w:rsidRDefault="009C314E" w14:paraId="165DB3E2" w14:textId="77777777">
      <w:pPr>
        <w:spacing w:after="0" w:line="360" w:lineRule="auto"/>
        <w:jc w:val="both"/>
        <w:rPr>
          <w:rFonts w:ascii="Verdana" w:hAnsi="Verdana"/>
          <w:sz w:val="24"/>
          <w:szCs w:val="24"/>
        </w:rPr>
      </w:pPr>
      <w:r w:rsidRPr="00C140A0">
        <w:rPr>
          <w:rFonts w:ascii="Verdana" w:hAnsi="Verdana"/>
          <w:sz w:val="24"/>
          <w:szCs w:val="24"/>
        </w:rPr>
        <w:t>En 2016 se adoptó una planta temporal para atender las obligaciones derivadas del Sistema General de Regalías, mediante el Decreto 591 de 2016, con la creación de 18 empleos temporales. Posteriormente, el Decreto 1793 de 2020 suprimió 2 cargos, quedando un total de 16 empleos distribuidos así:</w:t>
      </w:r>
    </w:p>
    <w:p w:rsidRPr="00B0114A" w:rsidR="00B0114A" w:rsidP="006A0A13" w:rsidRDefault="00B0114A" w14:paraId="23CAAA90" w14:textId="77777777">
      <w:pPr>
        <w:spacing w:after="0" w:line="360" w:lineRule="auto"/>
        <w:jc w:val="both"/>
        <w:rPr>
          <w:rFonts w:ascii="Verdana" w:hAnsi="Verdana"/>
          <w:sz w:val="18"/>
          <w:szCs w:val="18"/>
        </w:rPr>
      </w:pPr>
    </w:p>
    <w:p w:rsidR="00E558DE" w:rsidP="00E558DE" w:rsidRDefault="009C314E" w14:paraId="30FE1867" w14:textId="77777777">
      <w:pPr>
        <w:spacing w:after="0" w:line="240" w:lineRule="auto"/>
        <w:jc w:val="center"/>
        <w:rPr>
          <w:rFonts w:ascii="Verdana" w:hAnsi="Verdana"/>
          <w:noProof/>
        </w:rPr>
      </w:pPr>
      <w:r w:rsidRPr="00B0114A">
        <w:rPr>
          <w:rFonts w:ascii="Verdana" w:hAnsi="Verdana"/>
          <w:sz w:val="18"/>
          <w:szCs w:val="18"/>
        </w:rPr>
        <w:t>Tabla</w:t>
      </w:r>
      <w:r w:rsidR="00E558DE">
        <w:rPr>
          <w:rFonts w:ascii="Verdana" w:hAnsi="Verdana"/>
          <w:sz w:val="18"/>
          <w:szCs w:val="18"/>
        </w:rPr>
        <w:t xml:space="preserve"> No.19.</w:t>
      </w:r>
      <w:r w:rsidRPr="00B0114A">
        <w:rPr>
          <w:rFonts w:ascii="Verdana" w:hAnsi="Verdana"/>
          <w:sz w:val="18"/>
          <w:szCs w:val="18"/>
        </w:rPr>
        <w:t xml:space="preserve"> Planta total Ministerio de Minas y Energía</w:t>
      </w:r>
    </w:p>
    <w:p w:rsidRPr="00C140A0" w:rsidR="009C314E" w:rsidP="00E558DE" w:rsidRDefault="48FA6C7B" w14:paraId="1EFAE2D7" w14:textId="77777777">
      <w:pPr>
        <w:spacing w:after="0" w:line="240" w:lineRule="auto"/>
        <w:jc w:val="center"/>
        <w:rPr>
          <w:rFonts w:ascii="Verdana" w:hAnsi="Verdana"/>
          <w:sz w:val="24"/>
          <w:szCs w:val="24"/>
        </w:rPr>
      </w:pPr>
      <w:r>
        <w:rPr>
          <w:noProof/>
        </w:rPr>
        <w:drawing>
          <wp:inline distT="0" distB="0" distL="0" distR="0" wp14:anchorId="1D5A1312" wp14:editId="239A643F">
            <wp:extent cx="3893419" cy="2903800"/>
            <wp:effectExtent l="0" t="0" r="0" b="0"/>
            <wp:docPr id="102100306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003065" name="Picture 1021003065"/>
                    <pic:cNvPicPr/>
                  </pic:nvPicPr>
                  <pic:blipFill rotWithShape="1">
                    <a:blip r:embed="rId16">
                      <a:extLst>
                        <a:ext uri="{28A0092B-C50C-407E-A947-70E740481C1C}">
                          <a14:useLocalDpi xmlns:a14="http://schemas.microsoft.com/office/drawing/2010/main"/>
                        </a:ext>
                      </a:extLst>
                    </a:blip>
                    <a:srcRect t="3590" r="1686" b="5385"/>
                    <a:stretch>
                      <a:fillRect/>
                    </a:stretch>
                  </pic:blipFill>
                  <pic:spPr bwMode="auto">
                    <a:xfrm>
                      <a:off x="0" y="0"/>
                      <a:ext cx="3893419" cy="2903800"/>
                    </a:xfrm>
                    <a:prstGeom prst="rect">
                      <a:avLst/>
                    </a:prstGeom>
                    <a:ln>
                      <a:noFill/>
                    </a:ln>
                  </pic:spPr>
                </pic:pic>
              </a:graphicData>
            </a:graphic>
          </wp:inline>
        </w:drawing>
      </w:r>
    </w:p>
    <w:p w:rsidR="00E558DE" w:rsidP="180099B3" w:rsidRDefault="6EDA1E74" w14:paraId="19DD0728" w14:textId="77777777">
      <w:pPr>
        <w:spacing w:after="0" w:line="360" w:lineRule="auto"/>
        <w:jc w:val="center"/>
        <w:rPr>
          <w:rFonts w:ascii="Verdana" w:hAnsi="Verdana"/>
          <w:sz w:val="18"/>
          <w:szCs w:val="18"/>
        </w:rPr>
      </w:pPr>
      <w:r w:rsidRPr="180099B3">
        <w:rPr>
          <w:rFonts w:ascii="Verdana" w:hAnsi="Verdana"/>
          <w:sz w:val="18"/>
          <w:szCs w:val="18"/>
        </w:rPr>
        <w:t>Fuente: Subdirección de Talento Humano - MME</w:t>
      </w:r>
    </w:p>
    <w:p w:rsidR="006A0A13" w:rsidP="006A0A13" w:rsidRDefault="006A0A13" w14:paraId="6907CAA9" w14:textId="77777777">
      <w:pPr>
        <w:spacing w:after="0" w:line="360" w:lineRule="auto"/>
        <w:jc w:val="both"/>
        <w:rPr>
          <w:rFonts w:ascii="Verdana" w:hAnsi="Verdana"/>
          <w:sz w:val="24"/>
          <w:szCs w:val="24"/>
        </w:rPr>
      </w:pPr>
    </w:p>
    <w:p w:rsidRPr="00C140A0" w:rsidR="009C314E" w:rsidP="006A0A13" w:rsidRDefault="009C314E" w14:paraId="4F685416" w14:textId="0F73D039">
      <w:pPr>
        <w:spacing w:after="0" w:line="360" w:lineRule="auto"/>
        <w:jc w:val="both"/>
        <w:rPr>
          <w:rFonts w:ascii="Verdana" w:hAnsi="Verdana"/>
          <w:sz w:val="24"/>
          <w:szCs w:val="24"/>
        </w:rPr>
      </w:pPr>
      <w:r w:rsidRPr="00C140A0">
        <w:rPr>
          <w:rFonts w:ascii="Verdana" w:hAnsi="Verdana"/>
          <w:sz w:val="24"/>
          <w:szCs w:val="24"/>
        </w:rPr>
        <w:t>Durante el periodo 2022–2026, el Ministerio fortaleció la provisión definitiva de empleos mediante el Concurso de Méritos Nación 3, con la asignación de más de 130 cargos de carrera administrativa, consolidando los principios de mérito y transparencia en el servicio público. En noviembre de 2025 finalizó la vigencia de la lista de elegibles del Concurso Nación 3, consolidando la provisión de cargos de carrera administrativa y reduciendo la provisionalidad en la entidad. Actualmente, el Ministerio registra 65 vacantes de carrera administrativa reportadas ante la Comisión Nacional del Servicio Civil.</w:t>
      </w:r>
    </w:p>
    <w:p w:rsidR="00B0114A" w:rsidP="006A0A13" w:rsidRDefault="00B0114A" w14:paraId="706E9F90" w14:textId="77777777">
      <w:pPr>
        <w:spacing w:after="0" w:line="360" w:lineRule="auto"/>
        <w:jc w:val="both"/>
        <w:rPr>
          <w:rFonts w:ascii="Verdana" w:hAnsi="Verdana"/>
          <w:sz w:val="24"/>
          <w:szCs w:val="24"/>
        </w:rPr>
      </w:pPr>
    </w:p>
    <w:p w:rsidRPr="00C140A0" w:rsidR="009C314E" w:rsidP="006A0A13" w:rsidRDefault="009C314E" w14:paraId="5EEC53C4" w14:textId="77777777">
      <w:pPr>
        <w:spacing w:after="0" w:line="360" w:lineRule="auto"/>
        <w:jc w:val="both"/>
        <w:rPr>
          <w:rFonts w:ascii="Verdana" w:hAnsi="Verdana"/>
          <w:sz w:val="24"/>
          <w:szCs w:val="24"/>
        </w:rPr>
      </w:pPr>
      <w:r w:rsidRPr="00C140A0">
        <w:rPr>
          <w:rFonts w:ascii="Verdana" w:hAnsi="Verdana"/>
          <w:sz w:val="24"/>
          <w:szCs w:val="24"/>
        </w:rPr>
        <w:t>Adicionalmente, en 2026 se destinaron $350 millones para iniciar la planeación del próximo concurso de méritos, garantizando la continuidad de una planta profesionalizada, basada en el mérito y el fortalecimiento institucional.</w:t>
      </w:r>
    </w:p>
    <w:p w:rsidR="00B0114A" w:rsidP="006A0A13" w:rsidRDefault="00B0114A" w14:paraId="2B567B2B" w14:textId="77777777">
      <w:pPr>
        <w:spacing w:after="0" w:line="360" w:lineRule="auto"/>
        <w:jc w:val="both"/>
        <w:rPr>
          <w:rFonts w:ascii="Verdana" w:hAnsi="Verdana"/>
          <w:sz w:val="24"/>
          <w:szCs w:val="24"/>
        </w:rPr>
      </w:pPr>
    </w:p>
    <w:p w:rsidRPr="00C140A0" w:rsidR="009C314E" w:rsidP="006A0A13" w:rsidRDefault="009C314E" w14:paraId="2FBFE8DA" w14:textId="77777777">
      <w:pPr>
        <w:spacing w:after="0" w:line="360" w:lineRule="auto"/>
        <w:jc w:val="both"/>
        <w:rPr>
          <w:rFonts w:ascii="Verdana" w:hAnsi="Verdana"/>
          <w:sz w:val="24"/>
          <w:szCs w:val="24"/>
        </w:rPr>
      </w:pPr>
      <w:r w:rsidRPr="00C140A0">
        <w:rPr>
          <w:rFonts w:ascii="Verdana" w:hAnsi="Verdana"/>
          <w:sz w:val="24"/>
          <w:szCs w:val="24"/>
        </w:rPr>
        <w:t xml:space="preserve">En armonía con los lineamientos del Departamento Administrativo de la Función Pública, la Subdirección de Talento Humano, bajo el liderazgo de </w:t>
      </w:r>
      <w:r w:rsidRPr="00C140A0">
        <w:rPr>
          <w:rFonts w:ascii="Verdana" w:hAnsi="Verdana"/>
          <w:sz w:val="24"/>
          <w:szCs w:val="24"/>
        </w:rPr>
        <w:t>la Secretaría General, fortaleció las acciones de formalización del empleo público, promoviendo la equidad, la estabilidad laboral y la optimización del talento humano.</w:t>
      </w:r>
    </w:p>
    <w:p w:rsidR="00B0114A" w:rsidP="006A0A13" w:rsidRDefault="00B0114A" w14:paraId="7054D0EE" w14:textId="77777777">
      <w:pPr>
        <w:spacing w:after="0" w:line="360" w:lineRule="auto"/>
        <w:jc w:val="both"/>
        <w:rPr>
          <w:rFonts w:ascii="Verdana" w:hAnsi="Verdana"/>
          <w:sz w:val="24"/>
          <w:szCs w:val="24"/>
        </w:rPr>
      </w:pPr>
    </w:p>
    <w:p w:rsidRPr="00C140A0" w:rsidR="009C314E" w:rsidP="006A0A13" w:rsidRDefault="009C314E" w14:paraId="00E01D38" w14:textId="77777777">
      <w:pPr>
        <w:spacing w:after="0" w:line="360" w:lineRule="auto"/>
        <w:jc w:val="both"/>
        <w:rPr>
          <w:rFonts w:ascii="Verdana" w:hAnsi="Verdana"/>
          <w:sz w:val="24"/>
          <w:szCs w:val="24"/>
        </w:rPr>
      </w:pPr>
      <w:r w:rsidRPr="00C140A0">
        <w:rPr>
          <w:rFonts w:ascii="Verdana" w:hAnsi="Verdana"/>
          <w:sz w:val="24"/>
          <w:szCs w:val="24"/>
        </w:rPr>
        <w:t>En el marco del fortalecimiento institucional, se avanzó en la estructuración de las plantas de personal del Fondo de Energías No Convencionales y Gestión Eficiente de la Energía (FONENERGÍA) y del Fondo de Fomento Minero, con el propósito de robustecer la gestión misional del Ministerio y apoyar la transición energética y el desarrollo del sector minero-energético. Adicionalmente, mediante el Decreto 0375 de abril de 2026 se reglamentó FONENERGÍA, consolidando su estructura institucional y operativa.</w:t>
      </w:r>
    </w:p>
    <w:p w:rsidR="00B0114A" w:rsidP="006A0A13" w:rsidRDefault="00B0114A" w14:paraId="30CDB068" w14:textId="77777777">
      <w:pPr>
        <w:spacing w:after="0" w:line="360" w:lineRule="auto"/>
        <w:jc w:val="both"/>
        <w:rPr>
          <w:rFonts w:ascii="Verdana" w:hAnsi="Verdana"/>
          <w:sz w:val="24"/>
          <w:szCs w:val="24"/>
        </w:rPr>
      </w:pPr>
    </w:p>
    <w:p w:rsidRPr="00C140A0" w:rsidR="009C314E" w:rsidP="006A0A13" w:rsidRDefault="009C314E" w14:paraId="5DF54F10" w14:textId="21F4640D">
      <w:pPr>
        <w:spacing w:after="0" w:line="360" w:lineRule="auto"/>
        <w:jc w:val="both"/>
        <w:rPr>
          <w:rFonts w:ascii="Verdana" w:hAnsi="Verdana"/>
          <w:sz w:val="24"/>
          <w:szCs w:val="24"/>
        </w:rPr>
      </w:pPr>
      <w:r w:rsidRPr="30CF4445" w:rsidR="72013B22">
        <w:rPr>
          <w:rFonts w:ascii="Verdana" w:hAnsi="Verdana"/>
          <w:sz w:val="24"/>
          <w:szCs w:val="24"/>
        </w:rPr>
        <w:t>En relación con la planta temporal financiada con recursos del Sistema General de Regalías, mediante el Decreto 1611 del 27 de diciembre de 2024 se prorrogó la vigencia de los 16 empleos temporales, por lo que se recomienda gestionar una nueva prórroga de estos empleos, cuya financiación actual se encuentra prevista hasta el 31 de diciembre de 2026,</w:t>
      </w:r>
      <w:r w:rsidRPr="30CF4445" w:rsidR="53A0FB06">
        <w:rPr>
          <w:rFonts w:ascii="Verdana" w:hAnsi="Verdana"/>
          <w:sz w:val="24"/>
          <w:szCs w:val="24"/>
        </w:rPr>
        <w:t xml:space="preserve"> </w:t>
      </w:r>
      <w:r w:rsidRPr="30CF4445" w:rsidR="72013B22">
        <w:rPr>
          <w:rFonts w:ascii="Verdana" w:hAnsi="Verdana"/>
          <w:sz w:val="24"/>
          <w:szCs w:val="24"/>
        </w:rPr>
        <w:t>teniendo en cuenta las necesidades institucionales y la importancia de dichos cargos para el cumplimiento de las funciones asociadas al sistema en mención.</w:t>
      </w:r>
    </w:p>
    <w:p w:rsidR="00B0114A" w:rsidP="006A0A13" w:rsidRDefault="00B0114A" w14:paraId="26E6F085" w14:textId="77777777">
      <w:pPr>
        <w:spacing w:after="0" w:line="360" w:lineRule="auto"/>
        <w:jc w:val="both"/>
        <w:rPr>
          <w:rFonts w:ascii="Verdana" w:hAnsi="Verdana"/>
          <w:sz w:val="24"/>
          <w:szCs w:val="24"/>
        </w:rPr>
      </w:pPr>
    </w:p>
    <w:p w:rsidRPr="00C140A0" w:rsidR="009C314E" w:rsidP="006A0A13" w:rsidRDefault="009C314E" w14:paraId="04A5D611" w14:textId="77777777">
      <w:pPr>
        <w:spacing w:after="0" w:line="360" w:lineRule="auto"/>
        <w:jc w:val="both"/>
        <w:rPr>
          <w:rFonts w:ascii="Verdana" w:hAnsi="Verdana"/>
          <w:sz w:val="24"/>
          <w:szCs w:val="24"/>
        </w:rPr>
      </w:pPr>
      <w:r w:rsidRPr="00C140A0">
        <w:rPr>
          <w:rFonts w:ascii="Verdana" w:hAnsi="Verdana"/>
          <w:sz w:val="24"/>
          <w:szCs w:val="24"/>
        </w:rPr>
        <w:t>De cara a los próximos años, y considerando el dinamismo de las funciones misionales y los procesos de fortalecimiento institucional, será indispensable actualizar nuevamente el Manual Específico de Funciones y Competencias Laborales. Esta revisión permitirá alinear la estructura de la planta con los objetivos estratégicos y las necesidades institucionales emergentes.</w:t>
      </w:r>
    </w:p>
    <w:p w:rsidRPr="00C140A0" w:rsidR="009C314E" w:rsidP="006A0A13" w:rsidRDefault="009C314E" w14:paraId="6912030B" w14:textId="77777777">
      <w:pPr>
        <w:spacing w:after="0" w:line="360" w:lineRule="auto"/>
        <w:jc w:val="both"/>
        <w:rPr>
          <w:rFonts w:ascii="Verdana" w:hAnsi="Verdana"/>
          <w:sz w:val="24"/>
          <w:szCs w:val="24"/>
        </w:rPr>
      </w:pPr>
    </w:p>
    <w:p w:rsidR="00A82055" w:rsidRDefault="00A82055" w14:paraId="730BB807" w14:textId="77777777">
      <w:pPr>
        <w:pStyle w:val="Prrafodelista"/>
        <w:numPr>
          <w:ilvl w:val="1"/>
          <w:numId w:val="42"/>
        </w:numPr>
        <w:spacing w:after="0" w:line="360" w:lineRule="auto"/>
        <w:outlineLvl w:val="1"/>
        <w:rPr>
          <w:rFonts w:ascii="Verdana" w:hAnsi="Verdana"/>
          <w:b/>
          <w:bCs/>
          <w:sz w:val="24"/>
          <w:szCs w:val="24"/>
        </w:rPr>
      </w:pPr>
      <w:bookmarkStart w:name="_Toc233996725" w:id="8"/>
      <w:r w:rsidRPr="00C140A0">
        <w:rPr>
          <w:rFonts w:ascii="Verdana" w:hAnsi="Verdana"/>
          <w:b/>
          <w:bCs/>
          <w:sz w:val="24"/>
          <w:szCs w:val="24"/>
        </w:rPr>
        <w:t>Bienestar y cultura organizacional</w:t>
      </w:r>
      <w:bookmarkEnd w:id="8"/>
    </w:p>
    <w:p w:rsidRPr="00B0114A" w:rsidR="00B0114A" w:rsidP="006A0A13" w:rsidRDefault="00B0114A" w14:paraId="239FC820" w14:textId="77777777">
      <w:pPr>
        <w:spacing w:after="0" w:line="360" w:lineRule="auto"/>
        <w:ind w:left="360"/>
        <w:outlineLvl w:val="1"/>
        <w:rPr>
          <w:rFonts w:ascii="Verdana" w:hAnsi="Verdana"/>
          <w:b/>
          <w:bCs/>
          <w:sz w:val="24"/>
          <w:szCs w:val="24"/>
        </w:rPr>
      </w:pPr>
    </w:p>
    <w:p w:rsidR="009C314E" w:rsidP="006A0A13" w:rsidRDefault="009C314E" w14:paraId="43CD3689" w14:textId="77777777">
      <w:pPr>
        <w:spacing w:after="0" w:line="360" w:lineRule="auto"/>
        <w:jc w:val="both"/>
        <w:rPr>
          <w:rFonts w:ascii="Verdana" w:hAnsi="Verdana"/>
          <w:sz w:val="24"/>
          <w:szCs w:val="24"/>
        </w:rPr>
      </w:pPr>
      <w:r w:rsidRPr="00C140A0">
        <w:rPr>
          <w:rFonts w:ascii="Verdana" w:hAnsi="Verdana"/>
          <w:sz w:val="24"/>
          <w:szCs w:val="24"/>
        </w:rPr>
        <w:t>Durante el periodo en mención, el Ministerio de Minas y Energía fortaleció las estrategias de bienestar integral, promoviendo acciones de integración, formación, innovación y desarrollo humano, en alineación con la gestión estratégica del talento humano y los objetivos institucionales.</w:t>
      </w:r>
    </w:p>
    <w:p w:rsidRPr="001423C8" w:rsidR="001423C8" w:rsidP="00B0114A" w:rsidRDefault="001423C8" w14:paraId="32B2077A" w14:textId="77777777">
      <w:pPr>
        <w:spacing w:after="0" w:line="360" w:lineRule="auto"/>
        <w:jc w:val="both"/>
        <w:rPr>
          <w:rFonts w:ascii="Verdana" w:hAnsi="Verdana"/>
          <w:sz w:val="18"/>
          <w:szCs w:val="18"/>
        </w:rPr>
      </w:pPr>
    </w:p>
    <w:p w:rsidRPr="001423C8" w:rsidR="009C314E" w:rsidP="001423C8" w:rsidRDefault="009C314E" w14:paraId="72D5A7C3" w14:textId="77777777">
      <w:pPr>
        <w:spacing w:after="0" w:line="240" w:lineRule="auto"/>
        <w:jc w:val="center"/>
        <w:rPr>
          <w:rFonts w:ascii="Verdana" w:hAnsi="Verdana"/>
          <w:sz w:val="10"/>
          <w:szCs w:val="10"/>
        </w:rPr>
      </w:pPr>
      <w:r w:rsidRPr="001423C8">
        <w:rPr>
          <w:rFonts w:ascii="Verdana" w:hAnsi="Verdana"/>
          <w:sz w:val="18"/>
          <w:szCs w:val="18"/>
        </w:rPr>
        <w:t>Tabla</w:t>
      </w:r>
      <w:r w:rsidR="00E558DE">
        <w:rPr>
          <w:rFonts w:ascii="Verdana" w:hAnsi="Verdana"/>
          <w:sz w:val="18"/>
          <w:szCs w:val="18"/>
        </w:rPr>
        <w:t xml:space="preserve"> No. 20.</w:t>
      </w:r>
      <w:r w:rsidRPr="001423C8">
        <w:rPr>
          <w:rFonts w:ascii="Verdana" w:hAnsi="Verdana"/>
          <w:sz w:val="18"/>
          <w:szCs w:val="18"/>
        </w:rPr>
        <w:t xml:space="preserve"> Cultura y Bienestar Organizacional</w:t>
      </w:r>
    </w:p>
    <w:tbl>
      <w:tblPr>
        <w:tblStyle w:val="Tablaconcuadrcula"/>
        <w:tblW w:w="0" w:type="auto"/>
        <w:tblLook w:val="04A0" w:firstRow="1" w:lastRow="0" w:firstColumn="1" w:lastColumn="0" w:noHBand="0" w:noVBand="1"/>
      </w:tblPr>
      <w:tblGrid>
        <w:gridCol w:w="2122"/>
        <w:gridCol w:w="2296"/>
        <w:gridCol w:w="2271"/>
        <w:gridCol w:w="2139"/>
      </w:tblGrid>
      <w:tr w:rsidRPr="001423C8" w:rsidR="009C314E" w:rsidTr="30CF4445" w14:paraId="5D0B2F1A" w14:textId="77777777">
        <w:tc>
          <w:tcPr>
            <w:tcW w:w="2122" w:type="dxa"/>
            <w:shd w:val="clear" w:color="auto" w:fill="A6A6A6" w:themeFill="background1" w:themeFillShade="A6"/>
            <w:tcMar/>
            <w:vAlign w:val="center"/>
          </w:tcPr>
          <w:p w:rsidRPr="001423C8" w:rsidR="009C314E" w:rsidP="001423C8" w:rsidRDefault="009C314E" w14:paraId="0991D8E2" w14:textId="77777777">
            <w:pPr>
              <w:jc w:val="center"/>
              <w:rPr>
                <w:rFonts w:ascii="Verdana" w:hAnsi="Verdana"/>
                <w:b/>
                <w:bCs/>
                <w:sz w:val="18"/>
                <w:szCs w:val="18"/>
              </w:rPr>
            </w:pPr>
            <w:r w:rsidRPr="001423C8">
              <w:rPr>
                <w:rFonts w:ascii="Verdana" w:hAnsi="Verdana"/>
                <w:b/>
                <w:bCs/>
                <w:sz w:val="18"/>
                <w:szCs w:val="18"/>
              </w:rPr>
              <w:t>Línea Estratégica</w:t>
            </w:r>
          </w:p>
        </w:tc>
        <w:tc>
          <w:tcPr>
            <w:tcW w:w="2296" w:type="dxa"/>
            <w:shd w:val="clear" w:color="auto" w:fill="A6A6A6" w:themeFill="background1" w:themeFillShade="A6"/>
            <w:tcMar/>
            <w:vAlign w:val="center"/>
          </w:tcPr>
          <w:p w:rsidRPr="001423C8" w:rsidR="009C314E" w:rsidP="001423C8" w:rsidRDefault="009C314E" w14:paraId="3B39FF17" w14:textId="77777777">
            <w:pPr>
              <w:jc w:val="center"/>
              <w:rPr>
                <w:rFonts w:ascii="Verdana" w:hAnsi="Verdana"/>
                <w:b/>
                <w:bCs/>
                <w:sz w:val="18"/>
                <w:szCs w:val="18"/>
              </w:rPr>
            </w:pPr>
            <w:r w:rsidRPr="001423C8">
              <w:rPr>
                <w:rFonts w:ascii="Verdana" w:hAnsi="Verdana"/>
                <w:b/>
                <w:bCs/>
                <w:sz w:val="18"/>
                <w:szCs w:val="18"/>
              </w:rPr>
              <w:t>Gestión</w:t>
            </w:r>
          </w:p>
        </w:tc>
        <w:tc>
          <w:tcPr>
            <w:tcW w:w="2271" w:type="dxa"/>
            <w:shd w:val="clear" w:color="auto" w:fill="A6A6A6" w:themeFill="background1" w:themeFillShade="A6"/>
            <w:tcMar/>
            <w:vAlign w:val="center"/>
          </w:tcPr>
          <w:p w:rsidRPr="001423C8" w:rsidR="009C314E" w:rsidP="001423C8" w:rsidRDefault="009C314E" w14:paraId="3AFBD68B" w14:textId="77777777">
            <w:pPr>
              <w:jc w:val="center"/>
              <w:rPr>
                <w:rFonts w:ascii="Verdana" w:hAnsi="Verdana"/>
                <w:b/>
                <w:bCs/>
                <w:sz w:val="18"/>
                <w:szCs w:val="18"/>
              </w:rPr>
            </w:pPr>
            <w:r w:rsidRPr="001423C8">
              <w:rPr>
                <w:rFonts w:ascii="Verdana" w:hAnsi="Verdana"/>
                <w:b/>
                <w:bCs/>
                <w:sz w:val="18"/>
                <w:szCs w:val="18"/>
              </w:rPr>
              <w:t>Resultado</w:t>
            </w:r>
          </w:p>
        </w:tc>
        <w:tc>
          <w:tcPr>
            <w:tcW w:w="2139" w:type="dxa"/>
            <w:shd w:val="clear" w:color="auto" w:fill="A6A6A6" w:themeFill="background1" w:themeFillShade="A6"/>
            <w:tcMar/>
            <w:vAlign w:val="center"/>
          </w:tcPr>
          <w:p w:rsidRPr="001423C8" w:rsidR="009C314E" w:rsidP="001423C8" w:rsidRDefault="009C314E" w14:paraId="6A626D62" w14:textId="77777777">
            <w:pPr>
              <w:jc w:val="center"/>
              <w:rPr>
                <w:rFonts w:ascii="Verdana" w:hAnsi="Verdana"/>
                <w:b/>
                <w:bCs/>
                <w:sz w:val="18"/>
                <w:szCs w:val="18"/>
              </w:rPr>
            </w:pPr>
            <w:r w:rsidRPr="001423C8">
              <w:rPr>
                <w:rFonts w:ascii="Verdana" w:hAnsi="Verdana"/>
                <w:b/>
                <w:bCs/>
                <w:sz w:val="18"/>
                <w:szCs w:val="18"/>
              </w:rPr>
              <w:t>Impacto Institucional</w:t>
            </w:r>
          </w:p>
        </w:tc>
      </w:tr>
      <w:tr w:rsidRPr="001423C8" w:rsidR="009C314E" w:rsidTr="30CF4445" w14:paraId="1345FECF" w14:textId="77777777">
        <w:tc>
          <w:tcPr>
            <w:tcW w:w="2122" w:type="dxa"/>
            <w:tcMar/>
            <w:vAlign w:val="center"/>
          </w:tcPr>
          <w:p w:rsidRPr="001423C8" w:rsidR="009C314E" w:rsidP="00E558DE" w:rsidRDefault="009C314E" w14:paraId="111AE4DF" w14:textId="77777777">
            <w:pPr>
              <w:jc w:val="both"/>
              <w:rPr>
                <w:rFonts w:ascii="Verdana" w:hAnsi="Verdana"/>
                <w:sz w:val="18"/>
                <w:szCs w:val="18"/>
              </w:rPr>
            </w:pPr>
            <w:r w:rsidRPr="001423C8">
              <w:rPr>
                <w:rFonts w:ascii="Verdana" w:hAnsi="Verdana"/>
                <w:sz w:val="18"/>
                <w:szCs w:val="18"/>
              </w:rPr>
              <w:t>Cultura organizacional y bienestar laboral</w:t>
            </w:r>
          </w:p>
        </w:tc>
        <w:tc>
          <w:tcPr>
            <w:tcW w:w="2296" w:type="dxa"/>
            <w:tcMar/>
            <w:vAlign w:val="center"/>
          </w:tcPr>
          <w:p w:rsidRPr="001423C8" w:rsidR="009C314E" w:rsidP="00E558DE" w:rsidRDefault="009C314E" w14:paraId="4FCAEC1E" w14:textId="77777777">
            <w:pPr>
              <w:jc w:val="both"/>
              <w:rPr>
                <w:rFonts w:ascii="Verdana" w:hAnsi="Verdana"/>
                <w:sz w:val="18"/>
                <w:szCs w:val="18"/>
              </w:rPr>
            </w:pPr>
            <w:r w:rsidRPr="001423C8">
              <w:rPr>
                <w:rFonts w:ascii="Verdana" w:hAnsi="Verdana"/>
                <w:sz w:val="18"/>
                <w:szCs w:val="18"/>
              </w:rPr>
              <w:t>Implementación de estrategias de bienestar, integración institucional y fortalecimiento de la cultura organizacional (actividades de integración, conmemoraciones, bienestar familiar, deporte, cultura y bienestar animal).</w:t>
            </w:r>
          </w:p>
        </w:tc>
        <w:tc>
          <w:tcPr>
            <w:tcW w:w="2271" w:type="dxa"/>
            <w:tcMar/>
            <w:vAlign w:val="center"/>
          </w:tcPr>
          <w:p w:rsidRPr="001423C8" w:rsidR="009C314E" w:rsidP="00E558DE" w:rsidRDefault="009C314E" w14:paraId="36D12213" w14:textId="77777777">
            <w:pPr>
              <w:jc w:val="both"/>
              <w:rPr>
                <w:rFonts w:ascii="Verdana" w:hAnsi="Verdana"/>
                <w:sz w:val="18"/>
                <w:szCs w:val="18"/>
              </w:rPr>
            </w:pPr>
            <w:r w:rsidRPr="001423C8">
              <w:rPr>
                <w:rFonts w:ascii="Verdana" w:hAnsi="Verdana"/>
                <w:sz w:val="18"/>
                <w:szCs w:val="18"/>
              </w:rPr>
              <w:t>Alta participación en actividades de bienestar (superior al 90%) y fortalecimiento de espacios de integración y cohesión interna.</w:t>
            </w:r>
          </w:p>
        </w:tc>
        <w:tc>
          <w:tcPr>
            <w:tcW w:w="2139" w:type="dxa"/>
            <w:tcMar/>
            <w:vAlign w:val="center"/>
          </w:tcPr>
          <w:p w:rsidRPr="001423C8" w:rsidR="009C314E" w:rsidP="00E558DE" w:rsidRDefault="009C314E" w14:paraId="10151151" w14:textId="77777777">
            <w:pPr>
              <w:jc w:val="both"/>
              <w:rPr>
                <w:rFonts w:ascii="Verdana" w:hAnsi="Verdana"/>
                <w:sz w:val="18"/>
                <w:szCs w:val="18"/>
              </w:rPr>
            </w:pPr>
            <w:r w:rsidRPr="001423C8">
              <w:rPr>
                <w:rFonts w:ascii="Verdana" w:hAnsi="Verdana"/>
                <w:sz w:val="18"/>
                <w:szCs w:val="18"/>
              </w:rPr>
              <w:t>Mejora del clima organizacional, fortalecimiento del sentido de pertenencia, la motivación y la calidad de vida laboral.</w:t>
            </w:r>
          </w:p>
        </w:tc>
      </w:tr>
      <w:tr w:rsidRPr="001423C8" w:rsidR="009C314E" w:rsidTr="30CF4445" w14:paraId="2129DA1D" w14:textId="77777777">
        <w:tc>
          <w:tcPr>
            <w:tcW w:w="2122" w:type="dxa"/>
            <w:tcMar/>
            <w:vAlign w:val="center"/>
          </w:tcPr>
          <w:p w:rsidRPr="001423C8" w:rsidR="009C314E" w:rsidP="00E558DE" w:rsidRDefault="009C314E" w14:paraId="7F4D0F61" w14:textId="77777777">
            <w:pPr>
              <w:jc w:val="both"/>
              <w:rPr>
                <w:rFonts w:ascii="Verdana" w:hAnsi="Verdana"/>
                <w:sz w:val="18"/>
                <w:szCs w:val="18"/>
              </w:rPr>
            </w:pPr>
            <w:r w:rsidRPr="001423C8">
              <w:rPr>
                <w:rFonts w:ascii="Verdana" w:hAnsi="Verdana"/>
                <w:sz w:val="18"/>
                <w:szCs w:val="18"/>
              </w:rPr>
              <w:t>Desarrollo de capacidades y formación</w:t>
            </w:r>
          </w:p>
        </w:tc>
        <w:tc>
          <w:tcPr>
            <w:tcW w:w="2296" w:type="dxa"/>
            <w:tcMar/>
            <w:vAlign w:val="center"/>
          </w:tcPr>
          <w:p w:rsidRPr="001423C8" w:rsidR="009C314E" w:rsidP="00E558DE" w:rsidRDefault="009C314E" w14:paraId="4A5407AE" w14:textId="77777777">
            <w:pPr>
              <w:jc w:val="both"/>
              <w:rPr>
                <w:rFonts w:ascii="Verdana" w:hAnsi="Verdana"/>
                <w:sz w:val="18"/>
                <w:szCs w:val="18"/>
              </w:rPr>
            </w:pPr>
            <w:r w:rsidRPr="001423C8">
              <w:rPr>
                <w:rFonts w:ascii="Verdana" w:hAnsi="Verdana"/>
                <w:sz w:val="18"/>
                <w:szCs w:val="18"/>
              </w:rPr>
              <w:t>Ejecución del Plan Institucional de Capacitación (PIC) articulado con el DAFP y la ESAP, incluyendo formación en género, paz, transformación digital, tecnología y actualización normativa.</w:t>
            </w:r>
          </w:p>
        </w:tc>
        <w:tc>
          <w:tcPr>
            <w:tcW w:w="2271" w:type="dxa"/>
            <w:tcMar/>
            <w:vAlign w:val="center"/>
          </w:tcPr>
          <w:p w:rsidRPr="001423C8" w:rsidR="009C314E" w:rsidP="00E558DE" w:rsidRDefault="009C314E" w14:paraId="14B77967" w14:textId="77777777">
            <w:pPr>
              <w:jc w:val="both"/>
              <w:rPr>
                <w:rFonts w:ascii="Verdana" w:hAnsi="Verdana"/>
                <w:sz w:val="18"/>
                <w:szCs w:val="18"/>
              </w:rPr>
            </w:pPr>
            <w:r w:rsidRPr="001423C8">
              <w:rPr>
                <w:rFonts w:ascii="Verdana" w:hAnsi="Verdana"/>
                <w:sz w:val="18"/>
                <w:szCs w:val="18"/>
              </w:rPr>
              <w:t>Fortalecimiento de competencias técnicas y comportamentales de los servidores públicos.</w:t>
            </w:r>
          </w:p>
        </w:tc>
        <w:tc>
          <w:tcPr>
            <w:tcW w:w="2139" w:type="dxa"/>
            <w:tcMar/>
            <w:vAlign w:val="center"/>
          </w:tcPr>
          <w:p w:rsidRPr="001423C8" w:rsidR="009C314E" w:rsidP="00E558DE" w:rsidRDefault="009C314E" w14:paraId="5DB91A11" w14:textId="1FFD02DF">
            <w:pPr>
              <w:jc w:val="both"/>
              <w:rPr>
                <w:rFonts w:ascii="Verdana" w:hAnsi="Verdana"/>
                <w:sz w:val="18"/>
                <w:szCs w:val="18"/>
              </w:rPr>
            </w:pPr>
            <w:r w:rsidRPr="30CF4445" w:rsidR="72013B22">
              <w:rPr>
                <w:rFonts w:ascii="Verdana" w:hAnsi="Verdana"/>
                <w:sz w:val="18"/>
                <w:szCs w:val="18"/>
              </w:rPr>
              <w:t>Mejora del desempeño institucional y fortalecimiento del capital humano para la gestión pública</w:t>
            </w:r>
            <w:r w:rsidRPr="30CF4445" w:rsidR="58E95EBF">
              <w:rPr>
                <w:rFonts w:ascii="Verdana" w:hAnsi="Verdana"/>
                <w:sz w:val="18"/>
                <w:szCs w:val="18"/>
              </w:rPr>
              <w:t>.</w:t>
            </w:r>
          </w:p>
        </w:tc>
      </w:tr>
      <w:tr w:rsidRPr="001423C8" w:rsidR="009C314E" w:rsidTr="30CF4445" w14:paraId="0DA33217" w14:textId="77777777">
        <w:trPr>
          <w:trHeight w:val="1665"/>
        </w:trPr>
        <w:tc>
          <w:tcPr>
            <w:tcW w:w="2122" w:type="dxa"/>
            <w:tcMar/>
            <w:vAlign w:val="center"/>
          </w:tcPr>
          <w:p w:rsidRPr="001423C8" w:rsidR="009C314E" w:rsidP="00E558DE" w:rsidRDefault="009C314E" w14:paraId="5DA15F81" w14:textId="77777777">
            <w:pPr>
              <w:jc w:val="both"/>
              <w:rPr>
                <w:rFonts w:ascii="Verdana" w:hAnsi="Verdana"/>
                <w:sz w:val="18"/>
                <w:szCs w:val="18"/>
              </w:rPr>
            </w:pPr>
            <w:r w:rsidRPr="001423C8">
              <w:rPr>
                <w:rFonts w:ascii="Verdana" w:hAnsi="Verdana"/>
                <w:sz w:val="18"/>
                <w:szCs w:val="18"/>
              </w:rPr>
              <w:t>Formación especializada y cooperación</w:t>
            </w:r>
          </w:p>
        </w:tc>
        <w:tc>
          <w:tcPr>
            <w:tcW w:w="2296" w:type="dxa"/>
            <w:tcMar/>
            <w:vAlign w:val="center"/>
          </w:tcPr>
          <w:p w:rsidRPr="001423C8" w:rsidR="009C314E" w:rsidP="00E558DE" w:rsidRDefault="009C314E" w14:paraId="12D9B0F5" w14:textId="77777777">
            <w:pPr>
              <w:jc w:val="both"/>
              <w:rPr>
                <w:rFonts w:ascii="Verdana" w:hAnsi="Verdana"/>
                <w:sz w:val="18"/>
                <w:szCs w:val="18"/>
              </w:rPr>
            </w:pPr>
            <w:r w:rsidRPr="001423C8">
              <w:rPr>
                <w:rFonts w:ascii="Verdana" w:hAnsi="Verdana"/>
                <w:sz w:val="18"/>
                <w:szCs w:val="18"/>
              </w:rPr>
              <w:t>Implementación de estrategias de formación en bilingüismo mediante alianzas y cooperación institucional.</w:t>
            </w:r>
          </w:p>
        </w:tc>
        <w:tc>
          <w:tcPr>
            <w:tcW w:w="2271" w:type="dxa"/>
            <w:tcMar/>
            <w:vAlign w:val="center"/>
          </w:tcPr>
          <w:p w:rsidRPr="001423C8" w:rsidR="009C314E" w:rsidP="00E558DE" w:rsidRDefault="009C314E" w14:paraId="4466595B" w14:textId="77777777">
            <w:pPr>
              <w:jc w:val="both"/>
              <w:rPr>
                <w:rFonts w:ascii="Verdana" w:hAnsi="Verdana"/>
                <w:sz w:val="18"/>
                <w:szCs w:val="18"/>
              </w:rPr>
            </w:pPr>
            <w:r w:rsidRPr="001423C8">
              <w:rPr>
                <w:rFonts w:ascii="Verdana" w:hAnsi="Verdana"/>
                <w:sz w:val="18"/>
                <w:szCs w:val="18"/>
              </w:rPr>
              <w:t>Participación de más de 85 servidores públicos en procesos de formación presencial y virtual.</w:t>
            </w:r>
          </w:p>
        </w:tc>
        <w:tc>
          <w:tcPr>
            <w:tcW w:w="2139" w:type="dxa"/>
            <w:tcMar/>
            <w:vAlign w:val="center"/>
          </w:tcPr>
          <w:p w:rsidRPr="001423C8" w:rsidR="009C314E" w:rsidP="00E558DE" w:rsidRDefault="009C314E" w14:paraId="257ED44C" w14:textId="77777777">
            <w:pPr>
              <w:jc w:val="both"/>
              <w:rPr>
                <w:rFonts w:ascii="Verdana" w:hAnsi="Verdana"/>
                <w:sz w:val="18"/>
                <w:szCs w:val="18"/>
              </w:rPr>
            </w:pPr>
            <w:r w:rsidRPr="001423C8">
              <w:rPr>
                <w:rFonts w:ascii="Verdana" w:hAnsi="Verdana"/>
                <w:sz w:val="18"/>
                <w:szCs w:val="18"/>
              </w:rPr>
              <w:t>Incremento de capacidades lingüísticas y proyección institucional en entornos globales.</w:t>
            </w:r>
          </w:p>
        </w:tc>
      </w:tr>
      <w:tr w:rsidRPr="001423C8" w:rsidR="009C314E" w:rsidTr="30CF4445" w14:paraId="16D66CA7" w14:textId="77777777">
        <w:trPr>
          <w:trHeight w:val="1545"/>
        </w:trPr>
        <w:tc>
          <w:tcPr>
            <w:tcW w:w="2122" w:type="dxa"/>
            <w:tcMar/>
            <w:vAlign w:val="center"/>
          </w:tcPr>
          <w:p w:rsidRPr="001423C8" w:rsidR="009C314E" w:rsidP="00E558DE" w:rsidRDefault="009C314E" w14:paraId="48C564F6" w14:textId="77777777">
            <w:pPr>
              <w:jc w:val="both"/>
              <w:rPr>
                <w:rFonts w:ascii="Verdana" w:hAnsi="Verdana"/>
                <w:sz w:val="18"/>
                <w:szCs w:val="18"/>
              </w:rPr>
            </w:pPr>
            <w:r w:rsidRPr="001423C8">
              <w:rPr>
                <w:rFonts w:ascii="Verdana" w:hAnsi="Verdana"/>
                <w:sz w:val="18"/>
                <w:szCs w:val="18"/>
              </w:rPr>
              <w:t>Modernización laboral y teletrabajo</w:t>
            </w:r>
          </w:p>
        </w:tc>
        <w:tc>
          <w:tcPr>
            <w:tcW w:w="2296" w:type="dxa"/>
            <w:tcMar/>
            <w:vAlign w:val="center"/>
          </w:tcPr>
          <w:p w:rsidRPr="001423C8" w:rsidR="009C314E" w:rsidP="00E558DE" w:rsidRDefault="009C314E" w14:paraId="57BF0B94" w14:textId="77777777">
            <w:pPr>
              <w:jc w:val="both"/>
              <w:rPr>
                <w:rFonts w:ascii="Verdana" w:hAnsi="Verdana"/>
                <w:sz w:val="18"/>
                <w:szCs w:val="18"/>
              </w:rPr>
            </w:pPr>
            <w:r w:rsidRPr="001423C8">
              <w:rPr>
                <w:rFonts w:ascii="Verdana" w:hAnsi="Verdana"/>
                <w:sz w:val="18"/>
                <w:szCs w:val="18"/>
              </w:rPr>
              <w:t>Implementación de la política de teletrabajo suplementario bajo esquema 3x2 (presencial/remoto).</w:t>
            </w:r>
          </w:p>
        </w:tc>
        <w:tc>
          <w:tcPr>
            <w:tcW w:w="2271" w:type="dxa"/>
            <w:tcMar/>
            <w:vAlign w:val="center"/>
          </w:tcPr>
          <w:p w:rsidRPr="001423C8" w:rsidR="009C314E" w:rsidP="00E558DE" w:rsidRDefault="009C314E" w14:paraId="572C2147" w14:textId="77777777">
            <w:pPr>
              <w:jc w:val="both"/>
              <w:rPr>
                <w:rFonts w:ascii="Verdana" w:hAnsi="Verdana"/>
                <w:sz w:val="18"/>
                <w:szCs w:val="18"/>
              </w:rPr>
            </w:pPr>
            <w:r w:rsidRPr="001423C8">
              <w:rPr>
                <w:rFonts w:ascii="Verdana" w:hAnsi="Verdana"/>
                <w:sz w:val="18"/>
                <w:szCs w:val="18"/>
              </w:rPr>
              <w:t>Vinculación de más de 182 servidores en modalidad de teletrabajo.</w:t>
            </w:r>
          </w:p>
        </w:tc>
        <w:tc>
          <w:tcPr>
            <w:tcW w:w="2139" w:type="dxa"/>
            <w:tcMar/>
            <w:vAlign w:val="center"/>
          </w:tcPr>
          <w:p w:rsidRPr="001423C8" w:rsidR="009C314E" w:rsidP="00E558DE" w:rsidRDefault="009C314E" w14:paraId="53058BF1" w14:textId="77777777">
            <w:pPr>
              <w:jc w:val="both"/>
              <w:rPr>
                <w:rFonts w:ascii="Verdana" w:hAnsi="Verdana"/>
                <w:sz w:val="18"/>
                <w:szCs w:val="18"/>
              </w:rPr>
            </w:pPr>
            <w:r w:rsidRPr="001423C8">
              <w:rPr>
                <w:rFonts w:ascii="Verdana" w:hAnsi="Verdana"/>
                <w:sz w:val="18"/>
                <w:szCs w:val="18"/>
              </w:rPr>
              <w:t>Optimización de la gestión laboral, mayor flexibilidad, eficiencia operativa y equilibrio vida-trabajo.</w:t>
            </w:r>
          </w:p>
        </w:tc>
      </w:tr>
    </w:tbl>
    <w:p w:rsidRPr="001423C8" w:rsidR="009C314E" w:rsidP="001423C8" w:rsidRDefault="48FA6C7B" w14:paraId="3B12FCD0" w14:textId="77777777">
      <w:pPr>
        <w:spacing w:after="0" w:line="240" w:lineRule="auto"/>
        <w:jc w:val="center"/>
        <w:rPr>
          <w:rFonts w:ascii="Verdana" w:hAnsi="Verdana"/>
          <w:sz w:val="18"/>
          <w:szCs w:val="18"/>
        </w:rPr>
      </w:pPr>
      <w:r w:rsidRPr="180099B3">
        <w:rPr>
          <w:rFonts w:ascii="Verdana" w:hAnsi="Verdana"/>
          <w:sz w:val="18"/>
          <w:szCs w:val="18"/>
        </w:rPr>
        <w:t xml:space="preserve">Fuente: Subdirección de Talento Humano – </w:t>
      </w:r>
      <w:r w:rsidRPr="180099B3" w:rsidR="116C30E8">
        <w:rPr>
          <w:rFonts w:ascii="Verdana" w:hAnsi="Verdana"/>
          <w:sz w:val="18"/>
          <w:szCs w:val="18"/>
        </w:rPr>
        <w:t>MME</w:t>
      </w:r>
    </w:p>
    <w:p w:rsidRPr="00C140A0" w:rsidR="009C314E" w:rsidP="006A0A13" w:rsidRDefault="009C314E" w14:paraId="62798F9A" w14:textId="77777777">
      <w:pPr>
        <w:spacing w:after="0" w:line="360" w:lineRule="auto"/>
        <w:rPr>
          <w:rFonts w:ascii="Verdana" w:hAnsi="Verdana"/>
          <w:sz w:val="18"/>
          <w:szCs w:val="18"/>
        </w:rPr>
      </w:pPr>
    </w:p>
    <w:p w:rsidRPr="00C140A0" w:rsidR="009C314E" w:rsidP="006A0A13" w:rsidRDefault="009C314E" w14:paraId="6C86F131" w14:textId="77777777">
      <w:pPr>
        <w:spacing w:after="0" w:line="360" w:lineRule="auto"/>
        <w:jc w:val="both"/>
        <w:rPr>
          <w:rFonts w:ascii="Verdana" w:hAnsi="Verdana"/>
          <w:sz w:val="24"/>
          <w:szCs w:val="24"/>
        </w:rPr>
      </w:pPr>
      <w:r w:rsidRPr="00C140A0">
        <w:rPr>
          <w:rFonts w:ascii="Verdana" w:hAnsi="Verdana"/>
          <w:sz w:val="24"/>
          <w:szCs w:val="24"/>
        </w:rPr>
        <w:t xml:space="preserve">A partir de 2025, en el marco de la reforma laboral, el Ministerio fortaleció e implementó modalidades de teletrabajo orientadas a garantizar la continuidad del servicio y la flexibilidad laboral, incluyendo el teletrabajo </w:t>
      </w:r>
      <w:r w:rsidRPr="00C140A0">
        <w:rPr>
          <w:rFonts w:ascii="Verdana" w:hAnsi="Verdana"/>
          <w:sz w:val="24"/>
          <w:szCs w:val="24"/>
        </w:rPr>
        <w:t>emergente ante situaciones de orden público y el teletrabajo autónomo en casos de limitaciones individuales de movilidad.</w:t>
      </w:r>
    </w:p>
    <w:p w:rsidRPr="00C140A0" w:rsidR="009C314E" w:rsidP="006A0A13" w:rsidRDefault="009C314E" w14:paraId="0FDFD45F" w14:textId="77777777">
      <w:pPr>
        <w:spacing w:after="0" w:line="360" w:lineRule="auto"/>
        <w:rPr>
          <w:rFonts w:ascii="Verdana" w:hAnsi="Verdana"/>
          <w:sz w:val="18"/>
          <w:szCs w:val="18"/>
        </w:rPr>
      </w:pPr>
    </w:p>
    <w:p w:rsidRPr="001423C8" w:rsidR="009C314E" w:rsidP="001423C8" w:rsidRDefault="009C314E" w14:paraId="18E305D3" w14:textId="77777777">
      <w:pPr>
        <w:spacing w:after="0" w:line="240" w:lineRule="auto"/>
        <w:jc w:val="center"/>
        <w:rPr>
          <w:rFonts w:ascii="Verdana" w:hAnsi="Verdana"/>
          <w:sz w:val="18"/>
          <w:szCs w:val="18"/>
        </w:rPr>
      </w:pPr>
      <w:r w:rsidRPr="001423C8">
        <w:rPr>
          <w:rFonts w:ascii="Verdana" w:hAnsi="Verdana"/>
          <w:sz w:val="18"/>
          <w:szCs w:val="18"/>
        </w:rPr>
        <w:t>Tabla</w:t>
      </w:r>
      <w:r w:rsidR="00E558DE">
        <w:rPr>
          <w:rFonts w:ascii="Verdana" w:hAnsi="Verdana"/>
          <w:sz w:val="18"/>
          <w:szCs w:val="18"/>
        </w:rPr>
        <w:t xml:space="preserve"> No. 21.</w:t>
      </w:r>
      <w:r w:rsidRPr="001423C8">
        <w:rPr>
          <w:rFonts w:ascii="Verdana" w:hAnsi="Verdana"/>
          <w:sz w:val="18"/>
          <w:szCs w:val="18"/>
        </w:rPr>
        <w:t xml:space="preserve"> Fortalecimiento del teletrabajo</w:t>
      </w:r>
    </w:p>
    <w:p w:rsidRPr="001423C8" w:rsidR="009C314E" w:rsidP="001423C8" w:rsidRDefault="009C314E" w14:paraId="586323CD" w14:textId="77777777">
      <w:pPr>
        <w:spacing w:after="0" w:line="240" w:lineRule="auto"/>
        <w:rPr>
          <w:rFonts w:ascii="Verdana" w:hAnsi="Verdana"/>
          <w:sz w:val="10"/>
          <w:szCs w:val="10"/>
        </w:rPr>
      </w:pPr>
    </w:p>
    <w:tbl>
      <w:tblPr>
        <w:tblStyle w:val="Tablaconcuadrcula"/>
        <w:tblW w:w="0" w:type="auto"/>
        <w:tblLook w:val="04A0" w:firstRow="1" w:lastRow="0" w:firstColumn="1" w:lastColumn="0" w:noHBand="0" w:noVBand="1"/>
      </w:tblPr>
      <w:tblGrid>
        <w:gridCol w:w="2207"/>
        <w:gridCol w:w="2207"/>
        <w:gridCol w:w="2207"/>
        <w:gridCol w:w="2207"/>
      </w:tblGrid>
      <w:tr w:rsidRPr="001423C8" w:rsidR="009C314E" w:rsidTr="30CF4445" w14:paraId="2882E47F" w14:textId="77777777">
        <w:tc>
          <w:tcPr>
            <w:tcW w:w="2207" w:type="dxa"/>
            <w:tcMar/>
            <w:vAlign w:val="center"/>
          </w:tcPr>
          <w:p w:rsidRPr="001423C8" w:rsidR="009C314E" w:rsidP="001423C8" w:rsidRDefault="009C314E" w14:paraId="6E61597E" w14:textId="77777777">
            <w:pPr>
              <w:jc w:val="center"/>
              <w:rPr>
                <w:rFonts w:ascii="Verdana" w:hAnsi="Verdana"/>
                <w:b/>
                <w:bCs/>
                <w:sz w:val="18"/>
                <w:szCs w:val="18"/>
              </w:rPr>
            </w:pPr>
            <w:r w:rsidRPr="001423C8">
              <w:rPr>
                <w:rFonts w:ascii="Verdana" w:hAnsi="Verdana"/>
                <w:b/>
                <w:bCs/>
                <w:sz w:val="18"/>
                <w:szCs w:val="18"/>
              </w:rPr>
              <w:t>Línea Estratégica</w:t>
            </w:r>
          </w:p>
        </w:tc>
        <w:tc>
          <w:tcPr>
            <w:tcW w:w="2207" w:type="dxa"/>
            <w:tcMar/>
            <w:vAlign w:val="center"/>
          </w:tcPr>
          <w:p w:rsidRPr="001423C8" w:rsidR="009C314E" w:rsidP="001423C8" w:rsidRDefault="009C314E" w14:paraId="27B337CD" w14:textId="77777777">
            <w:pPr>
              <w:jc w:val="center"/>
              <w:rPr>
                <w:rFonts w:ascii="Verdana" w:hAnsi="Verdana"/>
                <w:b/>
                <w:bCs/>
                <w:sz w:val="18"/>
                <w:szCs w:val="18"/>
              </w:rPr>
            </w:pPr>
            <w:r w:rsidRPr="001423C8">
              <w:rPr>
                <w:rFonts w:ascii="Verdana" w:hAnsi="Verdana"/>
                <w:b/>
                <w:bCs/>
                <w:sz w:val="18"/>
                <w:szCs w:val="18"/>
              </w:rPr>
              <w:t xml:space="preserve">Gestión </w:t>
            </w:r>
          </w:p>
        </w:tc>
        <w:tc>
          <w:tcPr>
            <w:tcW w:w="2207" w:type="dxa"/>
            <w:tcMar/>
            <w:vAlign w:val="center"/>
          </w:tcPr>
          <w:p w:rsidRPr="001423C8" w:rsidR="009C314E" w:rsidP="001423C8" w:rsidRDefault="009C314E" w14:paraId="21708539" w14:textId="77777777">
            <w:pPr>
              <w:jc w:val="center"/>
              <w:rPr>
                <w:rFonts w:ascii="Verdana" w:hAnsi="Verdana"/>
                <w:b/>
                <w:bCs/>
                <w:sz w:val="18"/>
                <w:szCs w:val="18"/>
              </w:rPr>
            </w:pPr>
            <w:r w:rsidRPr="001423C8">
              <w:rPr>
                <w:rFonts w:ascii="Verdana" w:hAnsi="Verdana"/>
                <w:b/>
                <w:bCs/>
                <w:sz w:val="18"/>
                <w:szCs w:val="18"/>
              </w:rPr>
              <w:t>Resultados</w:t>
            </w:r>
          </w:p>
        </w:tc>
        <w:tc>
          <w:tcPr>
            <w:tcW w:w="2207" w:type="dxa"/>
            <w:tcMar/>
            <w:vAlign w:val="center"/>
          </w:tcPr>
          <w:p w:rsidRPr="001423C8" w:rsidR="009C314E" w:rsidP="001423C8" w:rsidRDefault="009C314E" w14:paraId="74B395B3" w14:textId="77777777">
            <w:pPr>
              <w:jc w:val="center"/>
              <w:rPr>
                <w:rFonts w:ascii="Verdana" w:hAnsi="Verdana"/>
                <w:b/>
                <w:bCs/>
                <w:sz w:val="18"/>
                <w:szCs w:val="18"/>
              </w:rPr>
            </w:pPr>
            <w:r w:rsidRPr="001423C8">
              <w:rPr>
                <w:rFonts w:ascii="Verdana" w:hAnsi="Verdana"/>
                <w:b/>
                <w:bCs/>
                <w:sz w:val="18"/>
                <w:szCs w:val="18"/>
              </w:rPr>
              <w:t>Impacto Institucional</w:t>
            </w:r>
          </w:p>
        </w:tc>
      </w:tr>
      <w:tr w:rsidRPr="001423C8" w:rsidR="009C314E" w:rsidTr="30CF4445" w14:paraId="27CB58A5" w14:textId="77777777">
        <w:tc>
          <w:tcPr>
            <w:tcW w:w="2207" w:type="dxa"/>
            <w:tcMar/>
            <w:vAlign w:val="center"/>
          </w:tcPr>
          <w:p w:rsidRPr="001423C8" w:rsidR="009C314E" w:rsidP="00E558DE" w:rsidRDefault="009C314E" w14:paraId="4084A857" w14:textId="77777777">
            <w:pPr>
              <w:jc w:val="both"/>
              <w:rPr>
                <w:rFonts w:ascii="Verdana" w:hAnsi="Verdana"/>
                <w:b/>
                <w:bCs/>
                <w:sz w:val="18"/>
                <w:szCs w:val="18"/>
              </w:rPr>
            </w:pPr>
            <w:r w:rsidRPr="001423C8">
              <w:rPr>
                <w:rFonts w:ascii="Verdana" w:hAnsi="Verdana"/>
                <w:sz w:val="18"/>
                <w:szCs w:val="18"/>
              </w:rPr>
              <w:t>Modalidades flexibles de trabajo (teletrabajo)</w:t>
            </w:r>
          </w:p>
        </w:tc>
        <w:tc>
          <w:tcPr>
            <w:tcW w:w="2207" w:type="dxa"/>
            <w:tcMar/>
            <w:vAlign w:val="center"/>
          </w:tcPr>
          <w:p w:rsidRPr="001423C8" w:rsidR="009C314E" w:rsidP="00E558DE" w:rsidRDefault="009C314E" w14:paraId="3C3AE108" w14:textId="77777777">
            <w:pPr>
              <w:jc w:val="both"/>
              <w:rPr>
                <w:rFonts w:ascii="Verdana" w:hAnsi="Verdana"/>
                <w:b/>
                <w:bCs/>
                <w:sz w:val="18"/>
                <w:szCs w:val="18"/>
              </w:rPr>
            </w:pPr>
            <w:r w:rsidRPr="001423C8">
              <w:rPr>
                <w:rFonts w:ascii="Verdana" w:hAnsi="Verdana"/>
                <w:sz w:val="18"/>
                <w:szCs w:val="18"/>
              </w:rPr>
              <w:t>Implementación de teletrabajo emergente (por alteraciones de orden público) y teletrabajo autónomo (por situaciones individuales de movilidad), en el marco de la reforma laboral.</w:t>
            </w:r>
          </w:p>
        </w:tc>
        <w:tc>
          <w:tcPr>
            <w:tcW w:w="2207" w:type="dxa"/>
            <w:tcMar/>
            <w:vAlign w:val="center"/>
          </w:tcPr>
          <w:p w:rsidRPr="001423C8" w:rsidR="009C314E" w:rsidP="00E558DE" w:rsidRDefault="009C314E" w14:paraId="39D7B810" w14:textId="77777777">
            <w:pPr>
              <w:jc w:val="both"/>
              <w:rPr>
                <w:rFonts w:ascii="Verdana" w:hAnsi="Verdana"/>
                <w:b/>
                <w:bCs/>
                <w:sz w:val="18"/>
                <w:szCs w:val="18"/>
              </w:rPr>
            </w:pPr>
            <w:r w:rsidRPr="001423C8">
              <w:rPr>
                <w:rFonts w:ascii="Verdana" w:hAnsi="Verdana"/>
                <w:sz w:val="18"/>
                <w:szCs w:val="18"/>
              </w:rPr>
              <w:t>Garantía de continuidad operativa bajo condiciones excepcionales y ampliación de esquemas de trabajo flexible.</w:t>
            </w:r>
          </w:p>
        </w:tc>
        <w:tc>
          <w:tcPr>
            <w:tcW w:w="2207" w:type="dxa"/>
            <w:tcMar/>
            <w:vAlign w:val="center"/>
          </w:tcPr>
          <w:p w:rsidRPr="001423C8" w:rsidR="009C314E" w:rsidP="00E558DE" w:rsidRDefault="009C314E" w14:paraId="23BD1495" w14:textId="5B9C5007">
            <w:pPr>
              <w:jc w:val="both"/>
              <w:rPr>
                <w:rFonts w:ascii="Verdana" w:hAnsi="Verdana"/>
                <w:b w:val="1"/>
                <w:bCs w:val="1"/>
                <w:sz w:val="18"/>
                <w:szCs w:val="18"/>
              </w:rPr>
            </w:pPr>
            <w:r w:rsidRPr="30CF4445" w:rsidR="72013B22">
              <w:rPr>
                <w:rFonts w:ascii="Verdana" w:hAnsi="Verdana"/>
                <w:sz w:val="18"/>
                <w:szCs w:val="18"/>
              </w:rPr>
              <w:t>Fortalecimiento de la capacidad de respuesta institucional, adaptación organizacional y protección del bienestar laboral</w:t>
            </w:r>
            <w:r w:rsidRPr="30CF4445" w:rsidR="6D7C12C6">
              <w:rPr>
                <w:rFonts w:ascii="Verdana" w:hAnsi="Verdana"/>
                <w:sz w:val="18"/>
                <w:szCs w:val="18"/>
              </w:rPr>
              <w:t>.</w:t>
            </w:r>
          </w:p>
        </w:tc>
      </w:tr>
      <w:tr w:rsidRPr="001423C8" w:rsidR="009C314E" w:rsidTr="30CF4445" w14:paraId="73F24138" w14:textId="77777777">
        <w:tc>
          <w:tcPr>
            <w:tcW w:w="2207" w:type="dxa"/>
            <w:tcMar/>
            <w:vAlign w:val="center"/>
          </w:tcPr>
          <w:p w:rsidRPr="001423C8" w:rsidR="009C314E" w:rsidP="00E558DE" w:rsidRDefault="009C314E" w14:paraId="3F14747A" w14:textId="77777777">
            <w:pPr>
              <w:jc w:val="both"/>
              <w:rPr>
                <w:rFonts w:ascii="Verdana" w:hAnsi="Verdana"/>
                <w:sz w:val="18"/>
                <w:szCs w:val="18"/>
              </w:rPr>
            </w:pPr>
            <w:r w:rsidRPr="001423C8">
              <w:rPr>
                <w:rFonts w:ascii="Verdana" w:hAnsi="Verdana"/>
                <w:sz w:val="18"/>
                <w:szCs w:val="18"/>
              </w:rPr>
              <w:t>Actualización de la política de teletrabajo</w:t>
            </w:r>
          </w:p>
        </w:tc>
        <w:tc>
          <w:tcPr>
            <w:tcW w:w="2207" w:type="dxa"/>
            <w:tcMar/>
            <w:vAlign w:val="center"/>
          </w:tcPr>
          <w:p w:rsidRPr="001423C8" w:rsidR="009C314E" w:rsidP="00E558DE" w:rsidRDefault="009C314E" w14:paraId="0EC5518D" w14:textId="77777777">
            <w:pPr>
              <w:jc w:val="both"/>
              <w:rPr>
                <w:rFonts w:ascii="Verdana" w:hAnsi="Verdana"/>
                <w:sz w:val="18"/>
                <w:szCs w:val="18"/>
              </w:rPr>
            </w:pPr>
            <w:r w:rsidRPr="001423C8">
              <w:rPr>
                <w:rFonts w:ascii="Verdana" w:hAnsi="Verdana"/>
                <w:sz w:val="18"/>
                <w:szCs w:val="18"/>
              </w:rPr>
              <w:t>Adelanto del proceso de actualización de la política institucional de teletrabajo, alineada con cambios normativos y el acuerdo sindical vigente.</w:t>
            </w:r>
          </w:p>
        </w:tc>
        <w:tc>
          <w:tcPr>
            <w:tcW w:w="2207" w:type="dxa"/>
            <w:tcMar/>
            <w:vAlign w:val="center"/>
          </w:tcPr>
          <w:p w:rsidRPr="001423C8" w:rsidR="009C314E" w:rsidP="00E558DE" w:rsidRDefault="009C314E" w14:paraId="42D650E9" w14:textId="77777777">
            <w:pPr>
              <w:jc w:val="both"/>
              <w:rPr>
                <w:rFonts w:ascii="Verdana" w:hAnsi="Verdana"/>
                <w:sz w:val="18"/>
                <w:szCs w:val="18"/>
              </w:rPr>
            </w:pPr>
            <w:r w:rsidRPr="001423C8">
              <w:rPr>
                <w:rFonts w:ascii="Verdana" w:hAnsi="Verdana"/>
                <w:sz w:val="18"/>
                <w:szCs w:val="18"/>
              </w:rPr>
              <w:t>Proceso de ajuste normativo y operativo en curso.</w:t>
            </w:r>
          </w:p>
        </w:tc>
        <w:tc>
          <w:tcPr>
            <w:tcW w:w="2207" w:type="dxa"/>
            <w:tcMar/>
            <w:vAlign w:val="center"/>
          </w:tcPr>
          <w:p w:rsidRPr="001423C8" w:rsidR="009C314E" w:rsidP="00E558DE" w:rsidRDefault="009C314E" w14:paraId="32EAC772" w14:textId="77777777">
            <w:pPr>
              <w:jc w:val="both"/>
              <w:rPr>
                <w:rFonts w:ascii="Verdana" w:hAnsi="Verdana"/>
                <w:sz w:val="18"/>
                <w:szCs w:val="18"/>
              </w:rPr>
            </w:pPr>
            <w:r w:rsidRPr="001423C8">
              <w:rPr>
                <w:rFonts w:ascii="Verdana" w:hAnsi="Verdana"/>
                <w:sz w:val="18"/>
                <w:szCs w:val="18"/>
              </w:rPr>
              <w:t>Modernización de la gestión del talento humano y alineación con estándares normativos y acuerdos laborales.</w:t>
            </w:r>
          </w:p>
        </w:tc>
      </w:tr>
      <w:tr w:rsidRPr="001423C8" w:rsidR="009C314E" w:rsidTr="30CF4445" w14:paraId="0109FD6D" w14:textId="77777777">
        <w:tc>
          <w:tcPr>
            <w:tcW w:w="2207" w:type="dxa"/>
            <w:tcMar/>
            <w:vAlign w:val="center"/>
          </w:tcPr>
          <w:p w:rsidRPr="001423C8" w:rsidR="009C314E" w:rsidP="00E558DE" w:rsidRDefault="009C314E" w14:paraId="2FBCF542" w14:textId="77777777">
            <w:pPr>
              <w:jc w:val="both"/>
              <w:rPr>
                <w:rFonts w:ascii="Verdana" w:hAnsi="Verdana"/>
                <w:sz w:val="18"/>
                <w:szCs w:val="18"/>
              </w:rPr>
            </w:pPr>
            <w:r w:rsidRPr="001423C8">
              <w:rPr>
                <w:rFonts w:ascii="Verdana" w:hAnsi="Verdana"/>
                <w:sz w:val="18"/>
                <w:szCs w:val="18"/>
              </w:rPr>
              <w:t>Cultura organizacional y bienestar</w:t>
            </w:r>
          </w:p>
        </w:tc>
        <w:tc>
          <w:tcPr>
            <w:tcW w:w="2207" w:type="dxa"/>
            <w:tcMar/>
            <w:vAlign w:val="center"/>
          </w:tcPr>
          <w:p w:rsidRPr="001423C8" w:rsidR="009C314E" w:rsidP="00E558DE" w:rsidRDefault="009C314E" w14:paraId="7F19BED0" w14:textId="77777777">
            <w:pPr>
              <w:jc w:val="both"/>
              <w:rPr>
                <w:rFonts w:ascii="Verdana" w:hAnsi="Verdana"/>
                <w:sz w:val="18"/>
                <w:szCs w:val="18"/>
              </w:rPr>
            </w:pPr>
            <w:r w:rsidRPr="001423C8">
              <w:rPr>
                <w:rFonts w:ascii="Verdana" w:hAnsi="Verdana"/>
                <w:sz w:val="18"/>
                <w:szCs w:val="18"/>
              </w:rPr>
              <w:t>Fortalecimiento de acciones de participación, bienestar integral, diálogo institucional y clima laboral.</w:t>
            </w:r>
          </w:p>
        </w:tc>
        <w:tc>
          <w:tcPr>
            <w:tcW w:w="2207" w:type="dxa"/>
            <w:tcMar/>
            <w:vAlign w:val="center"/>
          </w:tcPr>
          <w:p w:rsidRPr="001423C8" w:rsidR="009C314E" w:rsidP="00E558DE" w:rsidRDefault="009C314E" w14:paraId="19BA299A" w14:textId="77777777">
            <w:pPr>
              <w:jc w:val="both"/>
              <w:rPr>
                <w:rFonts w:ascii="Verdana" w:hAnsi="Verdana"/>
                <w:sz w:val="18"/>
                <w:szCs w:val="18"/>
              </w:rPr>
            </w:pPr>
            <w:r w:rsidRPr="001423C8">
              <w:rPr>
                <w:rFonts w:ascii="Verdana" w:hAnsi="Verdana"/>
                <w:sz w:val="18"/>
                <w:szCs w:val="18"/>
              </w:rPr>
              <w:t>Consolidación de espacios de interacción, participación y fortalecimiento del clima organizacional.</w:t>
            </w:r>
          </w:p>
        </w:tc>
        <w:tc>
          <w:tcPr>
            <w:tcW w:w="2207" w:type="dxa"/>
            <w:tcMar/>
            <w:vAlign w:val="center"/>
          </w:tcPr>
          <w:p w:rsidRPr="001423C8" w:rsidR="009C314E" w:rsidP="00E558DE" w:rsidRDefault="009C314E" w14:paraId="15DAAC20" w14:textId="77777777">
            <w:pPr>
              <w:jc w:val="both"/>
              <w:rPr>
                <w:rFonts w:ascii="Verdana" w:hAnsi="Verdana"/>
                <w:sz w:val="18"/>
                <w:szCs w:val="18"/>
              </w:rPr>
            </w:pPr>
            <w:r w:rsidRPr="001423C8">
              <w:rPr>
                <w:rFonts w:ascii="Verdana" w:hAnsi="Verdana"/>
                <w:sz w:val="18"/>
                <w:szCs w:val="18"/>
              </w:rPr>
              <w:t>Mejora del ambiente laboral, incremento del sentido de pertenencia y fortalecimiento de la cohesión institucional.</w:t>
            </w:r>
          </w:p>
        </w:tc>
      </w:tr>
      <w:tr w:rsidRPr="001423C8" w:rsidR="009C314E" w:rsidTr="30CF4445" w14:paraId="086A5157" w14:textId="77777777">
        <w:tc>
          <w:tcPr>
            <w:tcW w:w="2207" w:type="dxa"/>
            <w:tcMar/>
            <w:vAlign w:val="center"/>
          </w:tcPr>
          <w:p w:rsidRPr="001423C8" w:rsidR="009C314E" w:rsidP="00E558DE" w:rsidRDefault="009C314E" w14:paraId="774C021B" w14:textId="77777777">
            <w:pPr>
              <w:jc w:val="both"/>
              <w:rPr>
                <w:rFonts w:ascii="Verdana" w:hAnsi="Verdana"/>
                <w:sz w:val="18"/>
                <w:szCs w:val="18"/>
              </w:rPr>
            </w:pPr>
            <w:r w:rsidRPr="001423C8">
              <w:rPr>
                <w:rFonts w:ascii="Verdana" w:hAnsi="Verdana"/>
                <w:sz w:val="18"/>
                <w:szCs w:val="18"/>
              </w:rPr>
              <w:t>Gestión estratégica del talento humano (proyección institucional)</w:t>
            </w:r>
          </w:p>
        </w:tc>
        <w:tc>
          <w:tcPr>
            <w:tcW w:w="2207" w:type="dxa"/>
            <w:tcMar/>
            <w:vAlign w:val="center"/>
          </w:tcPr>
          <w:p w:rsidRPr="001423C8" w:rsidR="009C314E" w:rsidP="00E558DE" w:rsidRDefault="009C314E" w14:paraId="39F9B8E6" w14:textId="77777777">
            <w:pPr>
              <w:jc w:val="both"/>
              <w:rPr>
                <w:rFonts w:ascii="Verdana" w:hAnsi="Verdana"/>
                <w:sz w:val="18"/>
                <w:szCs w:val="18"/>
              </w:rPr>
            </w:pPr>
            <w:r w:rsidRPr="001423C8">
              <w:rPr>
                <w:rFonts w:ascii="Verdana" w:hAnsi="Verdana"/>
                <w:sz w:val="18"/>
                <w:szCs w:val="18"/>
              </w:rPr>
              <w:t>Definición de prioridades para empalme y transición gubernamental: bienestar, capacitación, teletrabajo y desarrollo organizacional.</w:t>
            </w:r>
          </w:p>
        </w:tc>
        <w:tc>
          <w:tcPr>
            <w:tcW w:w="2207" w:type="dxa"/>
            <w:tcMar/>
            <w:vAlign w:val="center"/>
          </w:tcPr>
          <w:p w:rsidRPr="001423C8" w:rsidR="009C314E" w:rsidP="00E558DE" w:rsidRDefault="009C314E" w14:paraId="3C3734EF" w14:textId="77777777">
            <w:pPr>
              <w:jc w:val="both"/>
              <w:rPr>
                <w:rFonts w:ascii="Verdana" w:hAnsi="Verdana"/>
                <w:sz w:val="18"/>
                <w:szCs w:val="18"/>
              </w:rPr>
            </w:pPr>
            <w:r w:rsidRPr="001423C8">
              <w:rPr>
                <w:rFonts w:ascii="Verdana" w:hAnsi="Verdana"/>
                <w:sz w:val="18"/>
                <w:szCs w:val="18"/>
              </w:rPr>
              <w:t>Identificación de líneas estratégicas de continuidad institucional.</w:t>
            </w:r>
          </w:p>
        </w:tc>
        <w:tc>
          <w:tcPr>
            <w:tcW w:w="2207" w:type="dxa"/>
            <w:tcMar/>
            <w:vAlign w:val="center"/>
          </w:tcPr>
          <w:p w:rsidRPr="001423C8" w:rsidR="009C314E" w:rsidP="00E558DE" w:rsidRDefault="009C314E" w14:paraId="2CF68573" w14:textId="77777777">
            <w:pPr>
              <w:jc w:val="both"/>
              <w:rPr>
                <w:rFonts w:ascii="Verdana" w:hAnsi="Verdana"/>
                <w:sz w:val="18"/>
                <w:szCs w:val="18"/>
              </w:rPr>
            </w:pPr>
            <w:r w:rsidRPr="001423C8">
              <w:rPr>
                <w:rFonts w:ascii="Verdana" w:hAnsi="Verdana"/>
                <w:sz w:val="18"/>
                <w:szCs w:val="18"/>
              </w:rPr>
              <w:t>Sostenibilidad de la gestión del talento humano y fortalecimiento de ambientes laborales saludables y orientados al desarrollo integral.</w:t>
            </w:r>
          </w:p>
        </w:tc>
      </w:tr>
    </w:tbl>
    <w:p w:rsidR="00E558DE" w:rsidP="180099B3" w:rsidRDefault="48FA6C7B" w14:paraId="71BF31CC" w14:textId="77777777">
      <w:pPr>
        <w:spacing w:after="0" w:line="240" w:lineRule="auto"/>
        <w:jc w:val="center"/>
        <w:rPr>
          <w:rFonts w:ascii="Verdana" w:hAnsi="Verdana"/>
          <w:sz w:val="18"/>
          <w:szCs w:val="18"/>
        </w:rPr>
      </w:pPr>
      <w:r w:rsidRPr="180099B3">
        <w:rPr>
          <w:rFonts w:ascii="Verdana" w:hAnsi="Verdana"/>
          <w:sz w:val="18"/>
          <w:szCs w:val="18"/>
        </w:rPr>
        <w:t xml:space="preserve">Fuente: Subdirección de Talento Humano – </w:t>
      </w:r>
      <w:r w:rsidRPr="180099B3" w:rsidR="65DE5238">
        <w:rPr>
          <w:rFonts w:ascii="Verdana" w:hAnsi="Verdana"/>
          <w:sz w:val="18"/>
          <w:szCs w:val="18"/>
        </w:rPr>
        <w:t>MME</w:t>
      </w:r>
    </w:p>
    <w:p w:rsidRPr="001423C8" w:rsidR="00E558DE" w:rsidP="006A0A13" w:rsidRDefault="00E558DE" w14:paraId="4EE64BFB" w14:textId="77777777">
      <w:pPr>
        <w:spacing w:after="0" w:line="360" w:lineRule="auto"/>
        <w:jc w:val="center"/>
        <w:rPr>
          <w:rFonts w:ascii="Verdana" w:hAnsi="Verdana"/>
          <w:sz w:val="18"/>
          <w:szCs w:val="18"/>
        </w:rPr>
      </w:pPr>
    </w:p>
    <w:p w:rsidRPr="00C140A0" w:rsidR="00A82055" w:rsidRDefault="00A82055" w14:paraId="73FDB32C" w14:textId="77777777">
      <w:pPr>
        <w:pStyle w:val="Prrafodelista"/>
        <w:numPr>
          <w:ilvl w:val="1"/>
          <w:numId w:val="42"/>
        </w:numPr>
        <w:spacing w:after="0" w:line="360" w:lineRule="auto"/>
        <w:outlineLvl w:val="1"/>
        <w:rPr>
          <w:rFonts w:ascii="Verdana" w:hAnsi="Verdana"/>
          <w:b/>
          <w:bCs/>
          <w:sz w:val="24"/>
          <w:szCs w:val="24"/>
        </w:rPr>
      </w:pPr>
      <w:bookmarkStart w:name="_Toc233996726" w:id="9"/>
      <w:r w:rsidRPr="00C140A0">
        <w:rPr>
          <w:rFonts w:ascii="Verdana" w:hAnsi="Verdana"/>
          <w:b/>
          <w:bCs/>
          <w:sz w:val="24"/>
          <w:szCs w:val="24"/>
        </w:rPr>
        <w:t>Seguridad y salud en el trabajo</w:t>
      </w:r>
      <w:bookmarkEnd w:id="9"/>
    </w:p>
    <w:p w:rsidR="001423C8" w:rsidP="006A0A13" w:rsidRDefault="001423C8" w14:paraId="66CF9AC4" w14:textId="77777777">
      <w:pPr>
        <w:spacing w:after="0" w:line="360" w:lineRule="auto"/>
        <w:jc w:val="both"/>
        <w:rPr>
          <w:rFonts w:ascii="Verdana" w:hAnsi="Verdana"/>
          <w:sz w:val="24"/>
          <w:szCs w:val="24"/>
        </w:rPr>
      </w:pPr>
    </w:p>
    <w:p w:rsidRPr="00C140A0" w:rsidR="009C314E" w:rsidP="006A0A13" w:rsidRDefault="009C314E" w14:paraId="45712DBD" w14:textId="77777777">
      <w:pPr>
        <w:spacing w:after="0" w:line="360" w:lineRule="auto"/>
        <w:jc w:val="both"/>
        <w:rPr>
          <w:rFonts w:ascii="Verdana" w:hAnsi="Verdana"/>
          <w:sz w:val="24"/>
          <w:szCs w:val="24"/>
        </w:rPr>
      </w:pPr>
      <w:r w:rsidRPr="00C140A0">
        <w:rPr>
          <w:rFonts w:ascii="Verdana" w:hAnsi="Verdana"/>
          <w:sz w:val="24"/>
          <w:szCs w:val="24"/>
        </w:rPr>
        <w:t xml:space="preserve">El Ministerio fortaleció las acciones orientadas a la consolidación del Sistema de Gestión de Seguridad y Salud en el Trabajo (SG-SST) mediante la actualización de instrumentos normativos, el desarrollo de actividades de prevención y promoción, el fortalecimiento de los mecanismos de seguimiento y control y la implementación de estrategias </w:t>
      </w:r>
      <w:r w:rsidRPr="00C140A0">
        <w:rPr>
          <w:rFonts w:ascii="Verdana" w:hAnsi="Verdana"/>
          <w:sz w:val="24"/>
          <w:szCs w:val="24"/>
        </w:rPr>
        <w:t>orientadas a la mitigación de riesgos laborales físicos y psicosociales y a promover ambientes de trabajo seguros, saludables y alineados con la normatividad vigente</w:t>
      </w:r>
      <w:r w:rsidR="00E558DE">
        <w:rPr>
          <w:rFonts w:ascii="Verdana" w:hAnsi="Verdana"/>
          <w:sz w:val="24"/>
          <w:szCs w:val="24"/>
        </w:rPr>
        <w:t>.</w:t>
      </w:r>
    </w:p>
    <w:p w:rsidRPr="001423C8" w:rsidR="009C314E" w:rsidP="006A0A13" w:rsidRDefault="009C314E" w14:paraId="21F49204" w14:textId="77777777">
      <w:pPr>
        <w:spacing w:after="0" w:line="360" w:lineRule="auto"/>
        <w:rPr>
          <w:rFonts w:ascii="Verdana" w:hAnsi="Verdana"/>
          <w:b/>
          <w:bCs/>
          <w:sz w:val="18"/>
          <w:szCs w:val="18"/>
        </w:rPr>
      </w:pPr>
    </w:p>
    <w:p w:rsidR="00AD01AB" w:rsidP="001423C8" w:rsidRDefault="00AD01AB" w14:paraId="3E925B93" w14:textId="77777777">
      <w:pPr>
        <w:spacing w:after="0" w:line="240" w:lineRule="auto"/>
        <w:jc w:val="center"/>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Tabla</w:t>
      </w:r>
      <w:r w:rsidR="00E558DE">
        <w:rPr>
          <w:rFonts w:ascii="Verdana" w:hAnsi="Verdana" w:eastAsia="Times New Roman" w:cs="Times New Roman"/>
          <w:sz w:val="18"/>
          <w:szCs w:val="18"/>
          <w:lang w:eastAsia="es-MX"/>
        </w:rPr>
        <w:t xml:space="preserve"> No. 22.</w:t>
      </w:r>
      <w:r w:rsidRPr="001423C8">
        <w:rPr>
          <w:rFonts w:ascii="Verdana" w:hAnsi="Verdana" w:eastAsia="Times New Roman" w:cs="Times New Roman"/>
          <w:sz w:val="18"/>
          <w:szCs w:val="18"/>
          <w:lang w:eastAsia="es-MX"/>
        </w:rPr>
        <w:t xml:space="preserve"> Resumen Plan de Trabajo – SG-SST</w:t>
      </w:r>
    </w:p>
    <w:tbl>
      <w:tblPr>
        <w:tblStyle w:val="Tablaconcuadrcula"/>
        <w:tblW w:w="0" w:type="auto"/>
        <w:tblLook w:val="04A0" w:firstRow="1" w:lastRow="0" w:firstColumn="1" w:lastColumn="0" w:noHBand="0" w:noVBand="1"/>
      </w:tblPr>
      <w:tblGrid>
        <w:gridCol w:w="2207"/>
        <w:gridCol w:w="2207"/>
        <w:gridCol w:w="2207"/>
        <w:gridCol w:w="2207"/>
      </w:tblGrid>
      <w:tr w:rsidRPr="001423C8" w:rsidR="00AD01AB" w:rsidTr="00E558DE" w14:paraId="4F356B9D" w14:textId="77777777">
        <w:tc>
          <w:tcPr>
            <w:tcW w:w="2207" w:type="dxa"/>
            <w:shd w:val="clear" w:color="auto" w:fill="A6A6A6" w:themeFill="background1" w:themeFillShade="A6"/>
            <w:vAlign w:val="center"/>
          </w:tcPr>
          <w:p w:rsidRPr="001423C8" w:rsidR="00AD01AB" w:rsidP="001423C8" w:rsidRDefault="00AD01AB" w14:paraId="0FCFF21E" w14:textId="77777777">
            <w:pPr>
              <w:jc w:val="center"/>
              <w:rPr>
                <w:rFonts w:ascii="Verdana" w:hAnsi="Verdana" w:eastAsia="Times New Roman" w:cs="Times New Roman"/>
                <w:b/>
                <w:bCs/>
                <w:sz w:val="18"/>
                <w:szCs w:val="18"/>
                <w:lang w:eastAsia="es-MX"/>
              </w:rPr>
            </w:pPr>
            <w:r w:rsidRPr="001423C8">
              <w:rPr>
                <w:rFonts w:ascii="Verdana" w:hAnsi="Verdana" w:eastAsia="Times New Roman" w:cs="Times New Roman"/>
                <w:b/>
                <w:bCs/>
                <w:sz w:val="18"/>
                <w:szCs w:val="18"/>
                <w:lang w:eastAsia="es-MX"/>
              </w:rPr>
              <w:t>Línea Estratégica</w:t>
            </w:r>
          </w:p>
        </w:tc>
        <w:tc>
          <w:tcPr>
            <w:tcW w:w="2207" w:type="dxa"/>
            <w:shd w:val="clear" w:color="auto" w:fill="A6A6A6" w:themeFill="background1" w:themeFillShade="A6"/>
            <w:vAlign w:val="center"/>
          </w:tcPr>
          <w:p w:rsidRPr="001423C8" w:rsidR="00AD01AB" w:rsidP="001423C8" w:rsidRDefault="00AD01AB" w14:paraId="378828F7" w14:textId="77777777">
            <w:pPr>
              <w:jc w:val="center"/>
              <w:rPr>
                <w:rFonts w:ascii="Verdana" w:hAnsi="Verdana" w:eastAsia="Times New Roman" w:cs="Times New Roman"/>
                <w:b/>
                <w:bCs/>
                <w:sz w:val="18"/>
                <w:szCs w:val="18"/>
                <w:lang w:eastAsia="es-MX"/>
              </w:rPr>
            </w:pPr>
            <w:r w:rsidRPr="001423C8">
              <w:rPr>
                <w:rFonts w:ascii="Verdana" w:hAnsi="Verdana" w:eastAsia="Times New Roman" w:cs="Times New Roman"/>
                <w:b/>
                <w:bCs/>
                <w:sz w:val="18"/>
                <w:szCs w:val="18"/>
                <w:lang w:eastAsia="es-MX"/>
              </w:rPr>
              <w:t>Gestión</w:t>
            </w:r>
          </w:p>
        </w:tc>
        <w:tc>
          <w:tcPr>
            <w:tcW w:w="2207" w:type="dxa"/>
            <w:shd w:val="clear" w:color="auto" w:fill="A6A6A6" w:themeFill="background1" w:themeFillShade="A6"/>
            <w:vAlign w:val="center"/>
          </w:tcPr>
          <w:p w:rsidRPr="001423C8" w:rsidR="00AD01AB" w:rsidP="001423C8" w:rsidRDefault="00AD01AB" w14:paraId="7D984AD1" w14:textId="77777777">
            <w:pPr>
              <w:jc w:val="center"/>
              <w:rPr>
                <w:rFonts w:ascii="Verdana" w:hAnsi="Verdana" w:eastAsia="Times New Roman" w:cs="Times New Roman"/>
                <w:b/>
                <w:bCs/>
                <w:sz w:val="18"/>
                <w:szCs w:val="18"/>
                <w:lang w:eastAsia="es-MX"/>
              </w:rPr>
            </w:pPr>
            <w:r w:rsidRPr="001423C8">
              <w:rPr>
                <w:rFonts w:ascii="Verdana" w:hAnsi="Verdana" w:eastAsia="Times New Roman" w:cs="Times New Roman"/>
                <w:b/>
                <w:bCs/>
                <w:sz w:val="18"/>
                <w:szCs w:val="18"/>
                <w:lang w:eastAsia="es-MX"/>
              </w:rPr>
              <w:t>Resultado</w:t>
            </w:r>
          </w:p>
        </w:tc>
        <w:tc>
          <w:tcPr>
            <w:tcW w:w="2207" w:type="dxa"/>
            <w:shd w:val="clear" w:color="auto" w:fill="A6A6A6" w:themeFill="background1" w:themeFillShade="A6"/>
            <w:vAlign w:val="center"/>
          </w:tcPr>
          <w:p w:rsidRPr="001423C8" w:rsidR="00AD01AB" w:rsidP="001423C8" w:rsidRDefault="00AD01AB" w14:paraId="567B31E1" w14:textId="77777777">
            <w:pPr>
              <w:jc w:val="center"/>
              <w:rPr>
                <w:rFonts w:ascii="Verdana" w:hAnsi="Verdana" w:eastAsia="Times New Roman" w:cs="Times New Roman"/>
                <w:b/>
                <w:bCs/>
                <w:sz w:val="18"/>
                <w:szCs w:val="18"/>
                <w:lang w:eastAsia="es-MX"/>
              </w:rPr>
            </w:pPr>
            <w:r w:rsidRPr="001423C8">
              <w:rPr>
                <w:rFonts w:ascii="Verdana" w:hAnsi="Verdana" w:eastAsia="Times New Roman" w:cs="Times New Roman"/>
                <w:b/>
                <w:bCs/>
                <w:sz w:val="18"/>
                <w:szCs w:val="18"/>
                <w:lang w:eastAsia="es-MX"/>
              </w:rPr>
              <w:t>Impacto Institucional</w:t>
            </w:r>
          </w:p>
        </w:tc>
      </w:tr>
      <w:tr w:rsidRPr="001423C8" w:rsidR="00AD01AB" w:rsidTr="001423C8" w14:paraId="7552ADBD" w14:textId="77777777">
        <w:tc>
          <w:tcPr>
            <w:tcW w:w="2207" w:type="dxa"/>
            <w:vAlign w:val="center"/>
          </w:tcPr>
          <w:p w:rsidRPr="001423C8" w:rsidR="00AD01AB" w:rsidP="001423C8" w:rsidRDefault="00AD01AB" w14:paraId="4F6E4EEF" w14:textId="77777777">
            <w:pPr>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Mejora continua del SG-SST</w:t>
            </w:r>
          </w:p>
        </w:tc>
        <w:tc>
          <w:tcPr>
            <w:tcW w:w="2207" w:type="dxa"/>
            <w:vAlign w:val="center"/>
          </w:tcPr>
          <w:p w:rsidRPr="001423C8" w:rsidR="00AD01AB" w:rsidP="00E558DE" w:rsidRDefault="00AD01AB" w14:paraId="55D70C0D" w14:textId="77777777">
            <w:pPr>
              <w:jc w:val="both"/>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Realización de mesas de trabajo (noviembre–diciembre) para análisis de indicadores, cumplimiento de estándares mínimos y formulación del plan anual; socialización con COPASST y aprobación de Alta Dirección.</w:t>
            </w:r>
          </w:p>
        </w:tc>
        <w:tc>
          <w:tcPr>
            <w:tcW w:w="2207" w:type="dxa"/>
            <w:vAlign w:val="center"/>
          </w:tcPr>
          <w:p w:rsidRPr="001423C8" w:rsidR="00AD01AB" w:rsidP="00E558DE" w:rsidRDefault="00AD01AB" w14:paraId="35F637C6" w14:textId="77777777">
            <w:pPr>
              <w:jc w:val="both"/>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Plan de trabajo anual estructurado con base en evaluación de desempeño y resultados del sistema.</w:t>
            </w:r>
          </w:p>
        </w:tc>
        <w:tc>
          <w:tcPr>
            <w:tcW w:w="2207" w:type="dxa"/>
            <w:vAlign w:val="center"/>
          </w:tcPr>
          <w:p w:rsidRPr="001423C8" w:rsidR="00AD01AB" w:rsidP="00E558DE" w:rsidRDefault="00AD01AB" w14:paraId="41C673BB" w14:textId="77777777">
            <w:pPr>
              <w:jc w:val="both"/>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Fortalecimiento de la gestión preventiva y del ciclo de mejora continua del SG-SST.</w:t>
            </w:r>
          </w:p>
        </w:tc>
      </w:tr>
      <w:tr w:rsidRPr="001423C8" w:rsidR="00AD01AB" w:rsidTr="001423C8" w14:paraId="0CA6CAB5" w14:textId="77777777">
        <w:tc>
          <w:tcPr>
            <w:tcW w:w="2207" w:type="dxa"/>
            <w:vAlign w:val="center"/>
          </w:tcPr>
          <w:p w:rsidRPr="001423C8" w:rsidR="00AD01AB" w:rsidP="001423C8" w:rsidRDefault="00AD01AB" w14:paraId="7FE01F92" w14:textId="77777777">
            <w:pPr>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Desempeño del sistema</w:t>
            </w:r>
          </w:p>
        </w:tc>
        <w:tc>
          <w:tcPr>
            <w:tcW w:w="2207" w:type="dxa"/>
            <w:vAlign w:val="center"/>
          </w:tcPr>
          <w:p w:rsidRPr="001423C8" w:rsidR="00AD01AB" w:rsidP="00E558DE" w:rsidRDefault="00AD01AB" w14:paraId="5428243E" w14:textId="77777777">
            <w:pPr>
              <w:jc w:val="both"/>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Seguimiento a indicadores de gestión y cumplimiento normativo del SG-SST durante el periodo evaluado.</w:t>
            </w:r>
          </w:p>
        </w:tc>
        <w:tc>
          <w:tcPr>
            <w:tcW w:w="2207" w:type="dxa"/>
            <w:vAlign w:val="center"/>
          </w:tcPr>
          <w:p w:rsidRPr="001423C8" w:rsidR="00AD01AB" w:rsidP="00E558DE" w:rsidRDefault="00AD01AB" w14:paraId="23033046" w14:textId="77777777">
            <w:pPr>
              <w:jc w:val="both"/>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Desempeño sostenido superior al 94% en todos los años; pico de 98,2% en 2023; 94,0% en 2024; recuperación a 97,5% en 2025.</w:t>
            </w:r>
          </w:p>
        </w:tc>
        <w:tc>
          <w:tcPr>
            <w:tcW w:w="2207" w:type="dxa"/>
            <w:vAlign w:val="center"/>
          </w:tcPr>
          <w:p w:rsidRPr="001423C8" w:rsidR="00AD01AB" w:rsidP="00E558DE" w:rsidRDefault="00AD01AB" w14:paraId="4C5FA76C" w14:textId="77777777">
            <w:pPr>
              <w:jc w:val="both"/>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Evidencia de madurez del sistema, alta capacidad de control y respuesta frente a oportunidades de mejora.</w:t>
            </w:r>
          </w:p>
        </w:tc>
      </w:tr>
      <w:tr w:rsidRPr="001423C8" w:rsidR="00AD01AB" w:rsidTr="001423C8" w14:paraId="0EC1F63C" w14:textId="77777777">
        <w:tc>
          <w:tcPr>
            <w:tcW w:w="2207" w:type="dxa"/>
            <w:vAlign w:val="center"/>
          </w:tcPr>
          <w:p w:rsidRPr="001423C8" w:rsidR="00AD01AB" w:rsidP="001423C8" w:rsidRDefault="00AD01AB" w14:paraId="75BB2784" w14:textId="77777777">
            <w:pPr>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Gestión de acciones correctivas</w:t>
            </w:r>
          </w:p>
        </w:tc>
        <w:tc>
          <w:tcPr>
            <w:tcW w:w="2207" w:type="dxa"/>
            <w:vAlign w:val="center"/>
          </w:tcPr>
          <w:p w:rsidRPr="001423C8" w:rsidR="00AD01AB" w:rsidP="00E558DE" w:rsidRDefault="00AD01AB" w14:paraId="27E7E1C6" w14:textId="77777777">
            <w:pPr>
              <w:jc w:val="both"/>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Implementación de medidas frente a hallazgos, especialmente en auditoría interna y planificación con COPASST.</w:t>
            </w:r>
          </w:p>
        </w:tc>
        <w:tc>
          <w:tcPr>
            <w:tcW w:w="2207" w:type="dxa"/>
            <w:vAlign w:val="center"/>
          </w:tcPr>
          <w:p w:rsidRPr="001423C8" w:rsidR="00AD01AB" w:rsidP="00E558DE" w:rsidRDefault="00AD01AB" w14:paraId="05CD3549" w14:textId="77777777">
            <w:pPr>
              <w:jc w:val="both"/>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Mejora del desempeño tras la disminución de 2024, con recuperación de 3,5 puntos en 2025.</w:t>
            </w:r>
          </w:p>
        </w:tc>
        <w:tc>
          <w:tcPr>
            <w:tcW w:w="2207" w:type="dxa"/>
            <w:vAlign w:val="center"/>
          </w:tcPr>
          <w:p w:rsidRPr="001423C8" w:rsidR="00AD01AB" w:rsidP="00E558DE" w:rsidRDefault="00AD01AB" w14:paraId="2C81E885" w14:textId="77777777">
            <w:pPr>
              <w:jc w:val="both"/>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Consolidación de acciones correctivas efectivas y fortalecimiento del control interno del SG-SST.</w:t>
            </w:r>
          </w:p>
        </w:tc>
      </w:tr>
    </w:tbl>
    <w:p w:rsidRPr="001423C8" w:rsidR="00AD01AB" w:rsidP="180099B3" w:rsidRDefault="1D224B79" w14:paraId="42100CF3" w14:textId="77777777">
      <w:pPr>
        <w:spacing w:after="0" w:line="240" w:lineRule="auto"/>
        <w:jc w:val="center"/>
        <w:rPr>
          <w:rFonts w:ascii="Verdana" w:hAnsi="Verdana"/>
          <w:sz w:val="18"/>
          <w:szCs w:val="18"/>
        </w:rPr>
      </w:pPr>
      <w:r w:rsidRPr="180099B3">
        <w:rPr>
          <w:rFonts w:ascii="Verdana" w:hAnsi="Verdana"/>
          <w:sz w:val="18"/>
          <w:szCs w:val="18"/>
        </w:rPr>
        <w:t xml:space="preserve">Fuente: Subdirección de Talento Humano – </w:t>
      </w:r>
      <w:r w:rsidRPr="180099B3" w:rsidR="0BE95E27">
        <w:rPr>
          <w:rFonts w:ascii="Verdana" w:hAnsi="Verdana"/>
          <w:sz w:val="18"/>
          <w:szCs w:val="18"/>
        </w:rPr>
        <w:t>MME</w:t>
      </w:r>
    </w:p>
    <w:p w:rsidR="00E558DE" w:rsidP="006A0A13" w:rsidRDefault="00E558DE" w14:paraId="7CCDA61B" w14:textId="77777777">
      <w:pPr>
        <w:spacing w:after="0" w:line="360" w:lineRule="auto"/>
        <w:rPr>
          <w:rFonts w:ascii="Verdana" w:hAnsi="Verdana"/>
          <w:sz w:val="24"/>
          <w:szCs w:val="24"/>
        </w:rPr>
      </w:pPr>
    </w:p>
    <w:p w:rsidR="00AD01AB" w:rsidP="006A0A13" w:rsidRDefault="00AD01AB" w14:paraId="786A6639" w14:textId="77777777">
      <w:pPr>
        <w:spacing w:after="0" w:line="360" w:lineRule="auto"/>
        <w:rPr>
          <w:rFonts w:ascii="Verdana" w:hAnsi="Verdana"/>
          <w:sz w:val="24"/>
          <w:szCs w:val="24"/>
        </w:rPr>
      </w:pPr>
      <w:r w:rsidRPr="00C140A0">
        <w:rPr>
          <w:rFonts w:ascii="Verdana" w:hAnsi="Verdana"/>
          <w:sz w:val="24"/>
          <w:szCs w:val="24"/>
        </w:rPr>
        <w:t>Entre las principales actividades desarrolladas durante el periodo 2022–2026 se destacan:</w:t>
      </w:r>
    </w:p>
    <w:p w:rsidRPr="00C140A0" w:rsidR="006A0A13" w:rsidP="006A0A13" w:rsidRDefault="006A0A13" w14:paraId="5285F9C4" w14:textId="77777777">
      <w:pPr>
        <w:spacing w:after="0" w:line="360" w:lineRule="auto"/>
        <w:rPr>
          <w:rFonts w:ascii="Verdana" w:hAnsi="Verdana"/>
          <w:sz w:val="24"/>
          <w:szCs w:val="24"/>
        </w:rPr>
      </w:pPr>
    </w:p>
    <w:p w:rsidRPr="001423C8" w:rsidR="00AD01AB" w:rsidP="00E558DE" w:rsidRDefault="00AD01AB" w14:paraId="24E081D5" w14:textId="63FB7047">
      <w:pPr>
        <w:spacing w:after="0" w:line="240" w:lineRule="auto"/>
        <w:jc w:val="center"/>
        <w:rPr>
          <w:rFonts w:ascii="Verdana" w:hAnsi="Verdana" w:eastAsia="Times New Roman" w:cs="Times New Roman"/>
          <w:sz w:val="18"/>
          <w:szCs w:val="18"/>
          <w:lang w:eastAsia="es-MX"/>
        </w:rPr>
      </w:pPr>
      <w:r w:rsidRPr="30CF4445" w:rsidR="1A1FA6E7">
        <w:rPr>
          <w:rFonts w:ascii="Verdana" w:hAnsi="Verdana" w:eastAsia="Times New Roman" w:cs="Times New Roman"/>
          <w:sz w:val="18"/>
          <w:szCs w:val="18"/>
          <w:lang w:eastAsia="es-MX"/>
        </w:rPr>
        <w:t>Tabla</w:t>
      </w:r>
      <w:r w:rsidRPr="30CF4445" w:rsidR="729C71F2">
        <w:rPr>
          <w:rFonts w:ascii="Verdana" w:hAnsi="Verdana" w:eastAsia="Times New Roman" w:cs="Times New Roman"/>
          <w:sz w:val="18"/>
          <w:szCs w:val="18"/>
          <w:lang w:eastAsia="es-MX"/>
        </w:rPr>
        <w:t xml:space="preserve"> No. 23</w:t>
      </w:r>
      <w:r w:rsidRPr="30CF4445" w:rsidR="3BC02116">
        <w:rPr>
          <w:rFonts w:ascii="Verdana" w:hAnsi="Verdana" w:eastAsia="Times New Roman" w:cs="Times New Roman"/>
          <w:sz w:val="18"/>
          <w:szCs w:val="18"/>
          <w:lang w:eastAsia="es-MX"/>
        </w:rPr>
        <w:t>.</w:t>
      </w:r>
      <w:r w:rsidRPr="30CF4445" w:rsidR="1A1FA6E7">
        <w:rPr>
          <w:rFonts w:ascii="Verdana" w:hAnsi="Verdana" w:eastAsia="Times New Roman" w:cs="Times New Roman"/>
          <w:sz w:val="18"/>
          <w:szCs w:val="18"/>
          <w:lang w:eastAsia="es-MX"/>
        </w:rPr>
        <w:t xml:space="preserve"> Resumen actividades SG-SST</w:t>
      </w:r>
    </w:p>
    <w:tbl>
      <w:tblPr>
        <w:tblStyle w:val="Tablaconcuadrcula"/>
        <w:tblW w:w="0" w:type="auto"/>
        <w:tblLook w:val="04A0" w:firstRow="1" w:lastRow="0" w:firstColumn="1" w:lastColumn="0" w:noHBand="0" w:noVBand="1"/>
      </w:tblPr>
      <w:tblGrid>
        <w:gridCol w:w="2207"/>
        <w:gridCol w:w="2207"/>
        <w:gridCol w:w="2207"/>
        <w:gridCol w:w="2207"/>
      </w:tblGrid>
      <w:tr w:rsidRPr="001423C8" w:rsidR="00AD01AB" w:rsidTr="00E558DE" w14:paraId="748AF8E5" w14:textId="77777777">
        <w:tc>
          <w:tcPr>
            <w:tcW w:w="2207" w:type="dxa"/>
            <w:shd w:val="clear" w:color="auto" w:fill="A6A6A6" w:themeFill="background1" w:themeFillShade="A6"/>
            <w:vAlign w:val="center"/>
          </w:tcPr>
          <w:p w:rsidRPr="001423C8" w:rsidR="00AD01AB" w:rsidP="00E558DE" w:rsidRDefault="00AD01AB" w14:paraId="53E19C39" w14:textId="77777777">
            <w:pPr>
              <w:jc w:val="center"/>
              <w:rPr>
                <w:rFonts w:ascii="Verdana" w:hAnsi="Verdana" w:eastAsia="Times New Roman" w:cs="Times New Roman"/>
                <w:b/>
                <w:bCs/>
                <w:sz w:val="18"/>
                <w:szCs w:val="18"/>
                <w:lang w:eastAsia="es-MX"/>
              </w:rPr>
            </w:pPr>
            <w:r w:rsidRPr="001423C8">
              <w:rPr>
                <w:rFonts w:ascii="Verdana" w:hAnsi="Verdana" w:eastAsia="Times New Roman" w:cs="Times New Roman"/>
                <w:b/>
                <w:bCs/>
                <w:sz w:val="18"/>
                <w:szCs w:val="18"/>
                <w:lang w:eastAsia="es-MX"/>
              </w:rPr>
              <w:t>Línea Estratégica</w:t>
            </w:r>
          </w:p>
        </w:tc>
        <w:tc>
          <w:tcPr>
            <w:tcW w:w="2207" w:type="dxa"/>
            <w:shd w:val="clear" w:color="auto" w:fill="A6A6A6" w:themeFill="background1" w:themeFillShade="A6"/>
            <w:vAlign w:val="center"/>
          </w:tcPr>
          <w:p w:rsidRPr="001423C8" w:rsidR="00AD01AB" w:rsidP="00E558DE" w:rsidRDefault="00AD01AB" w14:paraId="11331A5D" w14:textId="77777777">
            <w:pPr>
              <w:jc w:val="center"/>
              <w:rPr>
                <w:rFonts w:ascii="Verdana" w:hAnsi="Verdana" w:eastAsia="Times New Roman" w:cs="Times New Roman"/>
                <w:b/>
                <w:bCs/>
                <w:sz w:val="18"/>
                <w:szCs w:val="18"/>
                <w:lang w:eastAsia="es-MX"/>
              </w:rPr>
            </w:pPr>
            <w:r w:rsidRPr="001423C8">
              <w:rPr>
                <w:rFonts w:ascii="Verdana" w:hAnsi="Verdana" w:eastAsia="Times New Roman" w:cs="Times New Roman"/>
                <w:b/>
                <w:bCs/>
                <w:sz w:val="18"/>
                <w:szCs w:val="18"/>
                <w:lang w:eastAsia="es-MX"/>
              </w:rPr>
              <w:t>Gestión</w:t>
            </w:r>
          </w:p>
        </w:tc>
        <w:tc>
          <w:tcPr>
            <w:tcW w:w="2207" w:type="dxa"/>
            <w:shd w:val="clear" w:color="auto" w:fill="A6A6A6" w:themeFill="background1" w:themeFillShade="A6"/>
            <w:vAlign w:val="center"/>
          </w:tcPr>
          <w:p w:rsidRPr="001423C8" w:rsidR="00AD01AB" w:rsidP="00E558DE" w:rsidRDefault="00AD01AB" w14:paraId="70872B96" w14:textId="77777777">
            <w:pPr>
              <w:jc w:val="center"/>
              <w:rPr>
                <w:rFonts w:ascii="Verdana" w:hAnsi="Verdana" w:eastAsia="Times New Roman" w:cs="Times New Roman"/>
                <w:b/>
                <w:bCs/>
                <w:sz w:val="18"/>
                <w:szCs w:val="18"/>
                <w:lang w:eastAsia="es-MX"/>
              </w:rPr>
            </w:pPr>
            <w:r w:rsidRPr="001423C8">
              <w:rPr>
                <w:rFonts w:ascii="Verdana" w:hAnsi="Verdana" w:eastAsia="Times New Roman" w:cs="Times New Roman"/>
                <w:b/>
                <w:bCs/>
                <w:sz w:val="18"/>
                <w:szCs w:val="18"/>
                <w:lang w:eastAsia="es-MX"/>
              </w:rPr>
              <w:t>Resultados</w:t>
            </w:r>
          </w:p>
        </w:tc>
        <w:tc>
          <w:tcPr>
            <w:tcW w:w="2207" w:type="dxa"/>
            <w:shd w:val="clear" w:color="auto" w:fill="A6A6A6" w:themeFill="background1" w:themeFillShade="A6"/>
            <w:vAlign w:val="center"/>
          </w:tcPr>
          <w:p w:rsidRPr="001423C8" w:rsidR="00AD01AB" w:rsidP="00E558DE" w:rsidRDefault="00AD01AB" w14:paraId="0CA0167A" w14:textId="77777777">
            <w:pPr>
              <w:jc w:val="center"/>
              <w:rPr>
                <w:rFonts w:ascii="Verdana" w:hAnsi="Verdana" w:eastAsia="Times New Roman" w:cs="Times New Roman"/>
                <w:b/>
                <w:bCs/>
                <w:sz w:val="18"/>
                <w:szCs w:val="18"/>
                <w:lang w:eastAsia="es-MX"/>
              </w:rPr>
            </w:pPr>
            <w:r w:rsidRPr="001423C8">
              <w:rPr>
                <w:rFonts w:ascii="Verdana" w:hAnsi="Verdana" w:eastAsia="Times New Roman" w:cs="Times New Roman"/>
                <w:b/>
                <w:bCs/>
                <w:sz w:val="18"/>
                <w:szCs w:val="18"/>
                <w:lang w:eastAsia="es-MX"/>
              </w:rPr>
              <w:t>Impacto Institucional</w:t>
            </w:r>
          </w:p>
        </w:tc>
      </w:tr>
      <w:tr w:rsidRPr="001423C8" w:rsidR="00AD01AB" w14:paraId="07EC8479" w14:textId="77777777">
        <w:tc>
          <w:tcPr>
            <w:tcW w:w="2207" w:type="dxa"/>
          </w:tcPr>
          <w:p w:rsidRPr="001423C8" w:rsidR="00AD01AB" w:rsidP="00E558DE" w:rsidRDefault="00AD01AB" w14:paraId="127B5A56" w14:textId="77777777">
            <w:pPr>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Seguridad y salud en el trabajo</w:t>
            </w:r>
          </w:p>
        </w:tc>
        <w:tc>
          <w:tcPr>
            <w:tcW w:w="2207" w:type="dxa"/>
          </w:tcPr>
          <w:p w:rsidRPr="001423C8" w:rsidR="00AD01AB" w:rsidP="00E558DE" w:rsidRDefault="00AD01AB" w14:paraId="21455383" w14:textId="77777777">
            <w:pPr>
              <w:jc w:val="both"/>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 xml:space="preserve">Ejecución de capacitaciones, sensibilización y acompañamiento a comités (COPASST y Convivencia Laboral), fortalecimiento del SVEPSI, actualización del PESV, visitas </w:t>
            </w:r>
            <w:r w:rsidRPr="001423C8">
              <w:rPr>
                <w:rFonts w:ascii="Verdana" w:hAnsi="Verdana" w:eastAsia="Times New Roman" w:cs="Times New Roman"/>
                <w:sz w:val="18"/>
                <w:szCs w:val="18"/>
                <w:lang w:eastAsia="es-MX"/>
              </w:rPr>
              <w:t>domiciliarias en teletrabajo y fortalecimiento de brigadas de emergencia.</w:t>
            </w:r>
          </w:p>
        </w:tc>
        <w:tc>
          <w:tcPr>
            <w:tcW w:w="2207" w:type="dxa"/>
          </w:tcPr>
          <w:p w:rsidRPr="001423C8" w:rsidR="00AD01AB" w:rsidP="00E558DE" w:rsidRDefault="00AD01AB" w14:paraId="7BA179E4" w14:textId="77777777">
            <w:pPr>
              <w:jc w:val="both"/>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Implementación continua de actividades preventivas, actualización de instrumentos de gestión y seguimiento a riesgos laborales.</w:t>
            </w:r>
          </w:p>
        </w:tc>
        <w:tc>
          <w:tcPr>
            <w:tcW w:w="2207" w:type="dxa"/>
          </w:tcPr>
          <w:p w:rsidRPr="001423C8" w:rsidR="00AD01AB" w:rsidP="00E558DE" w:rsidRDefault="00AD01AB" w14:paraId="7CCE0D98" w14:textId="77777777">
            <w:pPr>
              <w:jc w:val="both"/>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Reducción y control de riesgos laborales, fortalecimiento de la cultura de autocuidado y mejora de la gestión preventiva institucional.</w:t>
            </w:r>
          </w:p>
        </w:tc>
      </w:tr>
      <w:tr w:rsidRPr="001423C8" w:rsidR="00AD01AB" w14:paraId="63391D4E" w14:textId="77777777">
        <w:tc>
          <w:tcPr>
            <w:tcW w:w="2207" w:type="dxa"/>
          </w:tcPr>
          <w:p w:rsidRPr="001423C8" w:rsidR="00AD01AB" w:rsidP="00E558DE" w:rsidRDefault="00AD01AB" w14:paraId="17A2BA00" w14:textId="77777777">
            <w:pPr>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Gestión del riesgo psicosocial</w:t>
            </w:r>
          </w:p>
        </w:tc>
        <w:tc>
          <w:tcPr>
            <w:tcW w:w="2207" w:type="dxa"/>
          </w:tcPr>
          <w:p w:rsidRPr="001423C8" w:rsidR="00AD01AB" w:rsidP="00E558DE" w:rsidRDefault="00AD01AB" w14:paraId="58C653A3" w14:textId="77777777">
            <w:pPr>
              <w:jc w:val="both"/>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Evaluaciones de riesgo, acompañamiento psicolaboral y desarrollo del Sistema de Vigilancia Epidemiológica en Riesgo Psicosocial (SVEPSI).</w:t>
            </w:r>
          </w:p>
        </w:tc>
        <w:tc>
          <w:tcPr>
            <w:tcW w:w="2207" w:type="dxa"/>
          </w:tcPr>
          <w:p w:rsidRPr="001423C8" w:rsidR="00AD01AB" w:rsidP="00E558DE" w:rsidRDefault="00AD01AB" w14:paraId="4B83728D" w14:textId="77777777">
            <w:pPr>
              <w:jc w:val="both"/>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Identificación y monitoreo de factores de riesgo psicosocial y ejecución de acciones de intervención.</w:t>
            </w:r>
          </w:p>
        </w:tc>
        <w:tc>
          <w:tcPr>
            <w:tcW w:w="2207" w:type="dxa"/>
          </w:tcPr>
          <w:p w:rsidRPr="001423C8" w:rsidR="00AD01AB" w:rsidP="00E558DE" w:rsidRDefault="00AD01AB" w14:paraId="0CCE5900" w14:textId="77777777">
            <w:pPr>
              <w:jc w:val="both"/>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Mejora del bienestar emocional, fortalecimiento del clima laboral y prevención de afectaciones psicosociales.</w:t>
            </w:r>
          </w:p>
        </w:tc>
      </w:tr>
      <w:tr w:rsidRPr="001423C8" w:rsidR="00AD01AB" w14:paraId="775B0DF0" w14:textId="77777777">
        <w:tc>
          <w:tcPr>
            <w:tcW w:w="2207" w:type="dxa"/>
          </w:tcPr>
          <w:p w:rsidRPr="001423C8" w:rsidR="00AD01AB" w:rsidP="00E558DE" w:rsidRDefault="00AD01AB" w14:paraId="21261E0B" w14:textId="77777777">
            <w:pPr>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Gestión de accidentalidad y ausentismo</w:t>
            </w:r>
          </w:p>
        </w:tc>
        <w:tc>
          <w:tcPr>
            <w:tcW w:w="2207" w:type="dxa"/>
          </w:tcPr>
          <w:p w:rsidRPr="001423C8" w:rsidR="00AD01AB" w:rsidP="00E558DE" w:rsidRDefault="00AD01AB" w14:paraId="4E5B4444" w14:textId="77777777">
            <w:pPr>
              <w:jc w:val="both"/>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Investigación de accidentes laborales y seguimiento a indicadores de accidentalidad y ausentismo.</w:t>
            </w:r>
          </w:p>
        </w:tc>
        <w:tc>
          <w:tcPr>
            <w:tcW w:w="2207" w:type="dxa"/>
          </w:tcPr>
          <w:p w:rsidRPr="001423C8" w:rsidR="00AD01AB" w:rsidP="00E558DE" w:rsidRDefault="00AD01AB" w14:paraId="1E56CE5B" w14:textId="77777777">
            <w:pPr>
              <w:jc w:val="both"/>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Consolidación de información y análisis de eventos laborales.</w:t>
            </w:r>
          </w:p>
        </w:tc>
        <w:tc>
          <w:tcPr>
            <w:tcW w:w="2207" w:type="dxa"/>
          </w:tcPr>
          <w:p w:rsidRPr="001423C8" w:rsidR="00AD01AB" w:rsidP="00E558DE" w:rsidRDefault="00AD01AB" w14:paraId="033730E2" w14:textId="77777777">
            <w:pPr>
              <w:jc w:val="both"/>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Fortalecimiento de la toma de decisiones y reducción de incidentes laborales.</w:t>
            </w:r>
          </w:p>
        </w:tc>
      </w:tr>
      <w:tr w:rsidRPr="001423C8" w:rsidR="00AD01AB" w14:paraId="6510D2B9" w14:textId="77777777">
        <w:tc>
          <w:tcPr>
            <w:tcW w:w="2207" w:type="dxa"/>
          </w:tcPr>
          <w:p w:rsidRPr="001423C8" w:rsidR="00AD01AB" w:rsidP="00E558DE" w:rsidRDefault="00AD01AB" w14:paraId="7B32A719" w14:textId="77777777">
            <w:pPr>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Promoción de entornos laborales saludables</w:t>
            </w:r>
          </w:p>
        </w:tc>
        <w:tc>
          <w:tcPr>
            <w:tcW w:w="2207" w:type="dxa"/>
          </w:tcPr>
          <w:p w:rsidRPr="001423C8" w:rsidR="00AD01AB" w:rsidP="00E558DE" w:rsidRDefault="00AD01AB" w14:paraId="6141650A" w14:textId="77777777">
            <w:pPr>
              <w:jc w:val="both"/>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Desarrollo de actividades de promoción de la salud y prevención del riesgo, articuladas con bienestar institucional.</w:t>
            </w:r>
          </w:p>
        </w:tc>
        <w:tc>
          <w:tcPr>
            <w:tcW w:w="2207" w:type="dxa"/>
          </w:tcPr>
          <w:p w:rsidRPr="001423C8" w:rsidR="00AD01AB" w:rsidP="00E558DE" w:rsidRDefault="00AD01AB" w14:paraId="24CE0D52" w14:textId="77777777">
            <w:pPr>
              <w:jc w:val="both"/>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Implementación de estrategias de promoción y prevención en salud laboral.</w:t>
            </w:r>
          </w:p>
        </w:tc>
        <w:tc>
          <w:tcPr>
            <w:tcW w:w="2207" w:type="dxa"/>
          </w:tcPr>
          <w:p w:rsidRPr="001423C8" w:rsidR="00AD01AB" w:rsidP="00E558DE" w:rsidRDefault="00AD01AB" w14:paraId="0FE1D0B8" w14:textId="77777777">
            <w:pPr>
              <w:jc w:val="both"/>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Mejora de las condiciones de trabajo y fortalecimiento de entornos laborales saludables y seguros.</w:t>
            </w:r>
          </w:p>
        </w:tc>
      </w:tr>
    </w:tbl>
    <w:p w:rsidRPr="001423C8" w:rsidR="00AD01AB" w:rsidP="180099B3" w:rsidRDefault="1D224B79" w14:paraId="5170DFAB" w14:textId="77777777">
      <w:pPr>
        <w:spacing w:after="0" w:line="240" w:lineRule="auto"/>
        <w:jc w:val="center"/>
        <w:rPr>
          <w:rFonts w:ascii="Verdana" w:hAnsi="Verdana"/>
          <w:sz w:val="18"/>
          <w:szCs w:val="18"/>
        </w:rPr>
      </w:pPr>
      <w:r w:rsidRPr="180099B3">
        <w:rPr>
          <w:rFonts w:ascii="Verdana" w:hAnsi="Verdana"/>
          <w:sz w:val="18"/>
          <w:szCs w:val="18"/>
        </w:rPr>
        <w:t xml:space="preserve">Fuente: Subdirección de Talento Humano – </w:t>
      </w:r>
      <w:r w:rsidRPr="180099B3" w:rsidR="12413BD6">
        <w:rPr>
          <w:rFonts w:ascii="Verdana" w:hAnsi="Verdana"/>
          <w:sz w:val="18"/>
          <w:szCs w:val="18"/>
        </w:rPr>
        <w:t>MME</w:t>
      </w:r>
    </w:p>
    <w:p w:rsidR="001423C8" w:rsidP="006A0A13" w:rsidRDefault="001423C8" w14:paraId="72418281" w14:textId="77777777">
      <w:pPr>
        <w:spacing w:after="0" w:line="360" w:lineRule="auto"/>
        <w:jc w:val="both"/>
        <w:rPr>
          <w:rFonts w:ascii="Verdana" w:hAnsi="Verdana"/>
          <w:sz w:val="24"/>
          <w:szCs w:val="24"/>
        </w:rPr>
      </w:pPr>
    </w:p>
    <w:p w:rsidR="00AD01AB" w:rsidP="006A0A13" w:rsidRDefault="00AD01AB" w14:paraId="56387178" w14:textId="77777777">
      <w:pPr>
        <w:spacing w:after="0" w:line="360" w:lineRule="auto"/>
        <w:jc w:val="both"/>
        <w:rPr>
          <w:rFonts w:ascii="Verdana" w:hAnsi="Verdana"/>
          <w:sz w:val="24"/>
          <w:szCs w:val="24"/>
        </w:rPr>
      </w:pPr>
      <w:r w:rsidRPr="00C140A0">
        <w:rPr>
          <w:rFonts w:ascii="Verdana" w:hAnsi="Verdana"/>
          <w:sz w:val="24"/>
          <w:szCs w:val="24"/>
        </w:rPr>
        <w:t>Durante el periodo evaluado, el Ministerio desarrolló un conjunto de acciones orientadas a la prevención de riesgos laborales, el fortalecimiento del bienestar psicosocial y la promoción de entornos de trabajo saludables. Estas incluyeron el reporte y seguimiento de accidentes laborales, intervenciones psicosociales grupales, atenciones de orientación individual, capacitaciones en enfoque de discapacidad, actividades de promoción y prevención en el marco de los programas de vigilancia epidemiológica, visitas de seguimiento en modalidad de teletrabajo, pausas activas y la realización de simulacros, consolidando así una gestión integral de la salud y seguridad en el trabajo.</w:t>
      </w:r>
    </w:p>
    <w:p w:rsidRPr="00C140A0" w:rsidR="001423C8" w:rsidP="006A0A13" w:rsidRDefault="001423C8" w14:paraId="4E65E3EE" w14:textId="77777777">
      <w:pPr>
        <w:spacing w:after="0" w:line="360" w:lineRule="auto"/>
        <w:jc w:val="both"/>
        <w:rPr>
          <w:rFonts w:ascii="Verdana" w:hAnsi="Verdana"/>
          <w:sz w:val="24"/>
          <w:szCs w:val="24"/>
        </w:rPr>
      </w:pPr>
    </w:p>
    <w:p w:rsidRPr="001423C8" w:rsidR="00AD01AB" w:rsidP="001423C8" w:rsidRDefault="00AD01AB" w14:paraId="35E60B69" w14:textId="77777777">
      <w:pPr>
        <w:spacing w:after="0" w:line="240" w:lineRule="auto"/>
        <w:jc w:val="center"/>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Tabla</w:t>
      </w:r>
      <w:r w:rsidR="00E558DE">
        <w:rPr>
          <w:rFonts w:ascii="Verdana" w:hAnsi="Verdana" w:eastAsia="Times New Roman" w:cs="Times New Roman"/>
          <w:sz w:val="18"/>
          <w:szCs w:val="18"/>
          <w:lang w:eastAsia="es-MX"/>
        </w:rPr>
        <w:t xml:space="preserve"> No. 24.</w:t>
      </w:r>
      <w:r w:rsidRPr="001423C8">
        <w:rPr>
          <w:rFonts w:ascii="Verdana" w:hAnsi="Verdana" w:eastAsia="Times New Roman" w:cs="Times New Roman"/>
          <w:sz w:val="18"/>
          <w:szCs w:val="18"/>
          <w:lang w:eastAsia="es-MX"/>
        </w:rPr>
        <w:t xml:space="preserve"> Estadísticas SG-SST</w:t>
      </w:r>
    </w:p>
    <w:tbl>
      <w:tblPr>
        <w:tblW w:w="0" w:type="auto"/>
        <w:tblCellMar>
          <w:left w:w="70" w:type="dxa"/>
          <w:right w:w="70" w:type="dxa"/>
        </w:tblCellMar>
        <w:tblLook w:val="04A0" w:firstRow="1" w:lastRow="0" w:firstColumn="1" w:lastColumn="0" w:noHBand="0" w:noVBand="1"/>
      </w:tblPr>
      <w:tblGrid>
        <w:gridCol w:w="5568"/>
        <w:gridCol w:w="652"/>
        <w:gridCol w:w="652"/>
        <w:gridCol w:w="652"/>
        <w:gridCol w:w="652"/>
        <w:gridCol w:w="652"/>
      </w:tblGrid>
      <w:tr w:rsidRPr="001423C8" w:rsidR="00AD01AB" w:rsidTr="006A0A13" w14:paraId="4404DF31" w14:textId="77777777">
        <w:trPr>
          <w:trHeight w:val="392"/>
          <w:tblHeader/>
        </w:trPr>
        <w:tc>
          <w:tcPr>
            <w:tcW w:w="0" w:type="auto"/>
            <w:tcBorders>
              <w:top w:val="single" w:color="auto" w:sz="4" w:space="0"/>
              <w:left w:val="single" w:color="auto" w:sz="4" w:space="0"/>
              <w:bottom w:val="single" w:color="auto" w:sz="4" w:space="0"/>
              <w:right w:val="single" w:color="auto" w:sz="4" w:space="0"/>
            </w:tcBorders>
            <w:shd w:val="clear" w:color="auto" w:fill="A6A6A6" w:themeFill="background1" w:themeFillShade="A6"/>
            <w:noWrap/>
            <w:vAlign w:val="center"/>
            <w:hideMark/>
          </w:tcPr>
          <w:p w:rsidRPr="001423C8" w:rsidR="00AD01AB" w:rsidP="00E558DE" w:rsidRDefault="00AD01AB" w14:paraId="55508ED7" w14:textId="77777777">
            <w:pPr>
              <w:spacing w:after="0" w:line="240" w:lineRule="auto"/>
              <w:jc w:val="center"/>
              <w:rPr>
                <w:rFonts w:ascii="Verdana" w:hAnsi="Verdana" w:eastAsia="Times New Roman" w:cs="Arial"/>
                <w:b/>
                <w:bCs/>
                <w:color w:val="000000"/>
                <w:sz w:val="18"/>
                <w:szCs w:val="18"/>
                <w:lang w:eastAsia="es-CO"/>
              </w:rPr>
            </w:pPr>
            <w:r w:rsidRPr="001423C8">
              <w:rPr>
                <w:rFonts w:ascii="Verdana" w:hAnsi="Verdana" w:eastAsia="Times New Roman" w:cs="Arial"/>
                <w:b/>
                <w:bCs/>
                <w:color w:val="000000"/>
                <w:sz w:val="18"/>
                <w:szCs w:val="18"/>
                <w:lang w:eastAsia="es-CO"/>
              </w:rPr>
              <w:t>Acciones </w:t>
            </w:r>
          </w:p>
        </w:tc>
        <w:tc>
          <w:tcPr>
            <w:tcW w:w="0" w:type="auto"/>
            <w:tcBorders>
              <w:top w:val="single" w:color="auto" w:sz="4" w:space="0"/>
              <w:left w:val="nil"/>
              <w:bottom w:val="single" w:color="auto" w:sz="4" w:space="0"/>
              <w:right w:val="single" w:color="auto" w:sz="4" w:space="0"/>
            </w:tcBorders>
            <w:shd w:val="clear" w:color="auto" w:fill="A6A6A6" w:themeFill="background1" w:themeFillShade="A6"/>
            <w:noWrap/>
            <w:vAlign w:val="center"/>
            <w:hideMark/>
          </w:tcPr>
          <w:p w:rsidRPr="001423C8" w:rsidR="00AD01AB" w:rsidP="00E558DE" w:rsidRDefault="00AD01AB" w14:paraId="0E84A3D4" w14:textId="77777777">
            <w:pPr>
              <w:spacing w:after="0" w:line="240" w:lineRule="auto"/>
              <w:jc w:val="center"/>
              <w:rPr>
                <w:rFonts w:ascii="Verdana" w:hAnsi="Verdana" w:eastAsia="Times New Roman" w:cs="Arial"/>
                <w:b/>
                <w:bCs/>
                <w:color w:val="000000"/>
                <w:sz w:val="18"/>
                <w:szCs w:val="18"/>
                <w:lang w:eastAsia="es-CO"/>
              </w:rPr>
            </w:pPr>
            <w:r w:rsidRPr="001423C8">
              <w:rPr>
                <w:rFonts w:ascii="Verdana" w:hAnsi="Verdana" w:eastAsia="Times New Roman" w:cs="Arial"/>
                <w:b/>
                <w:bCs/>
                <w:color w:val="000000"/>
                <w:sz w:val="18"/>
                <w:szCs w:val="18"/>
                <w:lang w:eastAsia="es-CO"/>
              </w:rPr>
              <w:t>2022</w:t>
            </w:r>
          </w:p>
        </w:tc>
        <w:tc>
          <w:tcPr>
            <w:tcW w:w="0" w:type="auto"/>
            <w:tcBorders>
              <w:top w:val="single" w:color="auto" w:sz="4" w:space="0"/>
              <w:left w:val="nil"/>
              <w:bottom w:val="single" w:color="auto" w:sz="4" w:space="0"/>
              <w:right w:val="single" w:color="auto" w:sz="4" w:space="0"/>
            </w:tcBorders>
            <w:shd w:val="clear" w:color="auto" w:fill="A6A6A6" w:themeFill="background1" w:themeFillShade="A6"/>
            <w:noWrap/>
            <w:vAlign w:val="center"/>
            <w:hideMark/>
          </w:tcPr>
          <w:p w:rsidRPr="001423C8" w:rsidR="00AD01AB" w:rsidP="00E558DE" w:rsidRDefault="00AD01AB" w14:paraId="118DA7B4" w14:textId="77777777">
            <w:pPr>
              <w:spacing w:after="0" w:line="240" w:lineRule="auto"/>
              <w:jc w:val="center"/>
              <w:rPr>
                <w:rFonts w:ascii="Verdana" w:hAnsi="Verdana" w:eastAsia="Times New Roman" w:cs="Arial"/>
                <w:b/>
                <w:bCs/>
                <w:color w:val="000000"/>
                <w:sz w:val="18"/>
                <w:szCs w:val="18"/>
                <w:lang w:eastAsia="es-CO"/>
              </w:rPr>
            </w:pPr>
            <w:r w:rsidRPr="001423C8">
              <w:rPr>
                <w:rFonts w:ascii="Verdana" w:hAnsi="Verdana" w:eastAsia="Times New Roman" w:cs="Arial"/>
                <w:b/>
                <w:bCs/>
                <w:color w:val="000000"/>
                <w:sz w:val="18"/>
                <w:szCs w:val="18"/>
                <w:lang w:eastAsia="es-CO"/>
              </w:rPr>
              <w:t>2023</w:t>
            </w:r>
          </w:p>
        </w:tc>
        <w:tc>
          <w:tcPr>
            <w:tcW w:w="0" w:type="auto"/>
            <w:tcBorders>
              <w:top w:val="single" w:color="auto" w:sz="4" w:space="0"/>
              <w:left w:val="nil"/>
              <w:bottom w:val="single" w:color="auto" w:sz="4" w:space="0"/>
              <w:right w:val="single" w:color="auto" w:sz="4" w:space="0"/>
            </w:tcBorders>
            <w:shd w:val="clear" w:color="auto" w:fill="A6A6A6" w:themeFill="background1" w:themeFillShade="A6"/>
            <w:noWrap/>
            <w:vAlign w:val="center"/>
            <w:hideMark/>
          </w:tcPr>
          <w:p w:rsidRPr="001423C8" w:rsidR="00AD01AB" w:rsidP="00E558DE" w:rsidRDefault="00AD01AB" w14:paraId="026753E6" w14:textId="77777777">
            <w:pPr>
              <w:spacing w:after="0" w:line="240" w:lineRule="auto"/>
              <w:jc w:val="center"/>
              <w:rPr>
                <w:rFonts w:ascii="Verdana" w:hAnsi="Verdana" w:eastAsia="Times New Roman" w:cs="Arial"/>
                <w:b/>
                <w:bCs/>
                <w:color w:val="000000"/>
                <w:sz w:val="18"/>
                <w:szCs w:val="18"/>
                <w:lang w:eastAsia="es-CO"/>
              </w:rPr>
            </w:pPr>
            <w:r w:rsidRPr="001423C8">
              <w:rPr>
                <w:rFonts w:ascii="Verdana" w:hAnsi="Verdana" w:eastAsia="Times New Roman" w:cs="Arial"/>
                <w:b/>
                <w:bCs/>
                <w:color w:val="000000"/>
                <w:sz w:val="18"/>
                <w:szCs w:val="18"/>
                <w:lang w:eastAsia="es-CO"/>
              </w:rPr>
              <w:t>2024</w:t>
            </w:r>
          </w:p>
        </w:tc>
        <w:tc>
          <w:tcPr>
            <w:tcW w:w="0" w:type="auto"/>
            <w:tcBorders>
              <w:top w:val="single" w:color="auto" w:sz="4" w:space="0"/>
              <w:left w:val="nil"/>
              <w:bottom w:val="single" w:color="auto" w:sz="4" w:space="0"/>
              <w:right w:val="single" w:color="auto" w:sz="4" w:space="0"/>
            </w:tcBorders>
            <w:shd w:val="clear" w:color="auto" w:fill="A6A6A6" w:themeFill="background1" w:themeFillShade="A6"/>
            <w:noWrap/>
            <w:vAlign w:val="center"/>
            <w:hideMark/>
          </w:tcPr>
          <w:p w:rsidRPr="001423C8" w:rsidR="00AD01AB" w:rsidP="00E558DE" w:rsidRDefault="00AD01AB" w14:paraId="510A582D" w14:textId="77777777">
            <w:pPr>
              <w:spacing w:after="0" w:line="240" w:lineRule="auto"/>
              <w:jc w:val="center"/>
              <w:rPr>
                <w:rFonts w:ascii="Verdana" w:hAnsi="Verdana" w:eastAsia="Times New Roman" w:cs="Arial"/>
                <w:b/>
                <w:bCs/>
                <w:color w:val="000000"/>
                <w:sz w:val="18"/>
                <w:szCs w:val="18"/>
                <w:lang w:eastAsia="es-CO"/>
              </w:rPr>
            </w:pPr>
            <w:r w:rsidRPr="001423C8">
              <w:rPr>
                <w:rFonts w:ascii="Verdana" w:hAnsi="Verdana" w:eastAsia="Times New Roman" w:cs="Arial"/>
                <w:b/>
                <w:bCs/>
                <w:color w:val="000000"/>
                <w:sz w:val="18"/>
                <w:szCs w:val="18"/>
                <w:lang w:eastAsia="es-CO"/>
              </w:rPr>
              <w:t>2025</w:t>
            </w:r>
          </w:p>
        </w:tc>
        <w:tc>
          <w:tcPr>
            <w:tcW w:w="0" w:type="auto"/>
            <w:tcBorders>
              <w:top w:val="single" w:color="auto" w:sz="4" w:space="0"/>
              <w:left w:val="nil"/>
              <w:bottom w:val="single" w:color="auto" w:sz="4" w:space="0"/>
              <w:right w:val="single" w:color="auto" w:sz="4" w:space="0"/>
            </w:tcBorders>
            <w:shd w:val="clear" w:color="auto" w:fill="A6A6A6" w:themeFill="background1" w:themeFillShade="A6"/>
            <w:vAlign w:val="center"/>
            <w:hideMark/>
          </w:tcPr>
          <w:p w:rsidRPr="001423C8" w:rsidR="00AD01AB" w:rsidP="00E558DE" w:rsidRDefault="00AD01AB" w14:paraId="14E583FB" w14:textId="77777777">
            <w:pPr>
              <w:spacing w:after="0" w:line="240" w:lineRule="auto"/>
              <w:jc w:val="center"/>
              <w:rPr>
                <w:rFonts w:ascii="Verdana" w:hAnsi="Verdana" w:eastAsia="Times New Roman" w:cs="Arial"/>
                <w:b/>
                <w:bCs/>
                <w:color w:val="000000"/>
                <w:sz w:val="18"/>
                <w:szCs w:val="18"/>
                <w:lang w:eastAsia="es-CO"/>
              </w:rPr>
            </w:pPr>
            <w:r w:rsidRPr="001423C8">
              <w:rPr>
                <w:rFonts w:ascii="Verdana" w:hAnsi="Verdana" w:eastAsia="Times New Roman" w:cs="Arial"/>
                <w:b/>
                <w:bCs/>
                <w:color w:val="000000"/>
                <w:sz w:val="18"/>
                <w:szCs w:val="18"/>
                <w:lang w:eastAsia="es-CO"/>
              </w:rPr>
              <w:t>2026</w:t>
            </w:r>
          </w:p>
        </w:tc>
      </w:tr>
      <w:tr w:rsidRPr="001423C8" w:rsidR="00AD01AB" w:rsidTr="006A0A13" w14:paraId="356900F6" w14:textId="77777777">
        <w:trPr>
          <w:trHeight w:val="412"/>
        </w:trPr>
        <w:tc>
          <w:tcPr>
            <w:tcW w:w="0" w:type="auto"/>
            <w:tcBorders>
              <w:top w:val="nil"/>
              <w:left w:val="single" w:color="auto" w:sz="4" w:space="0"/>
              <w:bottom w:val="single" w:color="auto" w:sz="4" w:space="0"/>
              <w:right w:val="single" w:color="auto" w:sz="4" w:space="0"/>
            </w:tcBorders>
            <w:noWrap/>
            <w:vAlign w:val="center"/>
            <w:hideMark/>
          </w:tcPr>
          <w:p w:rsidRPr="001423C8" w:rsidR="00AD01AB" w:rsidP="00E558DE" w:rsidRDefault="00AD01AB" w14:paraId="09F33EAF" w14:textId="77777777">
            <w:pPr>
              <w:spacing w:after="0" w:line="240" w:lineRule="auto"/>
              <w:rPr>
                <w:rFonts w:ascii="Verdana" w:hAnsi="Verdana" w:eastAsia="Times New Roman" w:cs="Arial"/>
                <w:color w:val="000000"/>
                <w:sz w:val="18"/>
                <w:szCs w:val="18"/>
                <w:lang w:eastAsia="es-CO"/>
              </w:rPr>
            </w:pPr>
            <w:r w:rsidRPr="001423C8">
              <w:rPr>
                <w:rFonts w:ascii="Verdana" w:hAnsi="Verdana" w:eastAsia="Times New Roman" w:cs="Arial"/>
                <w:color w:val="000000"/>
                <w:sz w:val="18"/>
                <w:szCs w:val="18"/>
                <w:lang w:eastAsia="es-CO"/>
              </w:rPr>
              <w:t>Accidentes laborales reportados</w:t>
            </w:r>
          </w:p>
        </w:tc>
        <w:tc>
          <w:tcPr>
            <w:tcW w:w="0" w:type="auto"/>
            <w:tcBorders>
              <w:top w:val="nil"/>
              <w:left w:val="nil"/>
              <w:bottom w:val="single" w:color="auto" w:sz="4" w:space="0"/>
              <w:right w:val="single" w:color="auto" w:sz="4" w:space="0"/>
            </w:tcBorders>
            <w:noWrap/>
            <w:vAlign w:val="center"/>
            <w:hideMark/>
          </w:tcPr>
          <w:p w:rsidRPr="001423C8" w:rsidR="00AD01AB" w:rsidP="00E558DE" w:rsidRDefault="00AD01AB" w14:paraId="53B877EB" w14:textId="77777777">
            <w:pPr>
              <w:spacing w:after="0" w:line="240" w:lineRule="auto"/>
              <w:jc w:val="center"/>
              <w:rPr>
                <w:rFonts w:ascii="Verdana" w:hAnsi="Verdana" w:eastAsia="Times New Roman" w:cs="Arial"/>
                <w:color w:val="000000"/>
                <w:sz w:val="18"/>
                <w:szCs w:val="18"/>
                <w:lang w:eastAsia="es-CO"/>
              </w:rPr>
            </w:pPr>
            <w:r w:rsidRPr="001423C8">
              <w:rPr>
                <w:rFonts w:ascii="Verdana" w:hAnsi="Verdana" w:eastAsia="Times New Roman" w:cs="Arial"/>
                <w:color w:val="000000"/>
                <w:sz w:val="18"/>
                <w:szCs w:val="18"/>
                <w:lang w:eastAsia="es-CO"/>
              </w:rPr>
              <w:t>5</w:t>
            </w:r>
          </w:p>
        </w:tc>
        <w:tc>
          <w:tcPr>
            <w:tcW w:w="0" w:type="auto"/>
            <w:tcBorders>
              <w:top w:val="nil"/>
              <w:left w:val="nil"/>
              <w:bottom w:val="single" w:color="auto" w:sz="4" w:space="0"/>
              <w:right w:val="single" w:color="auto" w:sz="4" w:space="0"/>
            </w:tcBorders>
            <w:noWrap/>
            <w:vAlign w:val="center"/>
            <w:hideMark/>
          </w:tcPr>
          <w:p w:rsidRPr="001423C8" w:rsidR="00AD01AB" w:rsidP="00E558DE" w:rsidRDefault="00AD01AB" w14:paraId="66DD62FC" w14:textId="77777777">
            <w:pPr>
              <w:spacing w:after="0" w:line="240" w:lineRule="auto"/>
              <w:jc w:val="center"/>
              <w:rPr>
                <w:rFonts w:ascii="Verdana" w:hAnsi="Verdana" w:eastAsia="Times New Roman" w:cs="Arial"/>
                <w:color w:val="000000"/>
                <w:sz w:val="18"/>
                <w:szCs w:val="18"/>
                <w:lang w:eastAsia="es-CO"/>
              </w:rPr>
            </w:pPr>
            <w:r w:rsidRPr="001423C8">
              <w:rPr>
                <w:rFonts w:ascii="Verdana" w:hAnsi="Verdana" w:eastAsia="Times New Roman" w:cs="Arial"/>
                <w:color w:val="000000"/>
                <w:sz w:val="18"/>
                <w:szCs w:val="18"/>
                <w:lang w:eastAsia="es-CO"/>
              </w:rPr>
              <w:t>4</w:t>
            </w:r>
          </w:p>
        </w:tc>
        <w:tc>
          <w:tcPr>
            <w:tcW w:w="0" w:type="auto"/>
            <w:tcBorders>
              <w:top w:val="nil"/>
              <w:left w:val="nil"/>
              <w:bottom w:val="single" w:color="auto" w:sz="4" w:space="0"/>
              <w:right w:val="single" w:color="auto" w:sz="4" w:space="0"/>
            </w:tcBorders>
            <w:noWrap/>
            <w:vAlign w:val="center"/>
            <w:hideMark/>
          </w:tcPr>
          <w:p w:rsidRPr="001423C8" w:rsidR="00AD01AB" w:rsidP="00E558DE" w:rsidRDefault="00AD01AB" w14:paraId="562B5DF9" w14:textId="77777777">
            <w:pPr>
              <w:spacing w:after="0" w:line="240" w:lineRule="auto"/>
              <w:jc w:val="center"/>
              <w:rPr>
                <w:rFonts w:ascii="Verdana" w:hAnsi="Verdana" w:eastAsia="Times New Roman" w:cs="Arial"/>
                <w:color w:val="000000"/>
                <w:sz w:val="18"/>
                <w:szCs w:val="18"/>
                <w:lang w:eastAsia="es-CO"/>
              </w:rPr>
            </w:pPr>
            <w:r w:rsidRPr="001423C8">
              <w:rPr>
                <w:rFonts w:ascii="Verdana" w:hAnsi="Verdana" w:eastAsia="Times New Roman" w:cs="Arial"/>
                <w:color w:val="000000"/>
                <w:sz w:val="18"/>
                <w:szCs w:val="18"/>
                <w:lang w:eastAsia="es-CO"/>
              </w:rPr>
              <w:t>3</w:t>
            </w:r>
          </w:p>
        </w:tc>
        <w:tc>
          <w:tcPr>
            <w:tcW w:w="0" w:type="auto"/>
            <w:tcBorders>
              <w:top w:val="nil"/>
              <w:left w:val="nil"/>
              <w:bottom w:val="single" w:color="auto" w:sz="4" w:space="0"/>
              <w:right w:val="single" w:color="auto" w:sz="4" w:space="0"/>
            </w:tcBorders>
            <w:noWrap/>
            <w:vAlign w:val="center"/>
            <w:hideMark/>
          </w:tcPr>
          <w:p w:rsidRPr="001423C8" w:rsidR="00AD01AB" w:rsidP="00E558DE" w:rsidRDefault="00AD01AB" w14:paraId="58C10008" w14:textId="77777777">
            <w:pPr>
              <w:spacing w:after="0" w:line="240" w:lineRule="auto"/>
              <w:jc w:val="center"/>
              <w:rPr>
                <w:rFonts w:ascii="Verdana" w:hAnsi="Verdana" w:eastAsia="Times New Roman" w:cs="Arial"/>
                <w:color w:val="000000"/>
                <w:sz w:val="18"/>
                <w:szCs w:val="18"/>
                <w:lang w:eastAsia="es-CO"/>
              </w:rPr>
            </w:pPr>
            <w:r w:rsidRPr="001423C8">
              <w:rPr>
                <w:rFonts w:ascii="Verdana" w:hAnsi="Verdana" w:eastAsia="Times New Roman" w:cs="Arial"/>
                <w:color w:val="000000"/>
                <w:sz w:val="18"/>
                <w:szCs w:val="18"/>
                <w:lang w:eastAsia="es-CO"/>
              </w:rPr>
              <w:t>10</w:t>
            </w:r>
          </w:p>
        </w:tc>
        <w:tc>
          <w:tcPr>
            <w:tcW w:w="0" w:type="auto"/>
            <w:tcBorders>
              <w:top w:val="nil"/>
              <w:left w:val="nil"/>
              <w:bottom w:val="single" w:color="auto" w:sz="4" w:space="0"/>
              <w:right w:val="single" w:color="auto" w:sz="4" w:space="0"/>
            </w:tcBorders>
            <w:noWrap/>
            <w:vAlign w:val="center"/>
            <w:hideMark/>
          </w:tcPr>
          <w:p w:rsidRPr="001423C8" w:rsidR="00AD01AB" w:rsidP="00E558DE" w:rsidRDefault="00AD01AB" w14:paraId="7F2B264B" w14:textId="77777777">
            <w:pPr>
              <w:spacing w:after="0" w:line="240" w:lineRule="auto"/>
              <w:jc w:val="center"/>
              <w:rPr>
                <w:rFonts w:ascii="Verdana" w:hAnsi="Verdana" w:eastAsia="Times New Roman" w:cs="Arial"/>
                <w:color w:val="000000"/>
                <w:sz w:val="18"/>
                <w:szCs w:val="18"/>
                <w:lang w:eastAsia="es-CO"/>
              </w:rPr>
            </w:pPr>
            <w:r w:rsidRPr="001423C8">
              <w:rPr>
                <w:rFonts w:ascii="Verdana" w:hAnsi="Verdana" w:eastAsia="Times New Roman" w:cs="Arial"/>
                <w:color w:val="000000"/>
                <w:sz w:val="18"/>
                <w:szCs w:val="18"/>
                <w:lang w:eastAsia="es-CO"/>
              </w:rPr>
              <w:t>2</w:t>
            </w:r>
          </w:p>
        </w:tc>
      </w:tr>
      <w:tr w:rsidRPr="001423C8" w:rsidR="00AD01AB" w:rsidTr="006A0A13" w14:paraId="3918C9C3" w14:textId="77777777">
        <w:trPr>
          <w:trHeight w:val="407"/>
        </w:trPr>
        <w:tc>
          <w:tcPr>
            <w:tcW w:w="0" w:type="auto"/>
            <w:tcBorders>
              <w:top w:val="nil"/>
              <w:left w:val="single" w:color="auto" w:sz="4" w:space="0"/>
              <w:bottom w:val="single" w:color="auto" w:sz="4" w:space="0"/>
              <w:right w:val="single" w:color="auto" w:sz="4" w:space="0"/>
            </w:tcBorders>
            <w:vAlign w:val="center"/>
            <w:hideMark/>
          </w:tcPr>
          <w:p w:rsidRPr="001423C8" w:rsidR="00AD01AB" w:rsidP="00E558DE" w:rsidRDefault="00AD01AB" w14:paraId="18569EA2" w14:textId="77777777">
            <w:pPr>
              <w:spacing w:after="0" w:line="240" w:lineRule="auto"/>
              <w:rPr>
                <w:rFonts w:ascii="Verdana" w:hAnsi="Verdana" w:eastAsia="Times New Roman" w:cs="Arial"/>
                <w:color w:val="1B1C1D"/>
                <w:sz w:val="18"/>
                <w:szCs w:val="18"/>
                <w:lang w:eastAsia="es-CO"/>
              </w:rPr>
            </w:pPr>
            <w:r w:rsidRPr="001423C8">
              <w:rPr>
                <w:rFonts w:ascii="Verdana" w:hAnsi="Verdana" w:eastAsia="Times New Roman" w:cs="Arial"/>
                <w:color w:val="1B1C1D"/>
                <w:sz w:val="18"/>
                <w:szCs w:val="18"/>
                <w:lang w:eastAsia="es-CO"/>
              </w:rPr>
              <w:t>Intervenciones psicosociales grupales (charlas, talleres)</w:t>
            </w:r>
          </w:p>
        </w:tc>
        <w:tc>
          <w:tcPr>
            <w:tcW w:w="0" w:type="auto"/>
            <w:tcBorders>
              <w:top w:val="nil"/>
              <w:left w:val="nil"/>
              <w:bottom w:val="single" w:color="auto" w:sz="4" w:space="0"/>
              <w:right w:val="single" w:color="auto" w:sz="4" w:space="0"/>
            </w:tcBorders>
            <w:noWrap/>
            <w:vAlign w:val="center"/>
            <w:hideMark/>
          </w:tcPr>
          <w:p w:rsidRPr="001423C8" w:rsidR="00AD01AB" w:rsidP="00E558DE" w:rsidRDefault="00AD01AB" w14:paraId="4E106858" w14:textId="77777777">
            <w:pPr>
              <w:spacing w:after="0" w:line="240" w:lineRule="auto"/>
              <w:jc w:val="center"/>
              <w:rPr>
                <w:rFonts w:ascii="Verdana" w:hAnsi="Verdana" w:eastAsia="Times New Roman" w:cs="Arial"/>
                <w:color w:val="000000"/>
                <w:sz w:val="18"/>
                <w:szCs w:val="18"/>
                <w:lang w:eastAsia="es-CO"/>
              </w:rPr>
            </w:pPr>
            <w:r w:rsidRPr="001423C8">
              <w:rPr>
                <w:rFonts w:ascii="Verdana" w:hAnsi="Verdana" w:eastAsia="Times New Roman" w:cs="Arial"/>
                <w:color w:val="000000"/>
                <w:sz w:val="18"/>
                <w:szCs w:val="18"/>
                <w:lang w:eastAsia="es-CO"/>
              </w:rPr>
              <w:t>2</w:t>
            </w:r>
          </w:p>
        </w:tc>
        <w:tc>
          <w:tcPr>
            <w:tcW w:w="0" w:type="auto"/>
            <w:tcBorders>
              <w:top w:val="nil"/>
              <w:left w:val="nil"/>
              <w:bottom w:val="single" w:color="auto" w:sz="4" w:space="0"/>
              <w:right w:val="single" w:color="auto" w:sz="4" w:space="0"/>
            </w:tcBorders>
            <w:noWrap/>
            <w:vAlign w:val="center"/>
            <w:hideMark/>
          </w:tcPr>
          <w:p w:rsidRPr="001423C8" w:rsidR="00AD01AB" w:rsidP="00E558DE" w:rsidRDefault="00AD01AB" w14:paraId="667FDA59" w14:textId="77777777">
            <w:pPr>
              <w:spacing w:after="0" w:line="240" w:lineRule="auto"/>
              <w:jc w:val="center"/>
              <w:rPr>
                <w:rFonts w:ascii="Verdana" w:hAnsi="Verdana" w:eastAsia="Times New Roman" w:cs="Arial"/>
                <w:color w:val="000000"/>
                <w:sz w:val="18"/>
                <w:szCs w:val="18"/>
                <w:lang w:eastAsia="es-CO"/>
              </w:rPr>
            </w:pPr>
            <w:r w:rsidRPr="001423C8">
              <w:rPr>
                <w:rFonts w:ascii="Verdana" w:hAnsi="Verdana" w:eastAsia="Times New Roman" w:cs="Arial"/>
                <w:color w:val="000000"/>
                <w:sz w:val="18"/>
                <w:szCs w:val="18"/>
                <w:lang w:eastAsia="es-CO"/>
              </w:rPr>
              <w:t>3</w:t>
            </w:r>
          </w:p>
        </w:tc>
        <w:tc>
          <w:tcPr>
            <w:tcW w:w="0" w:type="auto"/>
            <w:tcBorders>
              <w:top w:val="nil"/>
              <w:left w:val="nil"/>
              <w:bottom w:val="single" w:color="auto" w:sz="4" w:space="0"/>
              <w:right w:val="single" w:color="auto" w:sz="4" w:space="0"/>
            </w:tcBorders>
            <w:noWrap/>
            <w:vAlign w:val="center"/>
            <w:hideMark/>
          </w:tcPr>
          <w:p w:rsidRPr="001423C8" w:rsidR="00AD01AB" w:rsidP="00E558DE" w:rsidRDefault="00AD01AB" w14:paraId="51E87521" w14:textId="77777777">
            <w:pPr>
              <w:spacing w:after="0" w:line="240" w:lineRule="auto"/>
              <w:jc w:val="center"/>
              <w:rPr>
                <w:rFonts w:ascii="Verdana" w:hAnsi="Verdana" w:eastAsia="Times New Roman" w:cs="Arial"/>
                <w:color w:val="000000"/>
                <w:sz w:val="18"/>
                <w:szCs w:val="18"/>
                <w:lang w:eastAsia="es-CO"/>
              </w:rPr>
            </w:pPr>
            <w:r w:rsidRPr="001423C8">
              <w:rPr>
                <w:rFonts w:ascii="Verdana" w:hAnsi="Verdana" w:eastAsia="Times New Roman" w:cs="Arial"/>
                <w:color w:val="000000"/>
                <w:sz w:val="18"/>
                <w:szCs w:val="18"/>
                <w:lang w:eastAsia="es-CO"/>
              </w:rPr>
              <w:t>15</w:t>
            </w:r>
          </w:p>
        </w:tc>
        <w:tc>
          <w:tcPr>
            <w:tcW w:w="0" w:type="auto"/>
            <w:tcBorders>
              <w:top w:val="nil"/>
              <w:left w:val="nil"/>
              <w:bottom w:val="single" w:color="auto" w:sz="4" w:space="0"/>
              <w:right w:val="single" w:color="auto" w:sz="4" w:space="0"/>
            </w:tcBorders>
            <w:noWrap/>
            <w:vAlign w:val="center"/>
            <w:hideMark/>
          </w:tcPr>
          <w:p w:rsidRPr="001423C8" w:rsidR="00AD01AB" w:rsidP="00E558DE" w:rsidRDefault="00AD01AB" w14:paraId="5DE242EF" w14:textId="77777777">
            <w:pPr>
              <w:spacing w:after="0" w:line="240" w:lineRule="auto"/>
              <w:jc w:val="center"/>
              <w:rPr>
                <w:rFonts w:ascii="Verdana" w:hAnsi="Verdana" w:eastAsia="Times New Roman" w:cs="Arial"/>
                <w:color w:val="000000"/>
                <w:sz w:val="18"/>
                <w:szCs w:val="18"/>
                <w:lang w:eastAsia="es-CO"/>
              </w:rPr>
            </w:pPr>
            <w:r w:rsidRPr="001423C8">
              <w:rPr>
                <w:rFonts w:ascii="Verdana" w:hAnsi="Verdana" w:eastAsia="Times New Roman" w:cs="Arial"/>
                <w:color w:val="000000"/>
                <w:sz w:val="18"/>
                <w:szCs w:val="18"/>
                <w:lang w:eastAsia="es-CO"/>
              </w:rPr>
              <w:t>10</w:t>
            </w:r>
          </w:p>
        </w:tc>
        <w:tc>
          <w:tcPr>
            <w:tcW w:w="0" w:type="auto"/>
            <w:tcBorders>
              <w:top w:val="nil"/>
              <w:left w:val="nil"/>
              <w:bottom w:val="single" w:color="auto" w:sz="4" w:space="0"/>
              <w:right w:val="single" w:color="auto" w:sz="4" w:space="0"/>
            </w:tcBorders>
            <w:noWrap/>
            <w:vAlign w:val="center"/>
            <w:hideMark/>
          </w:tcPr>
          <w:p w:rsidRPr="001423C8" w:rsidR="00AD01AB" w:rsidP="00E558DE" w:rsidRDefault="00AD01AB" w14:paraId="4C2EC3C2" w14:textId="77777777">
            <w:pPr>
              <w:spacing w:after="0" w:line="240" w:lineRule="auto"/>
              <w:jc w:val="center"/>
              <w:rPr>
                <w:rFonts w:ascii="Verdana" w:hAnsi="Verdana" w:eastAsia="Times New Roman" w:cs="Arial"/>
                <w:color w:val="000000"/>
                <w:sz w:val="18"/>
                <w:szCs w:val="18"/>
                <w:lang w:eastAsia="es-CO"/>
              </w:rPr>
            </w:pPr>
            <w:r w:rsidRPr="001423C8">
              <w:rPr>
                <w:rFonts w:ascii="Verdana" w:hAnsi="Verdana" w:eastAsia="Times New Roman" w:cs="Arial"/>
                <w:color w:val="000000"/>
                <w:sz w:val="18"/>
                <w:szCs w:val="18"/>
                <w:lang w:eastAsia="es-CO"/>
              </w:rPr>
              <w:t>2</w:t>
            </w:r>
          </w:p>
        </w:tc>
      </w:tr>
      <w:tr w:rsidRPr="001423C8" w:rsidR="00AD01AB" w:rsidTr="006A0A13" w14:paraId="06024971" w14:textId="77777777">
        <w:trPr>
          <w:trHeight w:val="330"/>
        </w:trPr>
        <w:tc>
          <w:tcPr>
            <w:tcW w:w="0" w:type="auto"/>
            <w:tcBorders>
              <w:top w:val="nil"/>
              <w:left w:val="single" w:color="auto" w:sz="4" w:space="0"/>
              <w:bottom w:val="single" w:color="auto" w:sz="4" w:space="0"/>
              <w:right w:val="single" w:color="auto" w:sz="4" w:space="0"/>
            </w:tcBorders>
            <w:vAlign w:val="center"/>
            <w:hideMark/>
          </w:tcPr>
          <w:p w:rsidRPr="001423C8" w:rsidR="00AD01AB" w:rsidP="00E558DE" w:rsidRDefault="00AD01AB" w14:paraId="070100FB" w14:textId="77777777">
            <w:pPr>
              <w:spacing w:after="0" w:line="240" w:lineRule="auto"/>
              <w:rPr>
                <w:rFonts w:ascii="Verdana" w:hAnsi="Verdana" w:eastAsia="Times New Roman" w:cs="Arial"/>
                <w:color w:val="1B1C1D"/>
                <w:sz w:val="18"/>
                <w:szCs w:val="18"/>
                <w:lang w:eastAsia="es-CO"/>
              </w:rPr>
            </w:pPr>
            <w:r w:rsidRPr="001423C8">
              <w:rPr>
                <w:rFonts w:ascii="Verdana" w:hAnsi="Verdana" w:eastAsia="Times New Roman" w:cs="Arial"/>
                <w:color w:val="1B1C1D"/>
                <w:sz w:val="18"/>
                <w:szCs w:val="18"/>
                <w:lang w:eastAsia="es-CO"/>
              </w:rPr>
              <w:t>Atenciones Orientación Individual</w:t>
            </w:r>
          </w:p>
        </w:tc>
        <w:tc>
          <w:tcPr>
            <w:tcW w:w="0" w:type="auto"/>
            <w:tcBorders>
              <w:top w:val="nil"/>
              <w:left w:val="nil"/>
              <w:bottom w:val="single" w:color="auto" w:sz="4" w:space="0"/>
              <w:right w:val="single" w:color="auto" w:sz="4" w:space="0"/>
            </w:tcBorders>
            <w:noWrap/>
            <w:vAlign w:val="center"/>
            <w:hideMark/>
          </w:tcPr>
          <w:p w:rsidRPr="001423C8" w:rsidR="00AD01AB" w:rsidP="00E558DE" w:rsidRDefault="00AD01AB" w14:paraId="4C8F4711" w14:textId="77777777">
            <w:pPr>
              <w:spacing w:after="0" w:line="240" w:lineRule="auto"/>
              <w:jc w:val="center"/>
              <w:rPr>
                <w:rFonts w:ascii="Verdana" w:hAnsi="Verdana" w:eastAsia="Times New Roman" w:cs="Arial"/>
                <w:color w:val="000000"/>
                <w:sz w:val="18"/>
                <w:szCs w:val="18"/>
                <w:lang w:eastAsia="es-CO"/>
              </w:rPr>
            </w:pPr>
            <w:r w:rsidRPr="001423C8">
              <w:rPr>
                <w:rFonts w:ascii="Verdana" w:hAnsi="Verdana" w:eastAsia="Times New Roman" w:cs="Arial"/>
                <w:color w:val="000000"/>
                <w:sz w:val="18"/>
                <w:szCs w:val="18"/>
                <w:lang w:eastAsia="es-CO"/>
              </w:rPr>
              <w:t>5</w:t>
            </w:r>
          </w:p>
        </w:tc>
        <w:tc>
          <w:tcPr>
            <w:tcW w:w="0" w:type="auto"/>
            <w:tcBorders>
              <w:top w:val="nil"/>
              <w:left w:val="nil"/>
              <w:bottom w:val="single" w:color="auto" w:sz="4" w:space="0"/>
              <w:right w:val="single" w:color="auto" w:sz="4" w:space="0"/>
            </w:tcBorders>
            <w:noWrap/>
            <w:vAlign w:val="center"/>
            <w:hideMark/>
          </w:tcPr>
          <w:p w:rsidRPr="001423C8" w:rsidR="00AD01AB" w:rsidP="00E558DE" w:rsidRDefault="00AD01AB" w14:paraId="2FA6459F" w14:textId="77777777">
            <w:pPr>
              <w:spacing w:after="0" w:line="240" w:lineRule="auto"/>
              <w:jc w:val="center"/>
              <w:rPr>
                <w:rFonts w:ascii="Verdana" w:hAnsi="Verdana" w:eastAsia="Times New Roman" w:cs="Arial"/>
                <w:color w:val="000000"/>
                <w:sz w:val="18"/>
                <w:szCs w:val="18"/>
                <w:lang w:eastAsia="es-CO"/>
              </w:rPr>
            </w:pPr>
            <w:r w:rsidRPr="001423C8">
              <w:rPr>
                <w:rFonts w:ascii="Verdana" w:hAnsi="Verdana" w:eastAsia="Times New Roman" w:cs="Arial"/>
                <w:color w:val="000000"/>
                <w:sz w:val="18"/>
                <w:szCs w:val="18"/>
                <w:lang w:eastAsia="es-CO"/>
              </w:rPr>
              <w:t>10</w:t>
            </w:r>
          </w:p>
        </w:tc>
        <w:tc>
          <w:tcPr>
            <w:tcW w:w="0" w:type="auto"/>
            <w:tcBorders>
              <w:top w:val="nil"/>
              <w:left w:val="nil"/>
              <w:bottom w:val="single" w:color="auto" w:sz="4" w:space="0"/>
              <w:right w:val="single" w:color="auto" w:sz="4" w:space="0"/>
            </w:tcBorders>
            <w:vAlign w:val="center"/>
            <w:hideMark/>
          </w:tcPr>
          <w:p w:rsidRPr="001423C8" w:rsidR="00AD01AB" w:rsidP="00E558DE" w:rsidRDefault="00AD01AB" w14:paraId="18C9B490" w14:textId="77777777">
            <w:pPr>
              <w:spacing w:after="0" w:line="240" w:lineRule="auto"/>
              <w:jc w:val="center"/>
              <w:rPr>
                <w:rFonts w:ascii="Verdana" w:hAnsi="Verdana" w:eastAsia="Times New Roman" w:cs="Arial"/>
                <w:color w:val="000000"/>
                <w:sz w:val="18"/>
                <w:szCs w:val="18"/>
                <w:lang w:eastAsia="es-CO"/>
              </w:rPr>
            </w:pPr>
            <w:r w:rsidRPr="001423C8">
              <w:rPr>
                <w:rFonts w:ascii="Verdana" w:hAnsi="Verdana" w:eastAsia="Times New Roman" w:cs="Arial"/>
                <w:color w:val="000000"/>
                <w:sz w:val="18"/>
                <w:szCs w:val="18"/>
                <w:lang w:eastAsia="es-CO"/>
              </w:rPr>
              <w:t>76</w:t>
            </w:r>
          </w:p>
        </w:tc>
        <w:tc>
          <w:tcPr>
            <w:tcW w:w="0" w:type="auto"/>
            <w:tcBorders>
              <w:top w:val="nil"/>
              <w:left w:val="nil"/>
              <w:bottom w:val="single" w:color="auto" w:sz="4" w:space="0"/>
              <w:right w:val="single" w:color="auto" w:sz="4" w:space="0"/>
            </w:tcBorders>
            <w:vAlign w:val="center"/>
            <w:hideMark/>
          </w:tcPr>
          <w:p w:rsidRPr="001423C8" w:rsidR="00AD01AB" w:rsidP="00E558DE" w:rsidRDefault="00AD01AB" w14:paraId="0D20BCF3" w14:textId="77777777">
            <w:pPr>
              <w:spacing w:after="0" w:line="240" w:lineRule="auto"/>
              <w:jc w:val="center"/>
              <w:rPr>
                <w:rFonts w:ascii="Verdana" w:hAnsi="Verdana" w:eastAsia="Times New Roman" w:cs="Arial"/>
                <w:color w:val="000000"/>
                <w:sz w:val="18"/>
                <w:szCs w:val="18"/>
                <w:lang w:eastAsia="es-CO"/>
              </w:rPr>
            </w:pPr>
            <w:r w:rsidRPr="001423C8">
              <w:rPr>
                <w:rFonts w:ascii="Verdana" w:hAnsi="Verdana" w:eastAsia="Times New Roman" w:cs="Arial"/>
                <w:color w:val="000000"/>
                <w:sz w:val="18"/>
                <w:szCs w:val="18"/>
                <w:lang w:eastAsia="es-CO"/>
              </w:rPr>
              <w:t>38</w:t>
            </w:r>
          </w:p>
        </w:tc>
        <w:tc>
          <w:tcPr>
            <w:tcW w:w="0" w:type="auto"/>
            <w:tcBorders>
              <w:top w:val="nil"/>
              <w:left w:val="nil"/>
              <w:bottom w:val="single" w:color="auto" w:sz="4" w:space="0"/>
              <w:right w:val="single" w:color="auto" w:sz="4" w:space="0"/>
            </w:tcBorders>
            <w:vAlign w:val="center"/>
            <w:hideMark/>
          </w:tcPr>
          <w:p w:rsidRPr="001423C8" w:rsidR="00AD01AB" w:rsidP="00E558DE" w:rsidRDefault="00AD01AB" w14:paraId="3BFD7871" w14:textId="77777777">
            <w:pPr>
              <w:spacing w:after="0" w:line="240" w:lineRule="auto"/>
              <w:jc w:val="center"/>
              <w:rPr>
                <w:rFonts w:ascii="Verdana" w:hAnsi="Verdana" w:eastAsia="Times New Roman" w:cs="Arial"/>
                <w:color w:val="000000"/>
                <w:sz w:val="18"/>
                <w:szCs w:val="18"/>
                <w:lang w:eastAsia="es-CO"/>
              </w:rPr>
            </w:pPr>
            <w:r w:rsidRPr="001423C8">
              <w:rPr>
                <w:rFonts w:ascii="Verdana" w:hAnsi="Verdana" w:eastAsia="Times New Roman" w:cs="Arial"/>
                <w:color w:val="000000"/>
                <w:sz w:val="18"/>
                <w:szCs w:val="18"/>
                <w:lang w:eastAsia="es-CO"/>
              </w:rPr>
              <w:t>25</w:t>
            </w:r>
          </w:p>
        </w:tc>
      </w:tr>
      <w:tr w:rsidRPr="001423C8" w:rsidR="00AD01AB" w:rsidTr="006A0A13" w14:paraId="43DE0F2D" w14:textId="77777777">
        <w:trPr>
          <w:trHeight w:val="328"/>
        </w:trPr>
        <w:tc>
          <w:tcPr>
            <w:tcW w:w="0" w:type="auto"/>
            <w:tcBorders>
              <w:top w:val="nil"/>
              <w:left w:val="single" w:color="auto" w:sz="4" w:space="0"/>
              <w:bottom w:val="single" w:color="auto" w:sz="4" w:space="0"/>
              <w:right w:val="single" w:color="auto" w:sz="4" w:space="0"/>
            </w:tcBorders>
            <w:vAlign w:val="center"/>
            <w:hideMark/>
          </w:tcPr>
          <w:p w:rsidRPr="001423C8" w:rsidR="00AD01AB" w:rsidP="00E558DE" w:rsidRDefault="00AD01AB" w14:paraId="20C824FB" w14:textId="77777777">
            <w:pPr>
              <w:spacing w:after="0" w:line="240" w:lineRule="auto"/>
              <w:rPr>
                <w:rFonts w:ascii="Verdana" w:hAnsi="Verdana" w:eastAsia="Times New Roman" w:cs="Arial"/>
                <w:color w:val="1B1C1D"/>
                <w:sz w:val="18"/>
                <w:szCs w:val="18"/>
                <w:lang w:eastAsia="es-CO"/>
              </w:rPr>
            </w:pPr>
            <w:r w:rsidRPr="001423C8">
              <w:rPr>
                <w:rFonts w:ascii="Verdana" w:hAnsi="Verdana" w:eastAsia="Times New Roman" w:cs="Arial"/>
                <w:color w:val="1B1C1D"/>
                <w:sz w:val="18"/>
                <w:szCs w:val="18"/>
                <w:lang w:eastAsia="es-CO"/>
              </w:rPr>
              <w:t>Capacitaciones Discapacidad (sesiones)</w:t>
            </w:r>
          </w:p>
        </w:tc>
        <w:tc>
          <w:tcPr>
            <w:tcW w:w="0" w:type="auto"/>
            <w:tcBorders>
              <w:top w:val="nil"/>
              <w:left w:val="nil"/>
              <w:bottom w:val="single" w:color="auto" w:sz="4" w:space="0"/>
              <w:right w:val="single" w:color="auto" w:sz="4" w:space="0"/>
            </w:tcBorders>
            <w:noWrap/>
            <w:vAlign w:val="center"/>
            <w:hideMark/>
          </w:tcPr>
          <w:p w:rsidRPr="001423C8" w:rsidR="00AD01AB" w:rsidP="00E558DE" w:rsidRDefault="00AD01AB" w14:paraId="393F7C1D" w14:textId="77777777">
            <w:pPr>
              <w:spacing w:after="0" w:line="240" w:lineRule="auto"/>
              <w:jc w:val="center"/>
              <w:rPr>
                <w:rFonts w:ascii="Verdana" w:hAnsi="Verdana" w:eastAsia="Times New Roman" w:cs="Arial"/>
                <w:color w:val="000000"/>
                <w:sz w:val="18"/>
                <w:szCs w:val="18"/>
                <w:lang w:eastAsia="es-CO"/>
              </w:rPr>
            </w:pPr>
            <w:r w:rsidRPr="001423C8">
              <w:rPr>
                <w:rFonts w:ascii="Verdana" w:hAnsi="Verdana" w:eastAsia="Times New Roman" w:cs="Arial"/>
                <w:color w:val="000000"/>
                <w:sz w:val="18"/>
                <w:szCs w:val="18"/>
                <w:lang w:eastAsia="es-CO"/>
              </w:rPr>
              <w:t>2</w:t>
            </w:r>
          </w:p>
        </w:tc>
        <w:tc>
          <w:tcPr>
            <w:tcW w:w="0" w:type="auto"/>
            <w:tcBorders>
              <w:top w:val="nil"/>
              <w:left w:val="nil"/>
              <w:bottom w:val="single" w:color="auto" w:sz="4" w:space="0"/>
              <w:right w:val="single" w:color="auto" w:sz="4" w:space="0"/>
            </w:tcBorders>
            <w:noWrap/>
            <w:vAlign w:val="center"/>
            <w:hideMark/>
          </w:tcPr>
          <w:p w:rsidRPr="001423C8" w:rsidR="00AD01AB" w:rsidP="00E558DE" w:rsidRDefault="00AD01AB" w14:paraId="53893096" w14:textId="77777777">
            <w:pPr>
              <w:spacing w:after="0" w:line="240" w:lineRule="auto"/>
              <w:jc w:val="center"/>
              <w:rPr>
                <w:rFonts w:ascii="Verdana" w:hAnsi="Verdana" w:eastAsia="Times New Roman" w:cs="Arial"/>
                <w:color w:val="000000"/>
                <w:sz w:val="18"/>
                <w:szCs w:val="18"/>
                <w:lang w:eastAsia="es-CO"/>
              </w:rPr>
            </w:pPr>
            <w:r w:rsidRPr="001423C8">
              <w:rPr>
                <w:rFonts w:ascii="Verdana" w:hAnsi="Verdana" w:eastAsia="Times New Roman" w:cs="Arial"/>
                <w:color w:val="000000"/>
                <w:sz w:val="18"/>
                <w:szCs w:val="18"/>
                <w:lang w:eastAsia="es-CO"/>
              </w:rPr>
              <w:t>3</w:t>
            </w:r>
          </w:p>
        </w:tc>
        <w:tc>
          <w:tcPr>
            <w:tcW w:w="0" w:type="auto"/>
            <w:tcBorders>
              <w:top w:val="nil"/>
              <w:left w:val="nil"/>
              <w:bottom w:val="single" w:color="auto" w:sz="4" w:space="0"/>
              <w:right w:val="single" w:color="auto" w:sz="4" w:space="0"/>
            </w:tcBorders>
            <w:vAlign w:val="center"/>
            <w:hideMark/>
          </w:tcPr>
          <w:p w:rsidRPr="001423C8" w:rsidR="00AD01AB" w:rsidP="00E558DE" w:rsidRDefault="00AD01AB" w14:paraId="5119D258" w14:textId="77777777">
            <w:pPr>
              <w:spacing w:after="0" w:line="240" w:lineRule="auto"/>
              <w:jc w:val="center"/>
              <w:rPr>
                <w:rFonts w:ascii="Verdana" w:hAnsi="Verdana" w:eastAsia="Times New Roman" w:cs="Arial"/>
                <w:color w:val="000000"/>
                <w:sz w:val="18"/>
                <w:szCs w:val="18"/>
                <w:lang w:eastAsia="es-CO"/>
              </w:rPr>
            </w:pPr>
            <w:r w:rsidRPr="001423C8">
              <w:rPr>
                <w:rFonts w:ascii="Verdana" w:hAnsi="Verdana" w:eastAsia="Times New Roman" w:cs="Arial"/>
                <w:color w:val="000000"/>
                <w:sz w:val="18"/>
                <w:szCs w:val="18"/>
                <w:lang w:eastAsia="es-CO"/>
              </w:rPr>
              <w:t>2</w:t>
            </w:r>
          </w:p>
        </w:tc>
        <w:tc>
          <w:tcPr>
            <w:tcW w:w="0" w:type="auto"/>
            <w:tcBorders>
              <w:top w:val="nil"/>
              <w:left w:val="nil"/>
              <w:bottom w:val="single" w:color="auto" w:sz="4" w:space="0"/>
              <w:right w:val="single" w:color="auto" w:sz="4" w:space="0"/>
            </w:tcBorders>
            <w:vAlign w:val="center"/>
            <w:hideMark/>
          </w:tcPr>
          <w:p w:rsidRPr="001423C8" w:rsidR="00AD01AB" w:rsidP="00E558DE" w:rsidRDefault="00AD01AB" w14:paraId="66A74A5D" w14:textId="77777777">
            <w:pPr>
              <w:spacing w:after="0" w:line="240" w:lineRule="auto"/>
              <w:jc w:val="center"/>
              <w:rPr>
                <w:rFonts w:ascii="Verdana" w:hAnsi="Verdana" w:eastAsia="Times New Roman" w:cs="Arial"/>
                <w:color w:val="000000"/>
                <w:sz w:val="18"/>
                <w:szCs w:val="18"/>
                <w:lang w:eastAsia="es-CO"/>
              </w:rPr>
            </w:pPr>
            <w:r w:rsidRPr="001423C8">
              <w:rPr>
                <w:rFonts w:ascii="Verdana" w:hAnsi="Verdana" w:eastAsia="Times New Roman" w:cs="Arial"/>
                <w:color w:val="000000"/>
                <w:sz w:val="18"/>
                <w:szCs w:val="18"/>
                <w:lang w:eastAsia="es-CO"/>
              </w:rPr>
              <w:t>4</w:t>
            </w:r>
          </w:p>
        </w:tc>
        <w:tc>
          <w:tcPr>
            <w:tcW w:w="0" w:type="auto"/>
            <w:tcBorders>
              <w:top w:val="nil"/>
              <w:left w:val="nil"/>
              <w:bottom w:val="single" w:color="auto" w:sz="4" w:space="0"/>
              <w:right w:val="single" w:color="auto" w:sz="4" w:space="0"/>
            </w:tcBorders>
            <w:vAlign w:val="center"/>
            <w:hideMark/>
          </w:tcPr>
          <w:p w:rsidRPr="001423C8" w:rsidR="00AD01AB" w:rsidP="00E558DE" w:rsidRDefault="00AD01AB" w14:paraId="3ADCCE2B" w14:textId="77777777">
            <w:pPr>
              <w:spacing w:after="0" w:line="240" w:lineRule="auto"/>
              <w:jc w:val="center"/>
              <w:rPr>
                <w:rFonts w:ascii="Verdana" w:hAnsi="Verdana" w:eastAsia="Times New Roman" w:cs="Arial"/>
                <w:color w:val="000000"/>
                <w:sz w:val="18"/>
                <w:szCs w:val="18"/>
                <w:lang w:eastAsia="es-CO"/>
              </w:rPr>
            </w:pPr>
            <w:r w:rsidRPr="001423C8">
              <w:rPr>
                <w:rFonts w:ascii="Verdana" w:hAnsi="Verdana" w:eastAsia="Times New Roman" w:cs="Arial"/>
                <w:color w:val="000000"/>
                <w:sz w:val="18"/>
                <w:szCs w:val="18"/>
                <w:lang w:eastAsia="es-CO"/>
              </w:rPr>
              <w:t>1</w:t>
            </w:r>
          </w:p>
        </w:tc>
      </w:tr>
      <w:tr w:rsidRPr="001423C8" w:rsidR="00AD01AB" w:rsidTr="006A0A13" w14:paraId="0D8B84DA" w14:textId="77777777">
        <w:trPr>
          <w:trHeight w:val="464"/>
        </w:trPr>
        <w:tc>
          <w:tcPr>
            <w:tcW w:w="0" w:type="auto"/>
            <w:tcBorders>
              <w:top w:val="nil"/>
              <w:left w:val="single" w:color="auto" w:sz="4" w:space="0"/>
              <w:bottom w:val="single" w:color="auto" w:sz="4" w:space="0"/>
              <w:right w:val="single" w:color="auto" w:sz="4" w:space="0"/>
            </w:tcBorders>
            <w:vAlign w:val="center"/>
          </w:tcPr>
          <w:p w:rsidRPr="001423C8" w:rsidR="00AD01AB" w:rsidP="00E558DE" w:rsidRDefault="00AD01AB" w14:paraId="38F91D18" w14:textId="77777777">
            <w:pPr>
              <w:spacing w:after="0" w:line="240" w:lineRule="auto"/>
              <w:rPr>
                <w:rFonts w:ascii="Verdana" w:hAnsi="Verdana" w:eastAsia="Times New Roman" w:cs="Arial"/>
                <w:color w:val="1B1C1D"/>
                <w:sz w:val="18"/>
                <w:szCs w:val="18"/>
                <w:lang w:eastAsia="es-CO"/>
              </w:rPr>
            </w:pPr>
            <w:r w:rsidRPr="001423C8">
              <w:rPr>
                <w:rFonts w:ascii="Verdana" w:hAnsi="Verdana" w:eastAsia="Times New Roman" w:cs="Arial"/>
                <w:color w:val="1B1C1D"/>
                <w:sz w:val="18"/>
                <w:szCs w:val="18"/>
                <w:lang w:eastAsia="es-CO"/>
              </w:rPr>
              <w:t>Promoción y Prevención-Programas de vigilancia Epidemiológica</w:t>
            </w:r>
          </w:p>
        </w:tc>
        <w:tc>
          <w:tcPr>
            <w:tcW w:w="0" w:type="auto"/>
            <w:tcBorders>
              <w:top w:val="nil"/>
              <w:left w:val="nil"/>
              <w:bottom w:val="single" w:color="auto" w:sz="4" w:space="0"/>
              <w:right w:val="single" w:color="auto" w:sz="4" w:space="0"/>
            </w:tcBorders>
            <w:noWrap/>
            <w:vAlign w:val="center"/>
          </w:tcPr>
          <w:p w:rsidRPr="001423C8" w:rsidR="00AD01AB" w:rsidP="00E558DE" w:rsidRDefault="00AD01AB" w14:paraId="47DE0333" w14:textId="77777777">
            <w:pPr>
              <w:spacing w:after="0" w:line="240" w:lineRule="auto"/>
              <w:jc w:val="center"/>
              <w:rPr>
                <w:rFonts w:ascii="Verdana" w:hAnsi="Verdana" w:eastAsia="Times New Roman" w:cs="Arial"/>
                <w:color w:val="000000"/>
                <w:sz w:val="18"/>
                <w:szCs w:val="18"/>
                <w:lang w:eastAsia="es-CO"/>
              </w:rPr>
            </w:pPr>
            <w:r w:rsidRPr="001423C8">
              <w:rPr>
                <w:rFonts w:ascii="Verdana" w:hAnsi="Verdana" w:eastAsia="Times New Roman" w:cs="Arial"/>
                <w:color w:val="000000"/>
                <w:sz w:val="18"/>
                <w:szCs w:val="18"/>
                <w:lang w:eastAsia="es-CO"/>
              </w:rPr>
              <w:t>9</w:t>
            </w:r>
          </w:p>
        </w:tc>
        <w:tc>
          <w:tcPr>
            <w:tcW w:w="0" w:type="auto"/>
            <w:tcBorders>
              <w:top w:val="nil"/>
              <w:left w:val="nil"/>
              <w:bottom w:val="single" w:color="auto" w:sz="4" w:space="0"/>
              <w:right w:val="single" w:color="auto" w:sz="4" w:space="0"/>
            </w:tcBorders>
            <w:noWrap/>
            <w:vAlign w:val="center"/>
          </w:tcPr>
          <w:p w:rsidRPr="001423C8" w:rsidR="00AD01AB" w:rsidP="00E558DE" w:rsidRDefault="00AD01AB" w14:paraId="2B2DA16E" w14:textId="77777777">
            <w:pPr>
              <w:spacing w:after="0" w:line="240" w:lineRule="auto"/>
              <w:jc w:val="center"/>
              <w:rPr>
                <w:rFonts w:ascii="Verdana" w:hAnsi="Verdana" w:eastAsia="Times New Roman" w:cs="Arial"/>
                <w:color w:val="000000"/>
                <w:sz w:val="18"/>
                <w:szCs w:val="18"/>
                <w:lang w:eastAsia="es-CO"/>
              </w:rPr>
            </w:pPr>
            <w:r w:rsidRPr="001423C8">
              <w:rPr>
                <w:rFonts w:ascii="Verdana" w:hAnsi="Verdana" w:eastAsia="Times New Roman" w:cs="Arial"/>
                <w:color w:val="000000"/>
                <w:sz w:val="18"/>
                <w:szCs w:val="18"/>
                <w:lang w:eastAsia="es-CO"/>
              </w:rPr>
              <w:t>7</w:t>
            </w:r>
          </w:p>
        </w:tc>
        <w:tc>
          <w:tcPr>
            <w:tcW w:w="0" w:type="auto"/>
            <w:tcBorders>
              <w:top w:val="nil"/>
              <w:left w:val="nil"/>
              <w:bottom w:val="single" w:color="auto" w:sz="4" w:space="0"/>
              <w:right w:val="single" w:color="auto" w:sz="4" w:space="0"/>
            </w:tcBorders>
            <w:noWrap/>
            <w:vAlign w:val="center"/>
          </w:tcPr>
          <w:p w:rsidRPr="001423C8" w:rsidR="00AD01AB" w:rsidP="00E558DE" w:rsidRDefault="00AD01AB" w14:paraId="1096D401" w14:textId="77777777">
            <w:pPr>
              <w:spacing w:after="0" w:line="240" w:lineRule="auto"/>
              <w:jc w:val="center"/>
              <w:rPr>
                <w:rFonts w:ascii="Verdana" w:hAnsi="Verdana" w:eastAsia="Times New Roman" w:cs="Arial"/>
                <w:color w:val="000000"/>
                <w:sz w:val="18"/>
                <w:szCs w:val="18"/>
                <w:lang w:eastAsia="es-CO"/>
              </w:rPr>
            </w:pPr>
            <w:r w:rsidRPr="001423C8">
              <w:rPr>
                <w:rFonts w:ascii="Verdana" w:hAnsi="Verdana" w:eastAsia="Times New Roman" w:cs="Arial"/>
                <w:color w:val="000000"/>
                <w:sz w:val="18"/>
                <w:szCs w:val="18"/>
                <w:lang w:eastAsia="es-CO"/>
              </w:rPr>
              <w:t>12</w:t>
            </w:r>
          </w:p>
        </w:tc>
        <w:tc>
          <w:tcPr>
            <w:tcW w:w="0" w:type="auto"/>
            <w:tcBorders>
              <w:top w:val="nil"/>
              <w:left w:val="nil"/>
              <w:bottom w:val="single" w:color="auto" w:sz="4" w:space="0"/>
              <w:right w:val="single" w:color="auto" w:sz="4" w:space="0"/>
            </w:tcBorders>
            <w:noWrap/>
            <w:vAlign w:val="center"/>
          </w:tcPr>
          <w:p w:rsidRPr="001423C8" w:rsidR="00AD01AB" w:rsidP="00E558DE" w:rsidRDefault="00AD01AB" w14:paraId="054FD214" w14:textId="77777777">
            <w:pPr>
              <w:spacing w:after="0" w:line="240" w:lineRule="auto"/>
              <w:jc w:val="center"/>
              <w:rPr>
                <w:rFonts w:ascii="Verdana" w:hAnsi="Verdana" w:eastAsia="Times New Roman" w:cs="Arial"/>
                <w:color w:val="000000"/>
                <w:sz w:val="18"/>
                <w:szCs w:val="18"/>
                <w:lang w:eastAsia="es-CO"/>
              </w:rPr>
            </w:pPr>
            <w:r w:rsidRPr="001423C8">
              <w:rPr>
                <w:rFonts w:ascii="Verdana" w:hAnsi="Verdana" w:eastAsia="Times New Roman" w:cs="Arial"/>
                <w:color w:val="000000"/>
                <w:sz w:val="18"/>
                <w:szCs w:val="18"/>
                <w:lang w:eastAsia="es-CO"/>
              </w:rPr>
              <w:t>18</w:t>
            </w:r>
          </w:p>
        </w:tc>
        <w:tc>
          <w:tcPr>
            <w:tcW w:w="0" w:type="auto"/>
            <w:tcBorders>
              <w:top w:val="nil"/>
              <w:left w:val="nil"/>
              <w:bottom w:val="single" w:color="auto" w:sz="4" w:space="0"/>
              <w:right w:val="single" w:color="auto" w:sz="4" w:space="0"/>
            </w:tcBorders>
            <w:noWrap/>
            <w:vAlign w:val="center"/>
          </w:tcPr>
          <w:p w:rsidRPr="001423C8" w:rsidR="00AD01AB" w:rsidP="00E558DE" w:rsidRDefault="00AD01AB" w14:paraId="623B0714" w14:textId="77777777">
            <w:pPr>
              <w:spacing w:after="0" w:line="240" w:lineRule="auto"/>
              <w:jc w:val="center"/>
              <w:rPr>
                <w:rFonts w:ascii="Verdana" w:hAnsi="Verdana" w:eastAsia="Times New Roman" w:cs="Arial"/>
                <w:color w:val="000000"/>
                <w:sz w:val="18"/>
                <w:szCs w:val="18"/>
                <w:lang w:eastAsia="es-CO"/>
              </w:rPr>
            </w:pPr>
            <w:r w:rsidRPr="001423C8">
              <w:rPr>
                <w:rFonts w:ascii="Verdana" w:hAnsi="Verdana" w:eastAsia="Times New Roman" w:cs="Arial"/>
                <w:color w:val="000000"/>
                <w:sz w:val="18"/>
                <w:szCs w:val="18"/>
                <w:lang w:eastAsia="es-CO"/>
              </w:rPr>
              <w:t>3</w:t>
            </w:r>
          </w:p>
        </w:tc>
      </w:tr>
      <w:tr w:rsidRPr="001423C8" w:rsidR="00AD01AB" w:rsidTr="006A0A13" w14:paraId="7C85E803" w14:textId="77777777">
        <w:trPr>
          <w:trHeight w:val="320"/>
        </w:trPr>
        <w:tc>
          <w:tcPr>
            <w:tcW w:w="0" w:type="auto"/>
            <w:tcBorders>
              <w:top w:val="nil"/>
              <w:left w:val="single" w:color="auto" w:sz="4" w:space="0"/>
              <w:bottom w:val="single" w:color="auto" w:sz="4" w:space="0"/>
              <w:right w:val="single" w:color="auto" w:sz="4" w:space="0"/>
            </w:tcBorders>
            <w:vAlign w:val="center"/>
            <w:hideMark/>
          </w:tcPr>
          <w:p w:rsidRPr="001423C8" w:rsidR="00AD01AB" w:rsidP="00E558DE" w:rsidRDefault="00AD01AB" w14:paraId="3C7458F7" w14:textId="77777777">
            <w:pPr>
              <w:spacing w:after="0" w:line="240" w:lineRule="auto"/>
              <w:rPr>
                <w:rFonts w:ascii="Verdana" w:hAnsi="Verdana" w:eastAsia="Times New Roman" w:cs="Arial"/>
                <w:color w:val="1B1C1D"/>
                <w:sz w:val="18"/>
                <w:szCs w:val="18"/>
                <w:lang w:eastAsia="es-CO"/>
              </w:rPr>
            </w:pPr>
            <w:r w:rsidRPr="001423C8">
              <w:rPr>
                <w:rFonts w:ascii="Verdana" w:hAnsi="Verdana" w:eastAsia="Times New Roman" w:cs="Arial"/>
                <w:color w:val="1B1C1D"/>
                <w:sz w:val="18"/>
                <w:szCs w:val="18"/>
                <w:lang w:eastAsia="es-CO"/>
              </w:rPr>
              <w:t>Visitas de teletrabajo – Trabajo en casa</w:t>
            </w:r>
          </w:p>
        </w:tc>
        <w:tc>
          <w:tcPr>
            <w:tcW w:w="0" w:type="auto"/>
            <w:tcBorders>
              <w:top w:val="nil"/>
              <w:left w:val="nil"/>
              <w:bottom w:val="single" w:color="auto" w:sz="4" w:space="0"/>
              <w:right w:val="single" w:color="auto" w:sz="4" w:space="0"/>
            </w:tcBorders>
            <w:noWrap/>
            <w:vAlign w:val="center"/>
            <w:hideMark/>
          </w:tcPr>
          <w:p w:rsidRPr="001423C8" w:rsidR="00AD01AB" w:rsidP="00E558DE" w:rsidRDefault="00AD01AB" w14:paraId="5685D74B" w14:textId="77777777">
            <w:pPr>
              <w:spacing w:after="0" w:line="240" w:lineRule="auto"/>
              <w:jc w:val="center"/>
              <w:rPr>
                <w:rFonts w:ascii="Verdana" w:hAnsi="Verdana" w:eastAsia="Times New Roman" w:cs="Arial"/>
                <w:color w:val="000000"/>
                <w:sz w:val="18"/>
                <w:szCs w:val="18"/>
                <w:lang w:eastAsia="es-CO"/>
              </w:rPr>
            </w:pPr>
            <w:r w:rsidRPr="001423C8">
              <w:rPr>
                <w:rFonts w:ascii="Verdana" w:hAnsi="Verdana" w:eastAsia="Times New Roman" w:cs="Arial"/>
                <w:color w:val="000000"/>
                <w:sz w:val="18"/>
                <w:szCs w:val="18"/>
                <w:lang w:eastAsia="es-CO"/>
              </w:rPr>
              <w:t>0</w:t>
            </w:r>
          </w:p>
        </w:tc>
        <w:tc>
          <w:tcPr>
            <w:tcW w:w="0" w:type="auto"/>
            <w:tcBorders>
              <w:top w:val="nil"/>
              <w:left w:val="nil"/>
              <w:bottom w:val="single" w:color="auto" w:sz="4" w:space="0"/>
              <w:right w:val="single" w:color="auto" w:sz="4" w:space="0"/>
            </w:tcBorders>
            <w:noWrap/>
            <w:vAlign w:val="center"/>
            <w:hideMark/>
          </w:tcPr>
          <w:p w:rsidRPr="001423C8" w:rsidR="00AD01AB" w:rsidP="00E558DE" w:rsidRDefault="00AD01AB" w14:paraId="67A130BC" w14:textId="77777777">
            <w:pPr>
              <w:spacing w:after="0" w:line="240" w:lineRule="auto"/>
              <w:jc w:val="center"/>
              <w:rPr>
                <w:rFonts w:ascii="Verdana" w:hAnsi="Verdana" w:eastAsia="Times New Roman" w:cs="Arial"/>
                <w:color w:val="000000"/>
                <w:sz w:val="18"/>
                <w:szCs w:val="18"/>
                <w:lang w:eastAsia="es-CO"/>
              </w:rPr>
            </w:pPr>
            <w:r w:rsidRPr="001423C8">
              <w:rPr>
                <w:rFonts w:ascii="Verdana" w:hAnsi="Verdana" w:eastAsia="Times New Roman" w:cs="Arial"/>
                <w:color w:val="000000"/>
                <w:sz w:val="18"/>
                <w:szCs w:val="18"/>
                <w:lang w:eastAsia="es-CO"/>
              </w:rPr>
              <w:t>2</w:t>
            </w:r>
          </w:p>
        </w:tc>
        <w:tc>
          <w:tcPr>
            <w:tcW w:w="0" w:type="auto"/>
            <w:tcBorders>
              <w:top w:val="nil"/>
              <w:left w:val="nil"/>
              <w:bottom w:val="single" w:color="auto" w:sz="4" w:space="0"/>
              <w:right w:val="single" w:color="auto" w:sz="4" w:space="0"/>
            </w:tcBorders>
            <w:noWrap/>
            <w:vAlign w:val="center"/>
            <w:hideMark/>
          </w:tcPr>
          <w:p w:rsidRPr="001423C8" w:rsidR="00AD01AB" w:rsidP="00E558DE" w:rsidRDefault="00AD01AB" w14:paraId="2DD789FE" w14:textId="77777777">
            <w:pPr>
              <w:spacing w:after="0" w:line="240" w:lineRule="auto"/>
              <w:jc w:val="center"/>
              <w:rPr>
                <w:rFonts w:ascii="Verdana" w:hAnsi="Verdana" w:eastAsia="Times New Roman" w:cs="Arial"/>
                <w:color w:val="000000"/>
                <w:sz w:val="18"/>
                <w:szCs w:val="18"/>
                <w:lang w:eastAsia="es-CO"/>
              </w:rPr>
            </w:pPr>
            <w:r w:rsidRPr="001423C8">
              <w:rPr>
                <w:rFonts w:ascii="Verdana" w:hAnsi="Verdana" w:eastAsia="Times New Roman" w:cs="Arial"/>
                <w:color w:val="000000"/>
                <w:sz w:val="18"/>
                <w:szCs w:val="18"/>
                <w:lang w:eastAsia="es-CO"/>
              </w:rPr>
              <w:t>3</w:t>
            </w:r>
          </w:p>
        </w:tc>
        <w:tc>
          <w:tcPr>
            <w:tcW w:w="0" w:type="auto"/>
            <w:tcBorders>
              <w:top w:val="nil"/>
              <w:left w:val="nil"/>
              <w:bottom w:val="single" w:color="auto" w:sz="4" w:space="0"/>
              <w:right w:val="single" w:color="auto" w:sz="4" w:space="0"/>
            </w:tcBorders>
            <w:noWrap/>
            <w:vAlign w:val="center"/>
            <w:hideMark/>
          </w:tcPr>
          <w:p w:rsidRPr="001423C8" w:rsidR="00AD01AB" w:rsidP="00E558DE" w:rsidRDefault="00AD01AB" w14:paraId="40D5AC1E" w14:textId="77777777">
            <w:pPr>
              <w:spacing w:after="0" w:line="240" w:lineRule="auto"/>
              <w:jc w:val="center"/>
              <w:rPr>
                <w:rFonts w:ascii="Verdana" w:hAnsi="Verdana" w:eastAsia="Times New Roman" w:cs="Arial"/>
                <w:color w:val="000000"/>
                <w:sz w:val="18"/>
                <w:szCs w:val="18"/>
                <w:lang w:eastAsia="es-CO"/>
              </w:rPr>
            </w:pPr>
            <w:r w:rsidRPr="001423C8">
              <w:rPr>
                <w:rFonts w:ascii="Verdana" w:hAnsi="Verdana" w:eastAsia="Times New Roman" w:cs="Arial"/>
                <w:color w:val="000000"/>
                <w:sz w:val="18"/>
                <w:szCs w:val="18"/>
                <w:lang w:eastAsia="es-CO"/>
              </w:rPr>
              <w:t>170</w:t>
            </w:r>
          </w:p>
        </w:tc>
        <w:tc>
          <w:tcPr>
            <w:tcW w:w="0" w:type="auto"/>
            <w:tcBorders>
              <w:top w:val="nil"/>
              <w:left w:val="nil"/>
              <w:bottom w:val="single" w:color="auto" w:sz="4" w:space="0"/>
              <w:right w:val="single" w:color="auto" w:sz="4" w:space="0"/>
            </w:tcBorders>
            <w:noWrap/>
            <w:vAlign w:val="center"/>
            <w:hideMark/>
          </w:tcPr>
          <w:p w:rsidRPr="001423C8" w:rsidR="00AD01AB" w:rsidP="00E558DE" w:rsidRDefault="00AD01AB" w14:paraId="6038C261" w14:textId="77777777">
            <w:pPr>
              <w:spacing w:after="0" w:line="240" w:lineRule="auto"/>
              <w:jc w:val="center"/>
              <w:rPr>
                <w:rFonts w:ascii="Verdana" w:hAnsi="Verdana" w:eastAsia="Times New Roman" w:cs="Arial"/>
                <w:color w:val="000000"/>
                <w:sz w:val="18"/>
                <w:szCs w:val="18"/>
                <w:lang w:eastAsia="es-CO"/>
              </w:rPr>
            </w:pPr>
            <w:r w:rsidRPr="001423C8">
              <w:rPr>
                <w:rFonts w:ascii="Verdana" w:hAnsi="Verdana" w:eastAsia="Times New Roman" w:cs="Arial"/>
                <w:color w:val="000000" w:themeColor="text1"/>
                <w:sz w:val="18"/>
                <w:szCs w:val="18"/>
                <w:lang w:eastAsia="es-CO"/>
              </w:rPr>
              <w:t>6</w:t>
            </w:r>
          </w:p>
        </w:tc>
      </w:tr>
      <w:tr w:rsidRPr="001423C8" w:rsidR="00AD01AB" w:rsidTr="006A0A13" w14:paraId="6D151AD1" w14:textId="77777777">
        <w:trPr>
          <w:trHeight w:val="348"/>
        </w:trPr>
        <w:tc>
          <w:tcPr>
            <w:tcW w:w="0" w:type="auto"/>
            <w:tcBorders>
              <w:top w:val="nil"/>
              <w:left w:val="single" w:color="auto" w:sz="4" w:space="0"/>
              <w:bottom w:val="single" w:color="auto" w:sz="4" w:space="0"/>
              <w:right w:val="single" w:color="auto" w:sz="4" w:space="0"/>
            </w:tcBorders>
            <w:vAlign w:val="center"/>
            <w:hideMark/>
          </w:tcPr>
          <w:p w:rsidRPr="001423C8" w:rsidR="00AD01AB" w:rsidP="00E558DE" w:rsidRDefault="00AD01AB" w14:paraId="3822C70F" w14:textId="77777777">
            <w:pPr>
              <w:spacing w:after="0" w:line="240" w:lineRule="auto"/>
              <w:rPr>
                <w:rFonts w:ascii="Verdana" w:hAnsi="Verdana" w:eastAsia="Times New Roman" w:cs="Arial"/>
                <w:color w:val="1B1C1D"/>
                <w:sz w:val="18"/>
                <w:szCs w:val="18"/>
                <w:lang w:eastAsia="es-CO"/>
              </w:rPr>
            </w:pPr>
            <w:r w:rsidRPr="001423C8">
              <w:rPr>
                <w:rFonts w:ascii="Verdana" w:hAnsi="Verdana" w:eastAsia="Times New Roman" w:cs="Arial"/>
                <w:color w:val="1B1C1D"/>
                <w:sz w:val="18"/>
                <w:szCs w:val="18"/>
                <w:lang w:eastAsia="es-CO"/>
              </w:rPr>
              <w:t>Pausas activas (componente físico y mental)</w:t>
            </w:r>
          </w:p>
        </w:tc>
        <w:tc>
          <w:tcPr>
            <w:tcW w:w="0" w:type="auto"/>
            <w:tcBorders>
              <w:top w:val="nil"/>
              <w:left w:val="nil"/>
              <w:bottom w:val="single" w:color="auto" w:sz="4" w:space="0"/>
              <w:right w:val="single" w:color="auto" w:sz="4" w:space="0"/>
            </w:tcBorders>
            <w:noWrap/>
            <w:vAlign w:val="center"/>
            <w:hideMark/>
          </w:tcPr>
          <w:p w:rsidRPr="001423C8" w:rsidR="00AD01AB" w:rsidP="00E558DE" w:rsidRDefault="00AD01AB" w14:paraId="293B499E" w14:textId="77777777">
            <w:pPr>
              <w:spacing w:after="0" w:line="240" w:lineRule="auto"/>
              <w:jc w:val="center"/>
              <w:rPr>
                <w:rFonts w:ascii="Verdana" w:hAnsi="Verdana" w:eastAsia="Times New Roman" w:cs="Arial"/>
                <w:color w:val="000000"/>
                <w:sz w:val="18"/>
                <w:szCs w:val="18"/>
                <w:lang w:eastAsia="es-CO"/>
              </w:rPr>
            </w:pPr>
            <w:r w:rsidRPr="001423C8">
              <w:rPr>
                <w:rFonts w:ascii="Verdana" w:hAnsi="Verdana" w:eastAsia="Times New Roman" w:cs="Arial"/>
                <w:color w:val="000000"/>
                <w:sz w:val="18"/>
                <w:szCs w:val="18"/>
                <w:lang w:eastAsia="es-CO"/>
              </w:rPr>
              <w:t>15</w:t>
            </w:r>
          </w:p>
        </w:tc>
        <w:tc>
          <w:tcPr>
            <w:tcW w:w="0" w:type="auto"/>
            <w:tcBorders>
              <w:top w:val="nil"/>
              <w:left w:val="nil"/>
              <w:bottom w:val="single" w:color="auto" w:sz="4" w:space="0"/>
              <w:right w:val="single" w:color="auto" w:sz="4" w:space="0"/>
            </w:tcBorders>
            <w:noWrap/>
            <w:vAlign w:val="center"/>
            <w:hideMark/>
          </w:tcPr>
          <w:p w:rsidRPr="001423C8" w:rsidR="00AD01AB" w:rsidP="00E558DE" w:rsidRDefault="00AD01AB" w14:paraId="6283EA98" w14:textId="77777777">
            <w:pPr>
              <w:spacing w:after="0" w:line="240" w:lineRule="auto"/>
              <w:jc w:val="center"/>
              <w:rPr>
                <w:rFonts w:ascii="Verdana" w:hAnsi="Verdana" w:eastAsia="Times New Roman" w:cs="Arial"/>
                <w:color w:val="000000"/>
                <w:sz w:val="18"/>
                <w:szCs w:val="18"/>
                <w:lang w:eastAsia="es-CO"/>
              </w:rPr>
            </w:pPr>
            <w:r w:rsidRPr="001423C8">
              <w:rPr>
                <w:rFonts w:ascii="Verdana" w:hAnsi="Verdana" w:eastAsia="Times New Roman" w:cs="Arial"/>
                <w:color w:val="000000"/>
                <w:sz w:val="18"/>
                <w:szCs w:val="18"/>
                <w:lang w:eastAsia="es-CO"/>
              </w:rPr>
              <w:t>16</w:t>
            </w:r>
          </w:p>
        </w:tc>
        <w:tc>
          <w:tcPr>
            <w:tcW w:w="0" w:type="auto"/>
            <w:tcBorders>
              <w:top w:val="nil"/>
              <w:left w:val="nil"/>
              <w:bottom w:val="single" w:color="auto" w:sz="4" w:space="0"/>
              <w:right w:val="single" w:color="auto" w:sz="4" w:space="0"/>
            </w:tcBorders>
            <w:noWrap/>
            <w:vAlign w:val="center"/>
            <w:hideMark/>
          </w:tcPr>
          <w:p w:rsidRPr="001423C8" w:rsidR="00AD01AB" w:rsidP="00E558DE" w:rsidRDefault="00AD01AB" w14:paraId="79CBABE5" w14:textId="77777777">
            <w:pPr>
              <w:spacing w:after="0" w:line="240" w:lineRule="auto"/>
              <w:jc w:val="center"/>
              <w:rPr>
                <w:rFonts w:ascii="Verdana" w:hAnsi="Verdana" w:eastAsia="Times New Roman" w:cs="Arial"/>
                <w:color w:val="000000"/>
                <w:sz w:val="18"/>
                <w:szCs w:val="18"/>
                <w:lang w:eastAsia="es-CO"/>
              </w:rPr>
            </w:pPr>
            <w:r w:rsidRPr="001423C8">
              <w:rPr>
                <w:rFonts w:ascii="Verdana" w:hAnsi="Verdana" w:eastAsia="Times New Roman" w:cs="Arial"/>
                <w:color w:val="000000" w:themeColor="text1"/>
                <w:sz w:val="18"/>
                <w:szCs w:val="18"/>
                <w:lang w:eastAsia="es-CO"/>
              </w:rPr>
              <w:t>24</w:t>
            </w:r>
          </w:p>
        </w:tc>
        <w:tc>
          <w:tcPr>
            <w:tcW w:w="0" w:type="auto"/>
            <w:tcBorders>
              <w:top w:val="nil"/>
              <w:left w:val="nil"/>
              <w:bottom w:val="single" w:color="auto" w:sz="4" w:space="0"/>
              <w:right w:val="single" w:color="auto" w:sz="4" w:space="0"/>
            </w:tcBorders>
            <w:noWrap/>
            <w:vAlign w:val="center"/>
            <w:hideMark/>
          </w:tcPr>
          <w:p w:rsidRPr="001423C8" w:rsidR="00AD01AB" w:rsidP="00E558DE" w:rsidRDefault="00AD01AB" w14:paraId="158E78DD" w14:textId="77777777">
            <w:pPr>
              <w:spacing w:after="0" w:line="240" w:lineRule="auto"/>
              <w:jc w:val="center"/>
              <w:rPr>
                <w:rFonts w:ascii="Verdana" w:hAnsi="Verdana" w:eastAsia="Times New Roman" w:cs="Arial"/>
                <w:color w:val="000000"/>
                <w:sz w:val="18"/>
                <w:szCs w:val="18"/>
                <w:lang w:eastAsia="es-CO"/>
              </w:rPr>
            </w:pPr>
            <w:r w:rsidRPr="001423C8">
              <w:rPr>
                <w:rFonts w:ascii="Verdana" w:hAnsi="Verdana" w:eastAsia="Times New Roman" w:cs="Arial"/>
                <w:color w:val="000000" w:themeColor="text1"/>
                <w:sz w:val="18"/>
                <w:szCs w:val="18"/>
                <w:lang w:eastAsia="es-CO"/>
              </w:rPr>
              <w:t>56</w:t>
            </w:r>
          </w:p>
        </w:tc>
        <w:tc>
          <w:tcPr>
            <w:tcW w:w="0" w:type="auto"/>
            <w:tcBorders>
              <w:top w:val="nil"/>
              <w:left w:val="nil"/>
              <w:bottom w:val="single" w:color="auto" w:sz="4" w:space="0"/>
              <w:right w:val="single" w:color="auto" w:sz="4" w:space="0"/>
            </w:tcBorders>
            <w:noWrap/>
            <w:vAlign w:val="center"/>
            <w:hideMark/>
          </w:tcPr>
          <w:p w:rsidRPr="001423C8" w:rsidR="00AD01AB" w:rsidP="00E558DE" w:rsidRDefault="00AD01AB" w14:paraId="15BF75C1" w14:textId="77777777">
            <w:pPr>
              <w:spacing w:after="0" w:line="240" w:lineRule="auto"/>
              <w:jc w:val="center"/>
              <w:rPr>
                <w:rFonts w:ascii="Verdana" w:hAnsi="Verdana"/>
                <w:sz w:val="18"/>
                <w:szCs w:val="18"/>
              </w:rPr>
            </w:pPr>
            <w:r w:rsidRPr="001423C8">
              <w:rPr>
                <w:rFonts w:ascii="Verdana" w:hAnsi="Verdana" w:eastAsia="Times New Roman" w:cs="Arial"/>
                <w:color w:val="000000" w:themeColor="text1"/>
                <w:sz w:val="18"/>
                <w:szCs w:val="18"/>
                <w:lang w:eastAsia="es-CO"/>
              </w:rPr>
              <w:t>12</w:t>
            </w:r>
          </w:p>
        </w:tc>
      </w:tr>
      <w:tr w:rsidRPr="001423C8" w:rsidR="00AD01AB" w:rsidTr="006A0A13" w14:paraId="6F301C82" w14:textId="77777777">
        <w:trPr>
          <w:trHeight w:val="352"/>
        </w:trPr>
        <w:tc>
          <w:tcPr>
            <w:tcW w:w="0" w:type="auto"/>
            <w:tcBorders>
              <w:top w:val="nil"/>
              <w:left w:val="single" w:color="auto" w:sz="4" w:space="0"/>
              <w:bottom w:val="single" w:color="auto" w:sz="4" w:space="0"/>
              <w:right w:val="single" w:color="auto" w:sz="4" w:space="0"/>
            </w:tcBorders>
            <w:vAlign w:val="center"/>
            <w:hideMark/>
          </w:tcPr>
          <w:p w:rsidRPr="001423C8" w:rsidR="00AD01AB" w:rsidP="00E558DE" w:rsidRDefault="00AD01AB" w14:paraId="5DB2BC7C" w14:textId="77777777">
            <w:pPr>
              <w:spacing w:after="0" w:line="240" w:lineRule="auto"/>
              <w:rPr>
                <w:rFonts w:ascii="Verdana" w:hAnsi="Verdana" w:eastAsia="Times New Roman" w:cs="Arial"/>
                <w:color w:val="1B1C1D"/>
                <w:sz w:val="18"/>
                <w:szCs w:val="18"/>
                <w:lang w:eastAsia="es-CO"/>
              </w:rPr>
            </w:pPr>
            <w:r w:rsidRPr="001423C8">
              <w:rPr>
                <w:rFonts w:ascii="Verdana" w:hAnsi="Verdana" w:eastAsia="Times New Roman" w:cs="Arial"/>
                <w:color w:val="1B1C1D"/>
                <w:sz w:val="18"/>
                <w:szCs w:val="18"/>
                <w:lang w:eastAsia="es-CO"/>
              </w:rPr>
              <w:t>Simulacros</w:t>
            </w:r>
          </w:p>
        </w:tc>
        <w:tc>
          <w:tcPr>
            <w:tcW w:w="0" w:type="auto"/>
            <w:tcBorders>
              <w:top w:val="nil"/>
              <w:left w:val="nil"/>
              <w:bottom w:val="single" w:color="auto" w:sz="4" w:space="0"/>
              <w:right w:val="single" w:color="auto" w:sz="4" w:space="0"/>
            </w:tcBorders>
            <w:noWrap/>
            <w:vAlign w:val="center"/>
            <w:hideMark/>
          </w:tcPr>
          <w:p w:rsidRPr="001423C8" w:rsidR="00AD01AB" w:rsidP="00E558DE" w:rsidRDefault="00AD01AB" w14:paraId="2CF5C4EE" w14:textId="77777777">
            <w:pPr>
              <w:spacing w:after="0" w:line="240" w:lineRule="auto"/>
              <w:jc w:val="center"/>
              <w:rPr>
                <w:rFonts w:ascii="Verdana" w:hAnsi="Verdana" w:eastAsia="Times New Roman" w:cs="Arial"/>
                <w:color w:val="000000"/>
                <w:sz w:val="18"/>
                <w:szCs w:val="18"/>
                <w:lang w:eastAsia="es-CO"/>
              </w:rPr>
            </w:pPr>
            <w:r w:rsidRPr="001423C8">
              <w:rPr>
                <w:rFonts w:ascii="Verdana" w:hAnsi="Verdana" w:eastAsia="Times New Roman" w:cs="Arial"/>
                <w:color w:val="000000" w:themeColor="text1"/>
                <w:sz w:val="18"/>
                <w:szCs w:val="18"/>
                <w:lang w:eastAsia="es-CO"/>
              </w:rPr>
              <w:t>1</w:t>
            </w:r>
          </w:p>
        </w:tc>
        <w:tc>
          <w:tcPr>
            <w:tcW w:w="0" w:type="auto"/>
            <w:tcBorders>
              <w:top w:val="nil"/>
              <w:left w:val="nil"/>
              <w:bottom w:val="single" w:color="auto" w:sz="4" w:space="0"/>
              <w:right w:val="single" w:color="auto" w:sz="4" w:space="0"/>
            </w:tcBorders>
            <w:noWrap/>
            <w:vAlign w:val="center"/>
            <w:hideMark/>
          </w:tcPr>
          <w:p w:rsidRPr="001423C8" w:rsidR="00AD01AB" w:rsidP="00E558DE" w:rsidRDefault="00AD01AB" w14:paraId="6B9096CE" w14:textId="77777777">
            <w:pPr>
              <w:spacing w:after="0" w:line="240" w:lineRule="auto"/>
              <w:jc w:val="center"/>
              <w:rPr>
                <w:rFonts w:ascii="Verdana" w:hAnsi="Verdana" w:eastAsia="Times New Roman" w:cs="Arial"/>
                <w:color w:val="000000"/>
                <w:sz w:val="18"/>
                <w:szCs w:val="18"/>
                <w:lang w:eastAsia="es-CO"/>
              </w:rPr>
            </w:pPr>
            <w:r w:rsidRPr="001423C8">
              <w:rPr>
                <w:rFonts w:ascii="Verdana" w:hAnsi="Verdana" w:eastAsia="Times New Roman" w:cs="Arial"/>
                <w:color w:val="000000"/>
                <w:sz w:val="18"/>
                <w:szCs w:val="18"/>
                <w:lang w:eastAsia="es-CO"/>
              </w:rPr>
              <w:t>1</w:t>
            </w:r>
          </w:p>
        </w:tc>
        <w:tc>
          <w:tcPr>
            <w:tcW w:w="0" w:type="auto"/>
            <w:tcBorders>
              <w:top w:val="nil"/>
              <w:left w:val="nil"/>
              <w:bottom w:val="single" w:color="auto" w:sz="4" w:space="0"/>
              <w:right w:val="single" w:color="auto" w:sz="4" w:space="0"/>
            </w:tcBorders>
            <w:noWrap/>
            <w:vAlign w:val="center"/>
            <w:hideMark/>
          </w:tcPr>
          <w:p w:rsidRPr="001423C8" w:rsidR="00AD01AB" w:rsidP="00E558DE" w:rsidRDefault="00AD01AB" w14:paraId="24F64D75" w14:textId="77777777">
            <w:pPr>
              <w:spacing w:after="0" w:line="240" w:lineRule="auto"/>
              <w:jc w:val="center"/>
              <w:rPr>
                <w:rFonts w:ascii="Verdana" w:hAnsi="Verdana" w:eastAsia="Times New Roman" w:cs="Arial"/>
                <w:color w:val="000000"/>
                <w:sz w:val="18"/>
                <w:szCs w:val="18"/>
                <w:lang w:eastAsia="es-CO"/>
              </w:rPr>
            </w:pPr>
            <w:r w:rsidRPr="001423C8">
              <w:rPr>
                <w:rFonts w:ascii="Verdana" w:hAnsi="Verdana" w:eastAsia="Times New Roman" w:cs="Arial"/>
                <w:color w:val="000000"/>
                <w:sz w:val="18"/>
                <w:szCs w:val="18"/>
                <w:lang w:eastAsia="es-CO"/>
              </w:rPr>
              <w:t>1</w:t>
            </w:r>
          </w:p>
        </w:tc>
        <w:tc>
          <w:tcPr>
            <w:tcW w:w="0" w:type="auto"/>
            <w:tcBorders>
              <w:top w:val="nil"/>
              <w:left w:val="nil"/>
              <w:bottom w:val="single" w:color="auto" w:sz="4" w:space="0"/>
              <w:right w:val="single" w:color="auto" w:sz="4" w:space="0"/>
            </w:tcBorders>
            <w:noWrap/>
            <w:vAlign w:val="center"/>
            <w:hideMark/>
          </w:tcPr>
          <w:p w:rsidRPr="001423C8" w:rsidR="00AD01AB" w:rsidP="00E558DE" w:rsidRDefault="00AD01AB" w14:paraId="18063548" w14:textId="77777777">
            <w:pPr>
              <w:spacing w:after="0" w:line="240" w:lineRule="auto"/>
              <w:jc w:val="center"/>
              <w:rPr>
                <w:rFonts w:ascii="Verdana" w:hAnsi="Verdana" w:eastAsia="Times New Roman" w:cs="Arial"/>
                <w:color w:val="000000"/>
                <w:sz w:val="18"/>
                <w:szCs w:val="18"/>
                <w:lang w:eastAsia="es-CO"/>
              </w:rPr>
            </w:pPr>
            <w:r w:rsidRPr="001423C8">
              <w:rPr>
                <w:rFonts w:ascii="Verdana" w:hAnsi="Verdana" w:eastAsia="Times New Roman" w:cs="Arial"/>
                <w:color w:val="000000"/>
                <w:sz w:val="18"/>
                <w:szCs w:val="18"/>
                <w:lang w:eastAsia="es-CO"/>
              </w:rPr>
              <w:t>1</w:t>
            </w:r>
          </w:p>
        </w:tc>
        <w:tc>
          <w:tcPr>
            <w:tcW w:w="0" w:type="auto"/>
            <w:tcBorders>
              <w:top w:val="nil"/>
              <w:left w:val="nil"/>
              <w:bottom w:val="single" w:color="auto" w:sz="4" w:space="0"/>
              <w:right w:val="single" w:color="auto" w:sz="4" w:space="0"/>
            </w:tcBorders>
            <w:noWrap/>
            <w:vAlign w:val="center"/>
            <w:hideMark/>
          </w:tcPr>
          <w:p w:rsidRPr="001423C8" w:rsidR="00AD01AB" w:rsidP="00E558DE" w:rsidRDefault="00AD01AB" w14:paraId="4136D257" w14:textId="77777777">
            <w:pPr>
              <w:spacing w:after="0" w:line="240" w:lineRule="auto"/>
              <w:jc w:val="center"/>
              <w:rPr>
                <w:rFonts w:ascii="Verdana" w:hAnsi="Verdana" w:eastAsia="Times New Roman" w:cs="Arial"/>
                <w:color w:val="000000"/>
                <w:sz w:val="18"/>
                <w:szCs w:val="18"/>
                <w:lang w:eastAsia="es-CO"/>
              </w:rPr>
            </w:pPr>
            <w:r w:rsidRPr="001423C8">
              <w:rPr>
                <w:rFonts w:ascii="Verdana" w:hAnsi="Verdana" w:eastAsia="Times New Roman" w:cs="Arial"/>
                <w:color w:val="000000"/>
                <w:sz w:val="18"/>
                <w:szCs w:val="18"/>
                <w:lang w:eastAsia="es-CO"/>
              </w:rPr>
              <w:t>0</w:t>
            </w:r>
          </w:p>
        </w:tc>
      </w:tr>
    </w:tbl>
    <w:p w:rsidRPr="001423C8" w:rsidR="00AD01AB" w:rsidP="180099B3" w:rsidRDefault="1D224B79" w14:paraId="23C29D51" w14:textId="77777777">
      <w:pPr>
        <w:spacing w:after="0" w:line="240" w:lineRule="auto"/>
        <w:jc w:val="center"/>
        <w:rPr>
          <w:rFonts w:ascii="Verdana" w:hAnsi="Verdana"/>
          <w:sz w:val="18"/>
          <w:szCs w:val="18"/>
        </w:rPr>
      </w:pPr>
      <w:r w:rsidRPr="180099B3">
        <w:rPr>
          <w:rFonts w:ascii="Verdana" w:hAnsi="Verdana"/>
          <w:sz w:val="18"/>
          <w:szCs w:val="18"/>
        </w:rPr>
        <w:t xml:space="preserve">Fuente: Subdirección de Talento Humano – </w:t>
      </w:r>
      <w:r w:rsidRPr="180099B3" w:rsidR="469E49D5">
        <w:rPr>
          <w:rFonts w:ascii="Verdana" w:hAnsi="Verdana"/>
          <w:sz w:val="18"/>
          <w:szCs w:val="18"/>
        </w:rPr>
        <w:t>MME</w:t>
      </w:r>
    </w:p>
    <w:p w:rsidR="001423C8" w:rsidP="006A0A13" w:rsidRDefault="001423C8" w14:paraId="7C19EA17" w14:textId="77777777">
      <w:pPr>
        <w:spacing w:after="0" w:line="360" w:lineRule="auto"/>
        <w:jc w:val="both"/>
        <w:rPr>
          <w:rFonts w:ascii="Verdana" w:hAnsi="Verdana"/>
          <w:sz w:val="24"/>
          <w:szCs w:val="24"/>
        </w:rPr>
      </w:pPr>
    </w:p>
    <w:p w:rsidRPr="00C140A0" w:rsidR="00AD01AB" w:rsidP="006A0A13" w:rsidRDefault="00AD01AB" w14:paraId="09366101" w14:textId="77777777">
      <w:pPr>
        <w:spacing w:after="0" w:line="360" w:lineRule="auto"/>
        <w:jc w:val="both"/>
        <w:rPr>
          <w:rFonts w:ascii="Verdana" w:hAnsi="Verdana"/>
          <w:sz w:val="24"/>
          <w:szCs w:val="24"/>
        </w:rPr>
      </w:pPr>
      <w:r w:rsidRPr="00C140A0">
        <w:rPr>
          <w:rFonts w:ascii="Verdana" w:hAnsi="Verdana"/>
          <w:sz w:val="24"/>
          <w:szCs w:val="24"/>
        </w:rPr>
        <w:t>En el cuatrienio, el Ministerio fortaleció de manera prioritaria las acciones de gestión del riesgo psicosocial y promoción de la salud mental, en respuesta a las dinámicas del teletrabajo y la necesidad de entornos laborales saludables y sostenibles. Paralelamente, se consolidaron estrategias de prevención de accidentes laborales, autocuidado y preparación ante emergencias, mediante capacitaciones, simulacros y el fortalecimiento de brigadas de emergencia.</w:t>
      </w:r>
    </w:p>
    <w:p w:rsidR="001423C8" w:rsidP="006A0A13" w:rsidRDefault="001423C8" w14:paraId="06342587" w14:textId="77777777">
      <w:pPr>
        <w:spacing w:after="0" w:line="360" w:lineRule="auto"/>
        <w:jc w:val="both"/>
        <w:rPr>
          <w:rFonts w:ascii="Verdana" w:hAnsi="Verdana"/>
          <w:sz w:val="24"/>
          <w:szCs w:val="24"/>
        </w:rPr>
      </w:pPr>
    </w:p>
    <w:p w:rsidRPr="00C140A0" w:rsidR="00AD01AB" w:rsidP="006A0A13" w:rsidRDefault="29C5CC0F" w14:paraId="19906E6F" w14:textId="72811B7E">
      <w:pPr>
        <w:spacing w:after="0" w:line="360" w:lineRule="auto"/>
        <w:jc w:val="both"/>
        <w:rPr>
          <w:rFonts w:ascii="Verdana" w:hAnsi="Verdana"/>
          <w:sz w:val="24"/>
          <w:szCs w:val="24"/>
        </w:rPr>
      </w:pPr>
      <w:r w:rsidRPr="0FF05B1B">
        <w:rPr>
          <w:rFonts w:ascii="Verdana" w:hAnsi="Verdana"/>
          <w:sz w:val="24"/>
          <w:szCs w:val="24"/>
        </w:rPr>
        <w:t>En materia de inclusión, se avanzó en la articulación entre el SG-SST y la gestión del talento humano para el cumplimiento de los indicadores de vinculación de personas con discapacidad, en el marco del Plan de Atención del Sector Minero Energético, que contempla acciones de accesibilidad, sensibilización, participación y promoción del empleo. A 31 de diciembre de 2025, la entidad registró seis (6) servidores en planta y</w:t>
      </w:r>
      <w:r w:rsidRPr="0FF05B1B" w:rsidR="4771E187">
        <w:rPr>
          <w:rFonts w:ascii="Verdana" w:hAnsi="Verdana"/>
          <w:sz w:val="24"/>
          <w:szCs w:val="24"/>
        </w:rPr>
        <w:t xml:space="preserve"> </w:t>
      </w:r>
      <w:r w:rsidRPr="0FF05B1B">
        <w:rPr>
          <w:rFonts w:ascii="Verdana" w:hAnsi="Verdana"/>
          <w:sz w:val="24"/>
          <w:szCs w:val="24"/>
        </w:rPr>
        <w:t>dos (2) contratistas con discapacidad, frente a un mínimo exigido del 3% (9 personas).</w:t>
      </w:r>
    </w:p>
    <w:p w:rsidR="001423C8" w:rsidP="006A0A13" w:rsidRDefault="001423C8" w14:paraId="54E94940" w14:textId="77777777">
      <w:pPr>
        <w:spacing w:after="0" w:line="360" w:lineRule="auto"/>
        <w:jc w:val="both"/>
        <w:rPr>
          <w:rFonts w:ascii="Verdana" w:hAnsi="Verdana"/>
          <w:sz w:val="24"/>
          <w:szCs w:val="24"/>
        </w:rPr>
      </w:pPr>
    </w:p>
    <w:p w:rsidRPr="00C140A0" w:rsidR="00AD01AB" w:rsidP="006A0A13" w:rsidRDefault="00AD01AB" w14:paraId="14AC0D8B" w14:textId="77777777">
      <w:pPr>
        <w:spacing w:after="0" w:line="360" w:lineRule="auto"/>
        <w:jc w:val="both"/>
        <w:rPr>
          <w:rFonts w:ascii="Verdana" w:hAnsi="Verdana"/>
          <w:sz w:val="24"/>
          <w:szCs w:val="24"/>
        </w:rPr>
      </w:pPr>
      <w:r w:rsidRPr="00C140A0">
        <w:rPr>
          <w:rFonts w:ascii="Verdana" w:hAnsi="Verdana"/>
          <w:sz w:val="24"/>
          <w:szCs w:val="24"/>
        </w:rPr>
        <w:t xml:space="preserve">Adicionalmente, se fortalecieron los comités institucionales de convivencia laboral y COPASST, así como las brigadas de emergencia, conformadas por 27 integrantes activos, dotados con elementos de protección personal y equipos de emergencia para ambas sedes. En 2025 se participó en el Simulacro Distrital de Evacuación con apoyo de la ARL Positiva y se </w:t>
      </w:r>
      <w:r w:rsidRPr="00C140A0">
        <w:rPr>
          <w:rFonts w:ascii="Verdana" w:hAnsi="Verdana"/>
          <w:sz w:val="24"/>
          <w:szCs w:val="24"/>
        </w:rPr>
        <w:t>programaron dos simulacros adicionales para el segundo semestre de 2026, como parte del ciclo continuo de preparación y respuesta institucional.</w:t>
      </w:r>
    </w:p>
    <w:p w:rsidR="001423C8" w:rsidP="006A0A13" w:rsidRDefault="001423C8" w14:paraId="2790598D" w14:textId="77777777">
      <w:pPr>
        <w:spacing w:after="0" w:line="360" w:lineRule="auto"/>
        <w:jc w:val="both"/>
        <w:rPr>
          <w:rFonts w:ascii="Verdana" w:hAnsi="Verdana"/>
          <w:sz w:val="24"/>
          <w:szCs w:val="24"/>
        </w:rPr>
      </w:pPr>
    </w:p>
    <w:p w:rsidR="00AD01AB" w:rsidP="006A0A13" w:rsidRDefault="00AD01AB" w14:paraId="67C837B5" w14:textId="77777777">
      <w:pPr>
        <w:spacing w:after="0" w:line="360" w:lineRule="auto"/>
        <w:jc w:val="both"/>
        <w:rPr>
          <w:rFonts w:ascii="Verdana" w:hAnsi="Verdana"/>
          <w:sz w:val="24"/>
          <w:szCs w:val="24"/>
        </w:rPr>
      </w:pPr>
      <w:r w:rsidRPr="00C140A0">
        <w:rPr>
          <w:rFonts w:ascii="Verdana" w:hAnsi="Verdana"/>
          <w:sz w:val="24"/>
          <w:szCs w:val="24"/>
        </w:rPr>
        <w:t>Finalmente, se han identificado como principales necesidades para el fortalecimiento del sistema la programación de reentrenamientos específicos para la brigada y la auditoría periódica de los insumos de primeros auxilios para garantizar su vigencia y operatividad permanente.</w:t>
      </w:r>
    </w:p>
    <w:p w:rsidRPr="00C140A0" w:rsidR="0038515C" w:rsidP="006A0A13" w:rsidRDefault="0038515C" w14:paraId="070E1185" w14:textId="77777777">
      <w:pPr>
        <w:spacing w:after="0" w:line="360" w:lineRule="auto"/>
        <w:jc w:val="both"/>
        <w:rPr>
          <w:rFonts w:ascii="Verdana" w:hAnsi="Verdana"/>
          <w:sz w:val="24"/>
          <w:szCs w:val="24"/>
        </w:rPr>
      </w:pPr>
    </w:p>
    <w:p w:rsidRPr="00C140A0" w:rsidR="00AD01AB" w:rsidP="001423C8" w:rsidRDefault="1D224B79" w14:paraId="41C2CAF9" w14:textId="77777777">
      <w:pPr>
        <w:spacing w:after="0" w:line="360" w:lineRule="auto"/>
        <w:jc w:val="center"/>
        <w:rPr>
          <w:rFonts w:ascii="Verdana" w:hAnsi="Verdana" w:eastAsia="Times New Roman" w:cs="Times New Roman"/>
          <w:sz w:val="18"/>
          <w:szCs w:val="18"/>
          <w:lang w:eastAsia="es-MX"/>
        </w:rPr>
      </w:pPr>
      <w:r w:rsidRPr="180099B3">
        <w:rPr>
          <w:rFonts w:ascii="Verdana" w:hAnsi="Verdana" w:eastAsia="Times New Roman" w:cs="Times New Roman"/>
          <w:sz w:val="18"/>
          <w:szCs w:val="18"/>
          <w:lang w:eastAsia="es-MX"/>
        </w:rPr>
        <w:t>Tabla</w:t>
      </w:r>
      <w:r w:rsidRPr="180099B3" w:rsidR="1F9C8783">
        <w:rPr>
          <w:rFonts w:ascii="Verdana" w:hAnsi="Verdana" w:eastAsia="Times New Roman" w:cs="Times New Roman"/>
          <w:sz w:val="18"/>
          <w:szCs w:val="18"/>
          <w:lang w:eastAsia="es-MX"/>
        </w:rPr>
        <w:t xml:space="preserve"> </w:t>
      </w:r>
      <w:r w:rsidRPr="180099B3" w:rsidR="295ECD42">
        <w:rPr>
          <w:rFonts w:ascii="Verdana" w:hAnsi="Verdana" w:eastAsia="Times New Roman" w:cs="Times New Roman"/>
          <w:sz w:val="18"/>
          <w:szCs w:val="18"/>
          <w:lang w:eastAsia="es-MX"/>
        </w:rPr>
        <w:t>N</w:t>
      </w:r>
      <w:r w:rsidRPr="180099B3" w:rsidR="1F9C8783">
        <w:rPr>
          <w:rFonts w:ascii="Verdana" w:hAnsi="Verdana" w:eastAsia="Times New Roman" w:cs="Times New Roman"/>
          <w:sz w:val="18"/>
          <w:szCs w:val="18"/>
          <w:lang w:eastAsia="es-MX"/>
        </w:rPr>
        <w:t>o. 25.</w:t>
      </w:r>
      <w:r w:rsidRPr="180099B3">
        <w:rPr>
          <w:rFonts w:ascii="Verdana" w:hAnsi="Verdana" w:eastAsia="Times New Roman" w:cs="Times New Roman"/>
          <w:sz w:val="18"/>
          <w:szCs w:val="18"/>
          <w:lang w:eastAsia="es-MX"/>
        </w:rPr>
        <w:t xml:space="preserve"> Lista Brigadistas 2026</w:t>
      </w:r>
    </w:p>
    <w:p w:rsidRPr="00C140A0" w:rsidR="00AD01AB" w:rsidP="001423C8" w:rsidRDefault="00AD01AB" w14:paraId="68F17A03" w14:textId="77777777">
      <w:pPr>
        <w:spacing w:after="0" w:line="360" w:lineRule="auto"/>
        <w:jc w:val="center"/>
        <w:rPr>
          <w:rFonts w:ascii="Verdana" w:hAnsi="Verdana" w:eastAsia="Times New Roman" w:cs="Times New Roman"/>
          <w:lang w:eastAsia="es-MX"/>
        </w:rPr>
      </w:pPr>
      <w:r w:rsidR="1A1FA6E7">
        <w:drawing>
          <wp:inline wp14:editId="490630EE" wp14:anchorId="75047C08">
            <wp:extent cx="4829175" cy="3450536"/>
            <wp:effectExtent l="19050" t="19050" r="9525" b="17145"/>
            <wp:docPr id="1250451977" name="Imagen 2"/>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Imagen 2"/>
                    <pic:cNvPicPr>
                      <a:picLocks noChangeAspect="1" noChangeArrowheads="1"/>
                    </pic:cNvPicPr>
                  </pic:nvPicPr>
                  <pic:blipFill>
                    <a:blip xmlns:r="http://schemas.openxmlformats.org/officeDocument/2006/relationships" r:embed="rId17">
                      <a:extLst>
                        <a:ext uri="{28A0092B-C50C-407E-A947-70E740481C1C}">
                          <a14:useLocalDpi xmlns:a14="http://schemas.microsoft.com/office/drawing/2010/main" val="0"/>
                        </a:ext>
                      </a:extLst>
                    </a:blip>
                    <a:srcRect/>
                    <a:stretch>
                      <a:fillRect/>
                    </a:stretch>
                  </pic:blipFill>
                  <pic:spPr bwMode="auto">
                    <a:xfrm>
                      <a:off x="0" y="0"/>
                      <a:ext cx="4831024" cy="3451857"/>
                    </a:xfrm>
                    <a:prstGeom prst="rect">
                      <a:avLst/>
                    </a:prstGeom>
                    <a:noFill/>
                    <a:ln>
                      <a:solidFill>
                        <a:schemeClr val="tx1"/>
                      </a:solidFill>
                    </a:ln>
                  </pic:spPr>
                </pic:pic>
              </a:graphicData>
            </a:graphic>
          </wp:inline>
        </w:drawing>
      </w:r>
      <w:commentRangeStart w:id="55430425"/>
      <w:commentRangeEnd w:id="55430425"/>
      <w:r>
        <w:rPr>
          <w:rStyle w:val="CommentReference"/>
        </w:rPr>
        <w:commentReference w:id="55430425"/>
      </w:r>
    </w:p>
    <w:p w:rsidRPr="00C140A0" w:rsidR="00AD01AB" w:rsidP="001423C8" w:rsidRDefault="1D224B79" w14:paraId="12E2B0D7" w14:textId="77777777">
      <w:pPr>
        <w:spacing w:after="0" w:line="360" w:lineRule="auto"/>
        <w:ind w:firstLine="708"/>
        <w:jc w:val="center"/>
        <w:rPr>
          <w:rFonts w:ascii="Verdana" w:hAnsi="Verdana"/>
          <w:sz w:val="18"/>
          <w:szCs w:val="18"/>
        </w:rPr>
      </w:pPr>
      <w:r w:rsidRPr="180099B3">
        <w:rPr>
          <w:rFonts w:ascii="Verdana" w:hAnsi="Verdana"/>
          <w:sz w:val="18"/>
          <w:szCs w:val="18"/>
        </w:rPr>
        <w:t>Fuente: Subdirección de Talento Humano – M</w:t>
      </w:r>
      <w:r w:rsidRPr="180099B3" w:rsidR="3DFAA104">
        <w:rPr>
          <w:rFonts w:ascii="Verdana" w:hAnsi="Verdana"/>
          <w:sz w:val="18"/>
          <w:szCs w:val="18"/>
        </w:rPr>
        <w:t>ME</w:t>
      </w:r>
    </w:p>
    <w:p w:rsidR="001423C8" w:rsidP="006A0A13" w:rsidRDefault="001423C8" w14:paraId="1DA6E33A" w14:textId="77777777">
      <w:pPr>
        <w:spacing w:after="0" w:line="360" w:lineRule="auto"/>
        <w:jc w:val="both"/>
        <w:rPr>
          <w:rFonts w:ascii="Verdana" w:hAnsi="Verdana"/>
          <w:sz w:val="24"/>
          <w:szCs w:val="24"/>
        </w:rPr>
      </w:pPr>
    </w:p>
    <w:p w:rsidRPr="001423C8" w:rsidR="00AD01AB" w:rsidP="006A0A13" w:rsidRDefault="1D224B79" w14:paraId="2667E79D" w14:textId="77777777">
      <w:pPr>
        <w:spacing w:after="0" w:line="360" w:lineRule="auto"/>
        <w:jc w:val="both"/>
        <w:rPr>
          <w:rFonts w:ascii="Verdana" w:hAnsi="Verdana"/>
          <w:sz w:val="18"/>
          <w:szCs w:val="18"/>
        </w:rPr>
      </w:pPr>
      <w:r w:rsidRPr="180099B3">
        <w:rPr>
          <w:rFonts w:ascii="Verdana" w:hAnsi="Verdana"/>
          <w:sz w:val="24"/>
          <w:szCs w:val="24"/>
        </w:rPr>
        <w:t xml:space="preserve">En el periodo 2022–2026, el Ministerio de Minas y Energía fortaleció la gestión del Plan Estratégico de Seguridad Vial (PESV), mediante su implementación, seguimiento y mejora continua, en cumplimiento del marco normativo vigente. Este proceso consolidó un enfoque institucional orientado a la prevención del riesgo vial, la movilidad segura y su </w:t>
      </w:r>
      <w:r w:rsidRPr="180099B3">
        <w:rPr>
          <w:rFonts w:ascii="Verdana" w:hAnsi="Verdana"/>
          <w:sz w:val="24"/>
          <w:szCs w:val="24"/>
        </w:rPr>
        <w:t>articulación con el Sistema de Gestión de Seguridad y Salud en el Trabajo (SG-SST).</w:t>
      </w:r>
    </w:p>
    <w:p w:rsidR="180099B3" w:rsidP="006A0A13" w:rsidRDefault="180099B3" w14:paraId="7B2D26B5" w14:textId="77777777">
      <w:pPr>
        <w:spacing w:after="0" w:line="360" w:lineRule="auto"/>
        <w:jc w:val="both"/>
        <w:rPr>
          <w:rFonts w:ascii="Verdana" w:hAnsi="Verdana"/>
          <w:sz w:val="24"/>
          <w:szCs w:val="24"/>
        </w:rPr>
      </w:pPr>
    </w:p>
    <w:p w:rsidR="00AD01AB" w:rsidP="001423C8" w:rsidRDefault="00AD01AB" w14:paraId="0E32E232" w14:textId="77777777">
      <w:pPr>
        <w:spacing w:after="0" w:line="240" w:lineRule="auto"/>
        <w:jc w:val="center"/>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Tabla</w:t>
      </w:r>
      <w:r w:rsidR="0038515C">
        <w:rPr>
          <w:rFonts w:ascii="Verdana" w:hAnsi="Verdana" w:eastAsia="Times New Roman" w:cs="Times New Roman"/>
          <w:sz w:val="18"/>
          <w:szCs w:val="18"/>
          <w:lang w:eastAsia="es-MX"/>
        </w:rPr>
        <w:t xml:space="preserve"> No. 26.</w:t>
      </w:r>
      <w:r w:rsidRPr="001423C8">
        <w:rPr>
          <w:rFonts w:ascii="Verdana" w:hAnsi="Verdana" w:eastAsia="Times New Roman" w:cs="Times New Roman"/>
          <w:sz w:val="18"/>
          <w:szCs w:val="18"/>
          <w:lang w:eastAsia="es-MX"/>
        </w:rPr>
        <w:t xml:space="preserve"> Resumen acciones en materia de (PESV)</w:t>
      </w:r>
    </w:p>
    <w:p w:rsidRPr="001423C8" w:rsidR="001423C8" w:rsidP="001423C8" w:rsidRDefault="001423C8" w14:paraId="511C5621" w14:textId="77777777">
      <w:pPr>
        <w:spacing w:after="0" w:line="240" w:lineRule="auto"/>
        <w:jc w:val="center"/>
        <w:rPr>
          <w:rFonts w:ascii="Verdana" w:hAnsi="Verdana" w:eastAsia="Times New Roman" w:cs="Times New Roman"/>
          <w:sz w:val="10"/>
          <w:szCs w:val="10"/>
          <w:lang w:eastAsia="es-MX"/>
        </w:rPr>
      </w:pPr>
    </w:p>
    <w:tbl>
      <w:tblPr>
        <w:tblStyle w:val="Tablaconcuadrcula"/>
        <w:tblW w:w="0" w:type="auto"/>
        <w:tblLook w:val="04A0" w:firstRow="1" w:lastRow="0" w:firstColumn="1" w:lastColumn="0" w:noHBand="0" w:noVBand="1"/>
      </w:tblPr>
      <w:tblGrid>
        <w:gridCol w:w="2207"/>
        <w:gridCol w:w="2207"/>
        <w:gridCol w:w="2207"/>
        <w:gridCol w:w="2207"/>
      </w:tblGrid>
      <w:tr w:rsidRPr="001423C8" w:rsidR="00AD01AB" w:rsidTr="0038515C" w14:paraId="617F02BC" w14:textId="77777777">
        <w:tc>
          <w:tcPr>
            <w:tcW w:w="2207" w:type="dxa"/>
            <w:shd w:val="clear" w:color="auto" w:fill="A6A6A6" w:themeFill="background1" w:themeFillShade="A6"/>
            <w:vAlign w:val="center"/>
          </w:tcPr>
          <w:p w:rsidRPr="001423C8" w:rsidR="00AD01AB" w:rsidP="001423C8" w:rsidRDefault="00AD01AB" w14:paraId="47211225" w14:textId="77777777">
            <w:pPr>
              <w:jc w:val="center"/>
              <w:rPr>
                <w:rFonts w:ascii="Verdana" w:hAnsi="Verdana" w:eastAsia="Times New Roman" w:cs="Times New Roman"/>
                <w:b/>
                <w:bCs/>
                <w:sz w:val="18"/>
                <w:szCs w:val="18"/>
                <w:lang w:eastAsia="es-MX"/>
              </w:rPr>
            </w:pPr>
            <w:r w:rsidRPr="001423C8">
              <w:rPr>
                <w:rFonts w:ascii="Verdana" w:hAnsi="Verdana" w:eastAsia="Times New Roman" w:cs="Times New Roman"/>
                <w:b/>
                <w:bCs/>
                <w:sz w:val="18"/>
                <w:szCs w:val="18"/>
                <w:lang w:eastAsia="es-MX"/>
              </w:rPr>
              <w:t>Línea Estratégica</w:t>
            </w:r>
          </w:p>
        </w:tc>
        <w:tc>
          <w:tcPr>
            <w:tcW w:w="2207" w:type="dxa"/>
            <w:shd w:val="clear" w:color="auto" w:fill="A6A6A6" w:themeFill="background1" w:themeFillShade="A6"/>
            <w:vAlign w:val="center"/>
          </w:tcPr>
          <w:p w:rsidRPr="001423C8" w:rsidR="00AD01AB" w:rsidP="001423C8" w:rsidRDefault="00AD01AB" w14:paraId="5AC1ED55" w14:textId="77777777">
            <w:pPr>
              <w:jc w:val="center"/>
              <w:rPr>
                <w:rFonts w:ascii="Verdana" w:hAnsi="Verdana" w:eastAsia="Times New Roman" w:cs="Times New Roman"/>
                <w:b/>
                <w:bCs/>
                <w:sz w:val="18"/>
                <w:szCs w:val="18"/>
                <w:lang w:eastAsia="es-MX"/>
              </w:rPr>
            </w:pPr>
            <w:r w:rsidRPr="001423C8">
              <w:rPr>
                <w:rFonts w:ascii="Verdana" w:hAnsi="Verdana" w:eastAsia="Times New Roman" w:cs="Times New Roman"/>
                <w:b/>
                <w:bCs/>
                <w:sz w:val="18"/>
                <w:szCs w:val="18"/>
                <w:lang w:eastAsia="es-MX"/>
              </w:rPr>
              <w:t>Gestión</w:t>
            </w:r>
          </w:p>
        </w:tc>
        <w:tc>
          <w:tcPr>
            <w:tcW w:w="2207" w:type="dxa"/>
            <w:shd w:val="clear" w:color="auto" w:fill="A6A6A6" w:themeFill="background1" w:themeFillShade="A6"/>
            <w:vAlign w:val="center"/>
          </w:tcPr>
          <w:p w:rsidRPr="001423C8" w:rsidR="00AD01AB" w:rsidP="001423C8" w:rsidRDefault="00AD01AB" w14:paraId="5CBAB230" w14:textId="77777777">
            <w:pPr>
              <w:jc w:val="center"/>
              <w:rPr>
                <w:rFonts w:ascii="Verdana" w:hAnsi="Verdana" w:eastAsia="Times New Roman" w:cs="Times New Roman"/>
                <w:b/>
                <w:bCs/>
                <w:sz w:val="18"/>
                <w:szCs w:val="18"/>
                <w:lang w:eastAsia="es-MX"/>
              </w:rPr>
            </w:pPr>
            <w:r w:rsidRPr="001423C8">
              <w:rPr>
                <w:rFonts w:ascii="Verdana" w:hAnsi="Verdana" w:eastAsia="Times New Roman" w:cs="Times New Roman"/>
                <w:b/>
                <w:bCs/>
                <w:sz w:val="18"/>
                <w:szCs w:val="18"/>
                <w:lang w:eastAsia="es-MX"/>
              </w:rPr>
              <w:t>Resultados</w:t>
            </w:r>
          </w:p>
        </w:tc>
        <w:tc>
          <w:tcPr>
            <w:tcW w:w="2207" w:type="dxa"/>
            <w:shd w:val="clear" w:color="auto" w:fill="A6A6A6" w:themeFill="background1" w:themeFillShade="A6"/>
            <w:vAlign w:val="center"/>
          </w:tcPr>
          <w:p w:rsidRPr="001423C8" w:rsidR="00AD01AB" w:rsidP="001423C8" w:rsidRDefault="00AD01AB" w14:paraId="0152D341" w14:textId="77777777">
            <w:pPr>
              <w:jc w:val="center"/>
              <w:rPr>
                <w:rFonts w:ascii="Verdana" w:hAnsi="Verdana" w:eastAsia="Times New Roman" w:cs="Times New Roman"/>
                <w:b/>
                <w:bCs/>
                <w:sz w:val="18"/>
                <w:szCs w:val="18"/>
                <w:lang w:eastAsia="es-MX"/>
              </w:rPr>
            </w:pPr>
            <w:r w:rsidRPr="001423C8">
              <w:rPr>
                <w:rFonts w:ascii="Verdana" w:hAnsi="Verdana" w:eastAsia="Times New Roman" w:cs="Times New Roman"/>
                <w:b/>
                <w:bCs/>
                <w:sz w:val="18"/>
                <w:szCs w:val="18"/>
                <w:lang w:eastAsia="es-MX"/>
              </w:rPr>
              <w:t>Impacto Institucional</w:t>
            </w:r>
          </w:p>
        </w:tc>
      </w:tr>
      <w:tr w:rsidRPr="001423C8" w:rsidR="00AD01AB" w:rsidTr="001423C8" w14:paraId="0B1B98FD" w14:textId="77777777">
        <w:tc>
          <w:tcPr>
            <w:tcW w:w="2207" w:type="dxa"/>
            <w:vAlign w:val="center"/>
          </w:tcPr>
          <w:p w:rsidRPr="001423C8" w:rsidR="00AD01AB" w:rsidP="001423C8" w:rsidRDefault="00AD01AB" w14:paraId="6098C0E2" w14:textId="77777777">
            <w:pPr>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Gestión del Plan Estratégico de Seguridad Vial (PESV)</w:t>
            </w:r>
          </w:p>
        </w:tc>
        <w:tc>
          <w:tcPr>
            <w:tcW w:w="2207" w:type="dxa"/>
            <w:vAlign w:val="center"/>
          </w:tcPr>
          <w:p w:rsidRPr="001423C8" w:rsidR="00AD01AB" w:rsidP="0038515C" w:rsidRDefault="00AD01AB" w14:paraId="5F2C9A8E" w14:textId="77777777">
            <w:pPr>
              <w:jc w:val="both"/>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Implementación, seguimiento y mejora continua del PESV, articulado con el SG-SST y en cumplimiento del marco normativo vigente. Actualización de políticas institucionales mediante resoluciones 00705 de 2021, 00609 de 2023 y 40019–40020 de 2025.</w:t>
            </w:r>
          </w:p>
        </w:tc>
        <w:tc>
          <w:tcPr>
            <w:tcW w:w="2207" w:type="dxa"/>
            <w:vAlign w:val="center"/>
          </w:tcPr>
          <w:p w:rsidRPr="001423C8" w:rsidR="00AD01AB" w:rsidP="0038515C" w:rsidRDefault="00AD01AB" w14:paraId="4D322E79" w14:textId="77777777">
            <w:pPr>
              <w:jc w:val="both"/>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Consolidación del PESV como componente institucional del SG-SST y adopción del enfoque de movilidad segura y sostenible.</w:t>
            </w:r>
          </w:p>
        </w:tc>
        <w:tc>
          <w:tcPr>
            <w:tcW w:w="2207" w:type="dxa"/>
            <w:vAlign w:val="center"/>
          </w:tcPr>
          <w:p w:rsidRPr="001423C8" w:rsidR="00AD01AB" w:rsidP="0038515C" w:rsidRDefault="00AD01AB" w14:paraId="192DBF96" w14:textId="77777777">
            <w:pPr>
              <w:jc w:val="both"/>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Fortalecimiento de la gestión del riesgo vial y alineación normativa e institucional del sistema de seguridad vial.</w:t>
            </w:r>
          </w:p>
        </w:tc>
      </w:tr>
      <w:tr w:rsidRPr="001423C8" w:rsidR="00AD01AB" w:rsidTr="001423C8" w14:paraId="27A54D17" w14:textId="77777777">
        <w:tc>
          <w:tcPr>
            <w:tcW w:w="2207" w:type="dxa"/>
            <w:vAlign w:val="center"/>
          </w:tcPr>
          <w:p w:rsidRPr="001423C8" w:rsidR="00AD01AB" w:rsidP="001423C8" w:rsidRDefault="00AD01AB" w14:paraId="3CC8DDEE" w14:textId="77777777">
            <w:pPr>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Formación y cultura de seguridad vial</w:t>
            </w:r>
          </w:p>
        </w:tc>
        <w:tc>
          <w:tcPr>
            <w:tcW w:w="2207" w:type="dxa"/>
            <w:vAlign w:val="center"/>
          </w:tcPr>
          <w:p w:rsidRPr="001423C8" w:rsidR="00AD01AB" w:rsidP="0038515C" w:rsidRDefault="00AD01AB" w14:paraId="00F6B9E6" w14:textId="77777777">
            <w:pPr>
              <w:jc w:val="both"/>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Ejecución de capacitaciones, talleres, campañas, jornadas pedagógicas y espacios experienciales (simuladores, Semana de la Cultura, Salud y Bienestar).</w:t>
            </w:r>
          </w:p>
        </w:tc>
        <w:tc>
          <w:tcPr>
            <w:tcW w:w="2207" w:type="dxa"/>
            <w:vAlign w:val="center"/>
          </w:tcPr>
          <w:p w:rsidRPr="001423C8" w:rsidR="00AD01AB" w:rsidP="0038515C" w:rsidRDefault="00AD01AB" w14:paraId="14465625" w14:textId="77777777">
            <w:pPr>
              <w:jc w:val="both"/>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Desarrollo de 18 de 20 actividades programadas (90% de cumplimiento) con cobertura del 100% de la población objetivo.</w:t>
            </w:r>
          </w:p>
        </w:tc>
        <w:tc>
          <w:tcPr>
            <w:tcW w:w="2207" w:type="dxa"/>
            <w:vAlign w:val="center"/>
          </w:tcPr>
          <w:p w:rsidRPr="001423C8" w:rsidR="00AD01AB" w:rsidP="0038515C" w:rsidRDefault="00AD01AB" w14:paraId="696375A6" w14:textId="77777777">
            <w:pPr>
              <w:jc w:val="both"/>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Fortalecimiento de la cultura vial, adopción de comportamientos seguros y reducción del riesgo asociado a la movilidad laboral.</w:t>
            </w:r>
          </w:p>
        </w:tc>
      </w:tr>
      <w:tr w:rsidRPr="001423C8" w:rsidR="00AD01AB" w:rsidTr="001423C8" w14:paraId="3FEAA5C7" w14:textId="77777777">
        <w:tc>
          <w:tcPr>
            <w:tcW w:w="2207" w:type="dxa"/>
            <w:vAlign w:val="center"/>
          </w:tcPr>
          <w:p w:rsidRPr="001423C8" w:rsidR="00AD01AB" w:rsidP="001423C8" w:rsidRDefault="00AD01AB" w14:paraId="0B8B3D2E" w14:textId="77777777">
            <w:pPr>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Gestión operativa del parque automotor</w:t>
            </w:r>
          </w:p>
        </w:tc>
        <w:tc>
          <w:tcPr>
            <w:tcW w:w="2207" w:type="dxa"/>
            <w:vAlign w:val="center"/>
          </w:tcPr>
          <w:p w:rsidRPr="001423C8" w:rsidR="00AD01AB" w:rsidP="0038515C" w:rsidRDefault="00AD01AB" w14:paraId="77B6CEAC" w14:textId="77777777">
            <w:pPr>
              <w:jc w:val="both"/>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Implementación de controles operativos: mantenimientos preventivos, inspecciones preoperacionales, verificación técnico-mecánica y control documental.</w:t>
            </w:r>
          </w:p>
        </w:tc>
        <w:tc>
          <w:tcPr>
            <w:tcW w:w="2207" w:type="dxa"/>
            <w:vAlign w:val="center"/>
          </w:tcPr>
          <w:p w:rsidRPr="001423C8" w:rsidR="00AD01AB" w:rsidP="0038515C" w:rsidRDefault="00AD01AB" w14:paraId="3B2388D5" w14:textId="77777777">
            <w:pPr>
              <w:jc w:val="both"/>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100% de mantenimientos preventivos ejecutados (62) y 575 inspecciones preoperacionales realizadas en 2025.</w:t>
            </w:r>
          </w:p>
        </w:tc>
        <w:tc>
          <w:tcPr>
            <w:tcW w:w="2207" w:type="dxa"/>
            <w:vAlign w:val="center"/>
          </w:tcPr>
          <w:p w:rsidRPr="001423C8" w:rsidR="00AD01AB" w:rsidP="0038515C" w:rsidRDefault="00AD01AB" w14:paraId="5D452007" w14:textId="77777777">
            <w:pPr>
              <w:jc w:val="both"/>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Mejora de las condiciones de seguridad vehicular y reducción de riesgos operacionales en desplazamientos institucionales.</w:t>
            </w:r>
          </w:p>
        </w:tc>
      </w:tr>
      <w:tr w:rsidRPr="001423C8" w:rsidR="00AD01AB" w:rsidTr="001423C8" w14:paraId="7C25D787" w14:textId="77777777">
        <w:tc>
          <w:tcPr>
            <w:tcW w:w="2207" w:type="dxa"/>
            <w:vAlign w:val="center"/>
          </w:tcPr>
          <w:p w:rsidRPr="001423C8" w:rsidR="00AD01AB" w:rsidP="001423C8" w:rsidRDefault="00AD01AB" w14:paraId="27E69916" w14:textId="77777777">
            <w:pPr>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Seguimiento e indicadores del riesgo vial</w:t>
            </w:r>
          </w:p>
        </w:tc>
        <w:tc>
          <w:tcPr>
            <w:tcW w:w="2207" w:type="dxa"/>
            <w:vAlign w:val="center"/>
          </w:tcPr>
          <w:p w:rsidRPr="001423C8" w:rsidR="00AD01AB" w:rsidP="0038515C" w:rsidRDefault="00AD01AB" w14:paraId="548BBA02" w14:textId="77777777">
            <w:pPr>
              <w:jc w:val="both"/>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Monitoreo de indicadores de formación, operación, mantenimiento y exposición al riesgo vial.</w:t>
            </w:r>
          </w:p>
        </w:tc>
        <w:tc>
          <w:tcPr>
            <w:tcW w:w="2207" w:type="dxa"/>
            <w:vAlign w:val="center"/>
          </w:tcPr>
          <w:p w:rsidRPr="001423C8" w:rsidR="00AD01AB" w:rsidP="0038515C" w:rsidRDefault="00AD01AB" w14:paraId="0F6BB07A" w14:textId="77777777">
            <w:pPr>
              <w:jc w:val="both"/>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Registro de 242.558 km recorridos en 2025 y fortalecimiento del sistema de indicadores del PESV.</w:t>
            </w:r>
          </w:p>
        </w:tc>
        <w:tc>
          <w:tcPr>
            <w:tcW w:w="2207" w:type="dxa"/>
            <w:vAlign w:val="center"/>
          </w:tcPr>
          <w:p w:rsidRPr="001423C8" w:rsidR="00AD01AB" w:rsidP="0038515C" w:rsidRDefault="00AD01AB" w14:paraId="315DF251" w14:textId="77777777">
            <w:pPr>
              <w:jc w:val="both"/>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Mayor capacidad de análisis y toma de decisiones para la prevención de siniestros viales.</w:t>
            </w:r>
          </w:p>
        </w:tc>
      </w:tr>
      <w:tr w:rsidRPr="001423C8" w:rsidR="00AD01AB" w:rsidTr="001423C8" w14:paraId="329E1CAE" w14:textId="77777777">
        <w:tc>
          <w:tcPr>
            <w:tcW w:w="2207" w:type="dxa"/>
            <w:vAlign w:val="center"/>
          </w:tcPr>
          <w:p w:rsidRPr="001423C8" w:rsidR="00AD01AB" w:rsidP="001423C8" w:rsidRDefault="00AD01AB" w14:paraId="52CA4888" w14:textId="77777777">
            <w:pPr>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Mejora continua y desempeño del sistema</w:t>
            </w:r>
          </w:p>
        </w:tc>
        <w:tc>
          <w:tcPr>
            <w:tcW w:w="2207" w:type="dxa"/>
            <w:vAlign w:val="center"/>
          </w:tcPr>
          <w:p w:rsidRPr="001423C8" w:rsidR="00AD01AB" w:rsidP="0038515C" w:rsidRDefault="00AD01AB" w14:paraId="354D783A" w14:textId="77777777">
            <w:pPr>
              <w:jc w:val="both"/>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Implementación de la metodología de diagnóstico y reporte de avance del PESV (Res. 40595 de 2022 y Circular 034 de 2026).</w:t>
            </w:r>
          </w:p>
        </w:tc>
        <w:tc>
          <w:tcPr>
            <w:tcW w:w="2207" w:type="dxa"/>
            <w:vAlign w:val="center"/>
          </w:tcPr>
          <w:p w:rsidRPr="001423C8" w:rsidR="00AD01AB" w:rsidP="0038515C" w:rsidRDefault="00AD01AB" w14:paraId="780A1558" w14:textId="77777777">
            <w:pPr>
              <w:jc w:val="both"/>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Mejora del cumplimiento del PESV del 33% (abril 2025) al 75% (diciembre 2025).</w:t>
            </w:r>
          </w:p>
        </w:tc>
        <w:tc>
          <w:tcPr>
            <w:tcW w:w="2207" w:type="dxa"/>
            <w:vAlign w:val="center"/>
          </w:tcPr>
          <w:p w:rsidRPr="001423C8" w:rsidR="00AD01AB" w:rsidP="0038515C" w:rsidRDefault="00AD01AB" w14:paraId="35E1CDBA" w14:textId="77777777">
            <w:pPr>
              <w:jc w:val="both"/>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Cierre de brechas, fortalecimiento documental y consolidación del sistema de gestión vial institucional.</w:t>
            </w:r>
          </w:p>
        </w:tc>
      </w:tr>
    </w:tbl>
    <w:p w:rsidRPr="001423C8" w:rsidR="001423C8" w:rsidP="001423C8" w:rsidRDefault="001423C8" w14:paraId="76BF1D51" w14:textId="77777777">
      <w:pPr>
        <w:spacing w:after="0" w:line="240" w:lineRule="auto"/>
        <w:jc w:val="center"/>
        <w:rPr>
          <w:rFonts w:ascii="Verdana" w:hAnsi="Verdana"/>
          <w:sz w:val="10"/>
          <w:szCs w:val="10"/>
        </w:rPr>
      </w:pPr>
    </w:p>
    <w:p w:rsidRPr="001423C8" w:rsidR="00AD01AB" w:rsidP="001423C8" w:rsidRDefault="1D224B79" w14:paraId="1CD4B207" w14:textId="77777777">
      <w:pPr>
        <w:spacing w:after="0" w:line="240" w:lineRule="auto"/>
        <w:jc w:val="center"/>
        <w:rPr>
          <w:rFonts w:ascii="Verdana" w:hAnsi="Verdana"/>
          <w:sz w:val="18"/>
          <w:szCs w:val="18"/>
        </w:rPr>
      </w:pPr>
      <w:r w:rsidRPr="180099B3">
        <w:rPr>
          <w:rFonts w:ascii="Verdana" w:hAnsi="Verdana"/>
          <w:sz w:val="18"/>
          <w:szCs w:val="18"/>
        </w:rPr>
        <w:t xml:space="preserve">Fuente: Subdirección de Talento Humano – </w:t>
      </w:r>
      <w:r w:rsidRPr="180099B3" w:rsidR="36708979">
        <w:rPr>
          <w:rFonts w:ascii="Verdana" w:hAnsi="Verdana"/>
          <w:sz w:val="18"/>
          <w:szCs w:val="18"/>
        </w:rPr>
        <w:t>MME</w:t>
      </w:r>
    </w:p>
    <w:p w:rsidR="001423C8" w:rsidP="001423C8" w:rsidRDefault="001423C8" w14:paraId="26BE64ED" w14:textId="77777777">
      <w:pPr>
        <w:spacing w:after="0" w:line="360" w:lineRule="auto"/>
        <w:jc w:val="both"/>
        <w:rPr>
          <w:rFonts w:ascii="Verdana" w:hAnsi="Verdana"/>
          <w:sz w:val="24"/>
          <w:szCs w:val="24"/>
        </w:rPr>
      </w:pPr>
    </w:p>
    <w:p w:rsidR="00AD01AB" w:rsidP="006A0A13" w:rsidRDefault="00AD01AB" w14:paraId="71329C48" w14:textId="4D09A491">
      <w:pPr>
        <w:spacing w:after="0" w:line="360" w:lineRule="auto"/>
        <w:jc w:val="both"/>
        <w:rPr>
          <w:rFonts w:ascii="Verdana" w:hAnsi="Verdana"/>
          <w:sz w:val="24"/>
          <w:szCs w:val="24"/>
        </w:rPr>
      </w:pPr>
      <w:r w:rsidRPr="30CF4445" w:rsidR="1A1FA6E7">
        <w:rPr>
          <w:rFonts w:ascii="Verdana" w:hAnsi="Verdana"/>
          <w:sz w:val="24"/>
          <w:szCs w:val="24"/>
        </w:rPr>
        <w:t>Finalmente, se recomienda que durante el segundo semestre de 2026 se adelante, en coordinación con la Secretaría General y la Subdirección de Talento Humano, el proceso de conformación y elección del nuevo Comité de Convivencia Laboral y del Comité Paritario de Seguridad y Salud en el Trabajo (COPASST), así como el fortalecimiento y continuidad de las brigadas de emergencia institucionales. De igual manera, es necesario continuar con el fortalecimiento del sistema</w:t>
      </w:r>
      <w:r w:rsidRPr="30CF4445" w:rsidR="22F3CEC2">
        <w:rPr>
          <w:rFonts w:ascii="Verdana" w:hAnsi="Verdana"/>
          <w:sz w:val="24"/>
          <w:szCs w:val="24"/>
        </w:rPr>
        <w:t>,</w:t>
      </w:r>
      <w:r w:rsidRPr="30CF4445" w:rsidR="1A1FA6E7">
        <w:rPr>
          <w:rFonts w:ascii="Verdana" w:hAnsi="Verdana"/>
          <w:sz w:val="24"/>
          <w:szCs w:val="24"/>
        </w:rPr>
        <w:t xml:space="preserve"> la programación de reentrenamientos específicos para la brigada y la auditoría periódica de los insumos de primeros auxilios para garantizar su vigencia y operatividad permanente.</w:t>
      </w:r>
    </w:p>
    <w:p w:rsidRPr="00C140A0" w:rsidR="001423C8" w:rsidP="006A0A13" w:rsidRDefault="001423C8" w14:paraId="3DA25B3C" w14:textId="77777777">
      <w:pPr>
        <w:spacing w:after="0" w:line="360" w:lineRule="auto"/>
        <w:jc w:val="both"/>
        <w:rPr>
          <w:rFonts w:ascii="Verdana" w:hAnsi="Verdana"/>
          <w:sz w:val="24"/>
          <w:szCs w:val="24"/>
        </w:rPr>
      </w:pPr>
    </w:p>
    <w:p w:rsidR="00A82055" w:rsidRDefault="00A82055" w14:paraId="1892E7FD" w14:textId="77777777">
      <w:pPr>
        <w:pStyle w:val="Prrafodelista"/>
        <w:numPr>
          <w:ilvl w:val="1"/>
          <w:numId w:val="42"/>
        </w:numPr>
        <w:spacing w:after="0" w:line="360" w:lineRule="auto"/>
        <w:outlineLvl w:val="1"/>
        <w:rPr>
          <w:rFonts w:ascii="Verdana" w:hAnsi="Verdana"/>
          <w:b/>
          <w:bCs/>
          <w:sz w:val="24"/>
          <w:szCs w:val="24"/>
        </w:rPr>
      </w:pPr>
      <w:bookmarkStart w:name="_Toc233996727" w:id="10"/>
      <w:r w:rsidRPr="00C140A0">
        <w:rPr>
          <w:rFonts w:ascii="Verdana" w:hAnsi="Verdana"/>
          <w:b/>
          <w:bCs/>
          <w:sz w:val="24"/>
          <w:szCs w:val="24"/>
        </w:rPr>
        <w:t>Avances trabajo decente y libertad sindical</w:t>
      </w:r>
      <w:bookmarkEnd w:id="10"/>
    </w:p>
    <w:p w:rsidRPr="001423C8" w:rsidR="001423C8" w:rsidP="006A0A13" w:rsidRDefault="001423C8" w14:paraId="56DA8A8F" w14:textId="77777777">
      <w:pPr>
        <w:spacing w:after="0" w:line="360" w:lineRule="auto"/>
        <w:outlineLvl w:val="1"/>
        <w:rPr>
          <w:rFonts w:ascii="Verdana" w:hAnsi="Verdana"/>
          <w:b/>
          <w:bCs/>
          <w:sz w:val="24"/>
          <w:szCs w:val="24"/>
        </w:rPr>
      </w:pPr>
    </w:p>
    <w:p w:rsidR="00AD01AB" w:rsidP="006A0A13" w:rsidRDefault="00AD01AB" w14:paraId="19026BE4" w14:textId="2E7EAA81">
      <w:pPr>
        <w:spacing w:after="0" w:line="360" w:lineRule="auto"/>
        <w:jc w:val="both"/>
        <w:rPr>
          <w:rFonts w:ascii="Verdana" w:hAnsi="Verdana"/>
          <w:sz w:val="24"/>
          <w:szCs w:val="24"/>
        </w:rPr>
      </w:pPr>
      <w:r w:rsidRPr="30CF4445" w:rsidR="1A1FA6E7">
        <w:rPr>
          <w:rFonts w:ascii="Verdana" w:hAnsi="Verdana"/>
          <w:sz w:val="24"/>
          <w:szCs w:val="24"/>
        </w:rPr>
        <w:t xml:space="preserve">Durante el periodo 2022-2026, la entidad ha orientado sus acciones al fortalecimiento de los principios de trabajo decente y garantía de la libertad sindical, en concordancia con la Constitución Política, los Convenios de la Organización </w:t>
      </w:r>
      <w:r w:rsidRPr="30CF4445" w:rsidR="44D55F20">
        <w:rPr>
          <w:rFonts w:ascii="Verdana" w:hAnsi="Verdana"/>
          <w:sz w:val="24"/>
          <w:szCs w:val="24"/>
        </w:rPr>
        <w:t>I</w:t>
      </w:r>
      <w:r w:rsidRPr="30CF4445" w:rsidR="1A1FA6E7">
        <w:rPr>
          <w:rFonts w:ascii="Verdana" w:hAnsi="Verdana"/>
          <w:sz w:val="24"/>
          <w:szCs w:val="24"/>
        </w:rPr>
        <w:t>nternacional del Trabajo</w:t>
      </w:r>
      <w:r w:rsidRPr="30CF4445" w:rsidR="56B3C740">
        <w:rPr>
          <w:rFonts w:ascii="Verdana" w:hAnsi="Verdana"/>
          <w:sz w:val="24"/>
          <w:szCs w:val="24"/>
        </w:rPr>
        <w:t xml:space="preserve"> </w:t>
      </w:r>
      <w:r w:rsidRPr="30CF4445" w:rsidR="3D9CEACC">
        <w:rPr>
          <w:rFonts w:ascii="Verdana" w:hAnsi="Verdana"/>
          <w:sz w:val="24"/>
          <w:szCs w:val="24"/>
        </w:rPr>
        <w:t>(</w:t>
      </w:r>
      <w:r w:rsidRPr="30CF4445" w:rsidR="1A1FA6E7">
        <w:rPr>
          <w:rFonts w:ascii="Verdana" w:hAnsi="Verdana"/>
          <w:sz w:val="24"/>
          <w:szCs w:val="24"/>
        </w:rPr>
        <w:t>OIT</w:t>
      </w:r>
      <w:r w:rsidRPr="30CF4445" w:rsidR="798312EB">
        <w:rPr>
          <w:rFonts w:ascii="Verdana" w:hAnsi="Verdana"/>
          <w:sz w:val="24"/>
          <w:szCs w:val="24"/>
        </w:rPr>
        <w:t>)</w:t>
      </w:r>
      <w:r w:rsidRPr="30CF4445" w:rsidR="1A1FA6E7">
        <w:rPr>
          <w:rFonts w:ascii="Verdana" w:hAnsi="Verdana"/>
          <w:sz w:val="24"/>
          <w:szCs w:val="24"/>
        </w:rPr>
        <w:t>- ratificados por Colombia, el Plan Nacional de Desarrollo y la normativa vigente aplicable al empleo público y las relaciones laborales colectivas.</w:t>
      </w:r>
    </w:p>
    <w:p w:rsidRPr="00C140A0" w:rsidR="001423C8" w:rsidP="006A0A13" w:rsidRDefault="001423C8" w14:paraId="0CF1B870" w14:textId="77777777">
      <w:pPr>
        <w:spacing w:after="0" w:line="360" w:lineRule="auto"/>
        <w:jc w:val="both"/>
        <w:rPr>
          <w:rFonts w:ascii="Verdana" w:hAnsi="Verdana"/>
          <w:sz w:val="24"/>
          <w:szCs w:val="24"/>
        </w:rPr>
      </w:pPr>
    </w:p>
    <w:p w:rsidR="00C04ED5" w:rsidP="006A0A13" w:rsidRDefault="00AD01AB" w14:paraId="303D536A" w14:textId="77777777">
      <w:pPr>
        <w:spacing w:after="0" w:line="360" w:lineRule="auto"/>
        <w:jc w:val="both"/>
        <w:rPr>
          <w:rFonts w:ascii="Verdana" w:hAnsi="Verdana"/>
          <w:sz w:val="24"/>
          <w:szCs w:val="24"/>
        </w:rPr>
      </w:pPr>
      <w:r w:rsidRPr="00C140A0">
        <w:rPr>
          <w:rFonts w:ascii="Verdana" w:hAnsi="Verdana"/>
          <w:sz w:val="24"/>
          <w:szCs w:val="24"/>
        </w:rPr>
        <w:t>En desarrollo de este enfoque, se han implementado estrategias institucionales dirigidas a fortalecer el diálogo social, mejorar las condiciones laborales, promover ambientes de trabajo seguros y fomentar relaciones laborales basadas en el respeto, la participación y la concertación.</w:t>
      </w:r>
    </w:p>
    <w:p w:rsidRPr="00C140A0" w:rsidR="001423C8" w:rsidP="006A0A13" w:rsidRDefault="001423C8" w14:paraId="3BB5E239" w14:textId="77777777">
      <w:pPr>
        <w:spacing w:after="0" w:line="360" w:lineRule="auto"/>
        <w:jc w:val="both"/>
        <w:rPr>
          <w:rFonts w:ascii="Verdana" w:hAnsi="Verdana"/>
          <w:sz w:val="24"/>
          <w:szCs w:val="24"/>
        </w:rPr>
      </w:pPr>
    </w:p>
    <w:p w:rsidR="00AD01AB" w:rsidP="001423C8" w:rsidRDefault="00AD01AB" w14:paraId="4BB480F2" w14:textId="77777777">
      <w:pPr>
        <w:spacing w:after="0" w:line="240" w:lineRule="auto"/>
        <w:jc w:val="center"/>
        <w:rPr>
          <w:rFonts w:ascii="Verdana" w:hAnsi="Verdana"/>
          <w:sz w:val="18"/>
          <w:szCs w:val="18"/>
        </w:rPr>
      </w:pPr>
      <w:r w:rsidRPr="001423C8">
        <w:rPr>
          <w:rFonts w:ascii="Verdana" w:hAnsi="Verdana"/>
          <w:sz w:val="18"/>
          <w:szCs w:val="18"/>
        </w:rPr>
        <w:t>Tabla</w:t>
      </w:r>
      <w:r w:rsidR="0038515C">
        <w:rPr>
          <w:rFonts w:ascii="Verdana" w:hAnsi="Verdana"/>
          <w:sz w:val="18"/>
          <w:szCs w:val="18"/>
        </w:rPr>
        <w:t xml:space="preserve"> No. 27.</w:t>
      </w:r>
      <w:r w:rsidRPr="001423C8">
        <w:rPr>
          <w:rFonts w:ascii="Verdana" w:hAnsi="Verdana"/>
          <w:sz w:val="18"/>
          <w:szCs w:val="18"/>
        </w:rPr>
        <w:t xml:space="preserve"> Principales acciones en materia de trabajo decente y libertad sindical</w:t>
      </w:r>
    </w:p>
    <w:p w:rsidRPr="001423C8" w:rsidR="001423C8" w:rsidP="001423C8" w:rsidRDefault="001423C8" w14:paraId="66C38E64" w14:textId="77777777">
      <w:pPr>
        <w:spacing w:after="0" w:line="240" w:lineRule="auto"/>
        <w:jc w:val="center"/>
        <w:rPr>
          <w:rFonts w:ascii="Verdana" w:hAnsi="Verdana"/>
          <w:sz w:val="10"/>
          <w:szCs w:val="10"/>
        </w:rPr>
      </w:pPr>
    </w:p>
    <w:tbl>
      <w:tblPr>
        <w:tblStyle w:val="Tabladecuadrcula2"/>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Look w:val="04A0" w:firstRow="1" w:lastRow="0" w:firstColumn="1" w:lastColumn="0" w:noHBand="0" w:noVBand="1"/>
      </w:tblPr>
      <w:tblGrid>
        <w:gridCol w:w="2491"/>
        <w:gridCol w:w="3222"/>
        <w:gridCol w:w="3115"/>
      </w:tblGrid>
      <w:tr w:rsidRPr="001423C8" w:rsidR="00AD01AB" w:rsidTr="0038515C" w14:paraId="1C54499F"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color="auto" w:sz="0" w:space="0"/>
              <w:bottom w:val="none" w:color="auto" w:sz="0" w:space="0"/>
              <w:right w:val="none" w:color="auto" w:sz="0" w:space="0"/>
            </w:tcBorders>
            <w:shd w:val="clear" w:color="auto" w:fill="A6A6A6" w:themeFill="background1" w:themeFillShade="A6"/>
            <w:vAlign w:val="center"/>
            <w:hideMark/>
          </w:tcPr>
          <w:p w:rsidRPr="001423C8" w:rsidR="00AD01AB" w:rsidP="001423C8" w:rsidRDefault="00AD01AB" w14:paraId="773A814B" w14:textId="77777777">
            <w:pPr>
              <w:jc w:val="center"/>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Línea estratégica</w:t>
            </w:r>
          </w:p>
        </w:tc>
        <w:tc>
          <w:tcPr>
            <w:tcW w:w="0" w:type="auto"/>
            <w:tcBorders>
              <w:top w:val="none" w:color="auto" w:sz="0" w:space="0"/>
              <w:left w:val="none" w:color="auto" w:sz="0" w:space="0"/>
              <w:bottom w:val="none" w:color="auto" w:sz="0" w:space="0"/>
              <w:right w:val="none" w:color="auto" w:sz="0" w:space="0"/>
            </w:tcBorders>
            <w:shd w:val="clear" w:color="auto" w:fill="A6A6A6" w:themeFill="background1" w:themeFillShade="A6"/>
            <w:vAlign w:val="center"/>
            <w:hideMark/>
          </w:tcPr>
          <w:p w:rsidRPr="001423C8" w:rsidR="00AD01AB" w:rsidP="001423C8" w:rsidRDefault="00AD01AB" w14:paraId="1A7F1AD3" w14:textId="77777777">
            <w:pPr>
              <w:jc w:val="center"/>
              <w:cnfStyle w:val="100000000000" w:firstRow="1" w:lastRow="0" w:firstColumn="0" w:lastColumn="0" w:oddVBand="0" w:evenVBand="0" w:oddHBand="0" w:evenHBand="0" w:firstRowFirstColumn="0" w:firstRowLastColumn="0" w:lastRowFirstColumn="0" w:lastRowLastColumn="0"/>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Gestión / resultados 2022–2026</w:t>
            </w:r>
          </w:p>
        </w:tc>
        <w:tc>
          <w:tcPr>
            <w:tcW w:w="0" w:type="auto"/>
            <w:tcBorders>
              <w:top w:val="none" w:color="auto" w:sz="0" w:space="0"/>
              <w:left w:val="none" w:color="auto" w:sz="0" w:space="0"/>
              <w:bottom w:val="none" w:color="auto" w:sz="0" w:space="0"/>
            </w:tcBorders>
            <w:shd w:val="clear" w:color="auto" w:fill="A6A6A6" w:themeFill="background1" w:themeFillShade="A6"/>
            <w:vAlign w:val="center"/>
            <w:hideMark/>
          </w:tcPr>
          <w:p w:rsidRPr="001423C8" w:rsidR="00AD01AB" w:rsidP="001423C8" w:rsidRDefault="00AD01AB" w14:paraId="1934DECE" w14:textId="77777777">
            <w:pPr>
              <w:jc w:val="center"/>
              <w:cnfStyle w:val="100000000000" w:firstRow="1" w:lastRow="0" w:firstColumn="0" w:lastColumn="0" w:oddVBand="0" w:evenVBand="0" w:oddHBand="0" w:evenHBand="0" w:firstRowFirstColumn="0" w:firstRowLastColumn="0" w:lastRowFirstColumn="0" w:lastRowLastColumn="0"/>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Impacto o resultados institucionales</w:t>
            </w:r>
          </w:p>
        </w:tc>
      </w:tr>
      <w:tr w:rsidRPr="001423C8" w:rsidR="00AD01AB" w:rsidTr="0038515C" w14:paraId="50E0CE3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hideMark/>
          </w:tcPr>
          <w:p w:rsidRPr="001423C8" w:rsidR="00AD01AB" w:rsidP="001423C8" w:rsidRDefault="00AD01AB" w14:paraId="689928DC" w14:textId="77777777">
            <w:pPr>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Promoción del trabajo decente</w:t>
            </w:r>
          </w:p>
        </w:tc>
        <w:tc>
          <w:tcPr>
            <w:tcW w:w="0" w:type="auto"/>
            <w:shd w:val="clear" w:color="auto" w:fill="FFFFFF" w:themeFill="background1"/>
            <w:vAlign w:val="center"/>
            <w:hideMark/>
          </w:tcPr>
          <w:p w:rsidRPr="001423C8" w:rsidR="00AD01AB" w:rsidP="00CE699F" w:rsidRDefault="00AD01AB" w14:paraId="56C1606E" w14:textId="77777777">
            <w:pPr>
              <w:jc w:val="both"/>
              <w:cnfStyle w:val="000000100000" w:firstRow="0" w:lastRow="0" w:firstColumn="0" w:lastColumn="0" w:oddVBand="0" w:evenVBand="0" w:oddHBand="1" w:evenHBand="0" w:firstRowFirstColumn="0" w:firstRowLastColumn="0" w:lastRowFirstColumn="0" w:lastRowLastColumn="0"/>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 xml:space="preserve">Implementación de políticas y prácticas orientadas al fortalecimiento del trabajo </w:t>
            </w:r>
            <w:r w:rsidRPr="001423C8">
              <w:rPr>
                <w:rFonts w:ascii="Verdana" w:hAnsi="Verdana" w:eastAsia="Times New Roman" w:cs="Times New Roman"/>
                <w:sz w:val="18"/>
                <w:szCs w:val="18"/>
                <w:lang w:eastAsia="es-MX"/>
              </w:rPr>
              <w:t>decente, en concordancia con la Constitución Política, los convenios de la OIT, el Plan Nacional de Desarrollo y la normativa aplicable al empleo público.</w:t>
            </w:r>
          </w:p>
        </w:tc>
        <w:tc>
          <w:tcPr>
            <w:tcW w:w="0" w:type="auto"/>
            <w:shd w:val="clear" w:color="auto" w:fill="FFFFFF" w:themeFill="background1"/>
            <w:vAlign w:val="center"/>
            <w:hideMark/>
          </w:tcPr>
          <w:p w:rsidRPr="001423C8" w:rsidR="00AD01AB" w:rsidP="00CE699F" w:rsidRDefault="00AD01AB" w14:paraId="539D3400" w14:textId="77777777">
            <w:pPr>
              <w:jc w:val="both"/>
              <w:cnfStyle w:val="000000100000" w:firstRow="0" w:lastRow="0" w:firstColumn="0" w:lastColumn="0" w:oddVBand="0" w:evenVBand="0" w:oddHBand="1" w:evenHBand="0" w:firstRowFirstColumn="0" w:firstRowLastColumn="0" w:lastRowFirstColumn="0" w:lastRowLastColumn="0"/>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 xml:space="preserve">Consolidación de condiciones laborales orientadas al bienestar, la dignidad humana y </w:t>
            </w:r>
            <w:r w:rsidRPr="001423C8">
              <w:rPr>
                <w:rFonts w:ascii="Verdana" w:hAnsi="Verdana" w:eastAsia="Times New Roman" w:cs="Times New Roman"/>
                <w:sz w:val="18"/>
                <w:szCs w:val="18"/>
                <w:lang w:eastAsia="es-MX"/>
              </w:rPr>
              <w:t>el fortalecimiento de la gestión del talento humano en la Entidad.</w:t>
            </w:r>
          </w:p>
        </w:tc>
      </w:tr>
      <w:tr w:rsidRPr="001423C8" w:rsidR="00AD01AB" w:rsidTr="0038515C" w14:paraId="0E290A1D" w14:textId="77777777">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hideMark/>
          </w:tcPr>
          <w:p w:rsidRPr="001423C8" w:rsidR="00AD01AB" w:rsidP="001423C8" w:rsidRDefault="00AD01AB" w14:paraId="5B553674" w14:textId="77777777">
            <w:pPr>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Bienestar laboral, salud mental y calidad de vida</w:t>
            </w:r>
          </w:p>
        </w:tc>
        <w:tc>
          <w:tcPr>
            <w:tcW w:w="0" w:type="auto"/>
            <w:shd w:val="clear" w:color="auto" w:fill="FFFFFF" w:themeFill="background1"/>
            <w:vAlign w:val="center"/>
            <w:hideMark/>
          </w:tcPr>
          <w:p w:rsidRPr="001423C8" w:rsidR="00AD01AB" w:rsidP="00CE699F" w:rsidRDefault="00AD01AB" w14:paraId="6F16EBBC" w14:textId="77777777">
            <w:pPr>
              <w:jc w:val="both"/>
              <w:cnfStyle w:val="000000000000" w:firstRow="0" w:lastRow="0" w:firstColumn="0" w:lastColumn="0" w:oddVBand="0" w:evenVBand="0" w:oddHBand="0" w:evenHBand="0" w:firstRowFirstColumn="0" w:firstRowLastColumn="0" w:lastRowFirstColumn="0" w:lastRowLastColumn="0"/>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Fortalecimiento de programas de bienestar laboral, prevención del riesgo psicosocial, promoción de la salud mental y mejoramiento de la calidad de vida laboral.</w:t>
            </w:r>
          </w:p>
        </w:tc>
        <w:tc>
          <w:tcPr>
            <w:tcW w:w="0" w:type="auto"/>
            <w:shd w:val="clear" w:color="auto" w:fill="FFFFFF" w:themeFill="background1"/>
            <w:vAlign w:val="center"/>
            <w:hideMark/>
          </w:tcPr>
          <w:p w:rsidRPr="001423C8" w:rsidR="00AD01AB" w:rsidP="00CE699F" w:rsidRDefault="00AD01AB" w14:paraId="5D5E8534" w14:textId="77777777">
            <w:pPr>
              <w:jc w:val="both"/>
              <w:cnfStyle w:val="000000000000" w:firstRow="0" w:lastRow="0" w:firstColumn="0" w:lastColumn="0" w:oddVBand="0" w:evenVBand="0" w:oddHBand="0" w:evenHBand="0" w:firstRowFirstColumn="0" w:firstRowLastColumn="0" w:lastRowFirstColumn="0" w:lastRowLastColumn="0"/>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Contribución al bienestar integral de los servidores públicos y fortalecimiento de ambientes laborales saludables y productivos.</w:t>
            </w:r>
          </w:p>
        </w:tc>
      </w:tr>
      <w:tr w:rsidRPr="001423C8" w:rsidR="00AD01AB" w:rsidTr="0038515C" w14:paraId="5267FDB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hideMark/>
          </w:tcPr>
          <w:p w:rsidRPr="001423C8" w:rsidR="00AD01AB" w:rsidP="001423C8" w:rsidRDefault="00AD01AB" w14:paraId="5775B56D" w14:textId="77777777">
            <w:pPr>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Desarrollo de capacidades y fortalecimiento de competencias</w:t>
            </w:r>
          </w:p>
        </w:tc>
        <w:tc>
          <w:tcPr>
            <w:tcW w:w="0" w:type="auto"/>
            <w:shd w:val="clear" w:color="auto" w:fill="FFFFFF" w:themeFill="background1"/>
            <w:vAlign w:val="center"/>
            <w:hideMark/>
          </w:tcPr>
          <w:p w:rsidRPr="001423C8" w:rsidR="00AD01AB" w:rsidP="00CE699F" w:rsidRDefault="00AD01AB" w14:paraId="59BE0DF5" w14:textId="77777777">
            <w:pPr>
              <w:jc w:val="both"/>
              <w:cnfStyle w:val="000000100000" w:firstRow="0" w:lastRow="0" w:firstColumn="0" w:lastColumn="0" w:oddVBand="0" w:evenVBand="0" w:oddHBand="1" w:evenHBand="0" w:firstRowFirstColumn="0" w:firstRowLastColumn="0" w:lastRowFirstColumn="0" w:lastRowLastColumn="0"/>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Implementación de estrategias de capacitación y desarrollo de competencias laborales para servidores públicos y colaboradores.</w:t>
            </w:r>
          </w:p>
        </w:tc>
        <w:tc>
          <w:tcPr>
            <w:tcW w:w="0" w:type="auto"/>
            <w:shd w:val="clear" w:color="auto" w:fill="FFFFFF" w:themeFill="background1"/>
            <w:vAlign w:val="center"/>
            <w:hideMark/>
          </w:tcPr>
          <w:p w:rsidRPr="001423C8" w:rsidR="00AD01AB" w:rsidP="00CE699F" w:rsidRDefault="00AD01AB" w14:paraId="6B2A5767" w14:textId="77777777">
            <w:pPr>
              <w:jc w:val="both"/>
              <w:cnfStyle w:val="000000100000" w:firstRow="0" w:lastRow="0" w:firstColumn="0" w:lastColumn="0" w:oddVBand="0" w:evenVBand="0" w:oddHBand="1" w:evenHBand="0" w:firstRowFirstColumn="0" w:firstRowLastColumn="0" w:lastRowFirstColumn="0" w:lastRowLastColumn="0"/>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Fortalecimiento del desempeño institucional y mejora de las capacidades técnicas y administrativas del talento humano.</w:t>
            </w:r>
          </w:p>
        </w:tc>
      </w:tr>
      <w:tr w:rsidRPr="001423C8" w:rsidR="00AD01AB" w:rsidTr="0038515C" w14:paraId="5E2C4FFB" w14:textId="77777777">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hideMark/>
          </w:tcPr>
          <w:p w:rsidRPr="001423C8" w:rsidR="00AD01AB" w:rsidP="001423C8" w:rsidRDefault="00AD01AB" w14:paraId="7A7DDDC0" w14:textId="77777777">
            <w:pPr>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Igualdad de oportunidades e inclusión</w:t>
            </w:r>
          </w:p>
        </w:tc>
        <w:tc>
          <w:tcPr>
            <w:tcW w:w="0" w:type="auto"/>
            <w:shd w:val="clear" w:color="auto" w:fill="FFFFFF" w:themeFill="background1"/>
            <w:vAlign w:val="center"/>
            <w:hideMark/>
          </w:tcPr>
          <w:p w:rsidRPr="001423C8" w:rsidR="00AD01AB" w:rsidP="00CE699F" w:rsidRDefault="00AD01AB" w14:paraId="49B10164" w14:textId="77777777">
            <w:pPr>
              <w:jc w:val="both"/>
              <w:cnfStyle w:val="000000000000" w:firstRow="0" w:lastRow="0" w:firstColumn="0" w:lastColumn="0" w:oddVBand="0" w:evenVBand="0" w:oddHBand="0" w:evenHBand="0" w:firstRowFirstColumn="0" w:firstRowLastColumn="0" w:lastRowFirstColumn="0" w:lastRowLastColumn="0"/>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Desarrollo de acciones con enfoque diferencial, igualdad de oportunidades y no discriminación en los entornos laborales.</w:t>
            </w:r>
          </w:p>
        </w:tc>
        <w:tc>
          <w:tcPr>
            <w:tcW w:w="0" w:type="auto"/>
            <w:shd w:val="clear" w:color="auto" w:fill="FFFFFF" w:themeFill="background1"/>
            <w:vAlign w:val="center"/>
            <w:hideMark/>
          </w:tcPr>
          <w:p w:rsidRPr="001423C8" w:rsidR="00AD01AB" w:rsidP="00CE699F" w:rsidRDefault="00AD01AB" w14:paraId="268F2FDF" w14:textId="77777777">
            <w:pPr>
              <w:jc w:val="both"/>
              <w:cnfStyle w:val="000000000000" w:firstRow="0" w:lastRow="0" w:firstColumn="0" w:lastColumn="0" w:oddVBand="0" w:evenVBand="0" w:oddHBand="0" w:evenHBand="0" w:firstRowFirstColumn="0" w:firstRowLastColumn="0" w:lastRowFirstColumn="0" w:lastRowLastColumn="0"/>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Promoción de ambientes laborales más inclusivos, respetuosos y equitativos, alineados con los principios de diversidad e inclusión.</w:t>
            </w:r>
          </w:p>
        </w:tc>
      </w:tr>
      <w:tr w:rsidRPr="001423C8" w:rsidR="00AD01AB" w:rsidTr="0038515C" w14:paraId="7A2867E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hideMark/>
          </w:tcPr>
          <w:p w:rsidRPr="001423C8" w:rsidR="00AD01AB" w:rsidP="001423C8" w:rsidRDefault="00AD01AB" w14:paraId="65054572" w14:textId="77777777">
            <w:pPr>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Ambientes laborales seguros y saludables</w:t>
            </w:r>
          </w:p>
        </w:tc>
        <w:tc>
          <w:tcPr>
            <w:tcW w:w="0" w:type="auto"/>
            <w:shd w:val="clear" w:color="auto" w:fill="FFFFFF" w:themeFill="background1"/>
            <w:vAlign w:val="center"/>
            <w:hideMark/>
          </w:tcPr>
          <w:p w:rsidRPr="001423C8" w:rsidR="00AD01AB" w:rsidP="00CE699F" w:rsidRDefault="00AD01AB" w14:paraId="16460A85" w14:textId="77777777">
            <w:pPr>
              <w:jc w:val="both"/>
              <w:cnfStyle w:val="000000100000" w:firstRow="0" w:lastRow="0" w:firstColumn="0" w:lastColumn="0" w:oddVBand="0" w:evenVBand="0" w:oddHBand="1" w:evenHBand="0" w:firstRowFirstColumn="0" w:firstRowLastColumn="0" w:lastRowFirstColumn="0" w:lastRowLastColumn="0"/>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Articulación de las acciones de trabajo decente con el Sistema de Gestión de Seguridad y Salud en el Trabajo (SG-SST).</w:t>
            </w:r>
          </w:p>
        </w:tc>
        <w:tc>
          <w:tcPr>
            <w:tcW w:w="0" w:type="auto"/>
            <w:shd w:val="clear" w:color="auto" w:fill="FFFFFF" w:themeFill="background1"/>
            <w:vAlign w:val="center"/>
            <w:hideMark/>
          </w:tcPr>
          <w:p w:rsidRPr="001423C8" w:rsidR="00AD01AB" w:rsidP="00CE699F" w:rsidRDefault="00AD01AB" w14:paraId="180E5D92" w14:textId="77777777">
            <w:pPr>
              <w:jc w:val="both"/>
              <w:cnfStyle w:val="000000100000" w:firstRow="0" w:lastRow="0" w:firstColumn="0" w:lastColumn="0" w:oddVBand="0" w:evenVBand="0" w:oddHBand="1" w:evenHBand="0" w:firstRowFirstColumn="0" w:firstRowLastColumn="0" w:lastRowFirstColumn="0" w:lastRowLastColumn="0"/>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Fortalecimiento de la prevención de riesgos laborales y consolidación de entornos de trabajo seguros y saludables.</w:t>
            </w:r>
          </w:p>
        </w:tc>
      </w:tr>
      <w:tr w:rsidRPr="001423C8" w:rsidR="00AD01AB" w:rsidTr="0038515C" w14:paraId="7306FD83" w14:textId="77777777">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hideMark/>
          </w:tcPr>
          <w:p w:rsidRPr="001423C8" w:rsidR="00AD01AB" w:rsidP="001423C8" w:rsidRDefault="00AD01AB" w14:paraId="7B27F0A5" w14:textId="77777777">
            <w:pPr>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Conciliación de la vida laboral, familiar y personal</w:t>
            </w:r>
          </w:p>
        </w:tc>
        <w:tc>
          <w:tcPr>
            <w:tcW w:w="0" w:type="auto"/>
            <w:shd w:val="clear" w:color="auto" w:fill="FFFFFF" w:themeFill="background1"/>
            <w:vAlign w:val="center"/>
            <w:hideMark/>
          </w:tcPr>
          <w:p w:rsidRPr="001423C8" w:rsidR="00AD01AB" w:rsidP="00CE699F" w:rsidRDefault="00AD01AB" w14:paraId="4647EC64" w14:textId="77777777">
            <w:pPr>
              <w:jc w:val="both"/>
              <w:cnfStyle w:val="000000000000" w:firstRow="0" w:lastRow="0" w:firstColumn="0" w:lastColumn="0" w:oddVBand="0" w:evenVBand="0" w:oddHBand="0" w:evenHBand="0" w:firstRowFirstColumn="0" w:firstRowLastColumn="0" w:lastRowFirstColumn="0" w:lastRowLastColumn="0"/>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Implementación de mecanismos orientados al equilibrio entre las responsabilidades laborales y personales de los servidores públicos, en armonía con la ley de desconexión laboral.</w:t>
            </w:r>
          </w:p>
        </w:tc>
        <w:tc>
          <w:tcPr>
            <w:tcW w:w="0" w:type="auto"/>
            <w:shd w:val="clear" w:color="auto" w:fill="FFFFFF" w:themeFill="background1"/>
            <w:vAlign w:val="center"/>
            <w:hideMark/>
          </w:tcPr>
          <w:p w:rsidRPr="001423C8" w:rsidR="00AD01AB" w:rsidP="00CE699F" w:rsidRDefault="00AD01AB" w14:paraId="50449B4F" w14:textId="77777777">
            <w:pPr>
              <w:jc w:val="both"/>
              <w:cnfStyle w:val="000000000000" w:firstRow="0" w:lastRow="0" w:firstColumn="0" w:lastColumn="0" w:oddVBand="0" w:evenVBand="0" w:oddHBand="0" w:evenHBand="0" w:firstRowFirstColumn="0" w:firstRowLastColumn="0" w:lastRowFirstColumn="0" w:lastRowLastColumn="0"/>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Mejora de la calidad de vida laboral y fortalecimiento del compromiso y satisfacción de los colaboradores.</w:t>
            </w:r>
          </w:p>
        </w:tc>
      </w:tr>
      <w:tr w:rsidRPr="001423C8" w:rsidR="00AD01AB" w:rsidTr="0038515C" w14:paraId="3B6E072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hideMark/>
          </w:tcPr>
          <w:p w:rsidRPr="001423C8" w:rsidR="00AD01AB" w:rsidP="001423C8" w:rsidRDefault="00AD01AB" w14:paraId="6E38864B" w14:textId="77777777">
            <w:pPr>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Seguimiento y mejora continua de las condiciones laborales</w:t>
            </w:r>
          </w:p>
        </w:tc>
        <w:tc>
          <w:tcPr>
            <w:tcW w:w="0" w:type="auto"/>
            <w:shd w:val="clear" w:color="auto" w:fill="FFFFFF" w:themeFill="background1"/>
            <w:vAlign w:val="center"/>
            <w:hideMark/>
          </w:tcPr>
          <w:p w:rsidRPr="001423C8" w:rsidR="00AD01AB" w:rsidP="00CE699F" w:rsidRDefault="00AD01AB" w14:paraId="0984E742" w14:textId="77777777">
            <w:pPr>
              <w:jc w:val="both"/>
              <w:cnfStyle w:val="000000100000" w:firstRow="0" w:lastRow="0" w:firstColumn="0" w:lastColumn="0" w:oddVBand="0" w:evenVBand="0" w:oddHBand="1" w:evenHBand="0" w:firstRowFirstColumn="0" w:firstRowLastColumn="0" w:lastRowFirstColumn="0" w:lastRowLastColumn="0"/>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Monitoreo permanente de indicadores de ausentismo, accidentalidad y clima organizacional como herramientas de gestión.</w:t>
            </w:r>
          </w:p>
        </w:tc>
        <w:tc>
          <w:tcPr>
            <w:tcW w:w="0" w:type="auto"/>
            <w:shd w:val="clear" w:color="auto" w:fill="FFFFFF" w:themeFill="background1"/>
            <w:vAlign w:val="center"/>
            <w:hideMark/>
          </w:tcPr>
          <w:p w:rsidRPr="001423C8" w:rsidR="00AD01AB" w:rsidP="00CE699F" w:rsidRDefault="00AD01AB" w14:paraId="4AA873C4" w14:textId="77777777">
            <w:pPr>
              <w:jc w:val="both"/>
              <w:cnfStyle w:val="000000100000" w:firstRow="0" w:lastRow="0" w:firstColumn="0" w:lastColumn="0" w:oddVBand="0" w:evenVBand="0" w:oddHBand="1" w:evenHBand="0" w:firstRowFirstColumn="0" w:firstRowLastColumn="0" w:lastRowFirstColumn="0" w:lastRowLastColumn="0"/>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Generación de información para la toma de decisiones y fortalecimiento de la mejora continua en la gestión del talento humano.</w:t>
            </w:r>
          </w:p>
        </w:tc>
      </w:tr>
      <w:tr w:rsidRPr="001423C8" w:rsidR="00AD01AB" w:rsidTr="0038515C" w14:paraId="6BB6B0BB" w14:textId="77777777">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hideMark/>
          </w:tcPr>
          <w:p w:rsidRPr="001423C8" w:rsidR="00AD01AB" w:rsidP="001423C8" w:rsidRDefault="00AD01AB" w14:paraId="07158B63" w14:textId="77777777">
            <w:pPr>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Fortalecimiento del diálogo social</w:t>
            </w:r>
          </w:p>
        </w:tc>
        <w:tc>
          <w:tcPr>
            <w:tcW w:w="0" w:type="auto"/>
            <w:shd w:val="clear" w:color="auto" w:fill="FFFFFF" w:themeFill="background1"/>
            <w:vAlign w:val="center"/>
            <w:hideMark/>
          </w:tcPr>
          <w:p w:rsidRPr="001423C8" w:rsidR="00AD01AB" w:rsidP="00CE699F" w:rsidRDefault="00AD01AB" w14:paraId="6091001F" w14:textId="77777777">
            <w:pPr>
              <w:jc w:val="both"/>
              <w:cnfStyle w:val="000000000000" w:firstRow="0" w:lastRow="0" w:firstColumn="0" w:lastColumn="0" w:oddVBand="0" w:evenVBand="0" w:oddHBand="0" w:evenHBand="0" w:firstRowFirstColumn="0" w:firstRowLastColumn="0" w:lastRowFirstColumn="0" w:lastRowLastColumn="0"/>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Implementación de espacios permanentes de interlocución, participación y concertación con las organizaciones sindicales.</w:t>
            </w:r>
          </w:p>
        </w:tc>
        <w:tc>
          <w:tcPr>
            <w:tcW w:w="0" w:type="auto"/>
            <w:shd w:val="clear" w:color="auto" w:fill="FFFFFF" w:themeFill="background1"/>
            <w:vAlign w:val="center"/>
            <w:hideMark/>
          </w:tcPr>
          <w:p w:rsidRPr="001423C8" w:rsidR="00AD01AB" w:rsidP="00CE699F" w:rsidRDefault="00AD01AB" w14:paraId="35BE9714" w14:textId="77777777">
            <w:pPr>
              <w:jc w:val="both"/>
              <w:cnfStyle w:val="000000000000" w:firstRow="0" w:lastRow="0" w:firstColumn="0" w:lastColumn="0" w:oddVBand="0" w:evenVBand="0" w:oddHBand="0" w:evenHBand="0" w:firstRowFirstColumn="0" w:firstRowLastColumn="0" w:lastRowFirstColumn="0" w:lastRowLastColumn="0"/>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Consolidación de relaciones laborales más participativas y fortalecimiento de la confianza entre la administración y las organizaciones sindicales y principalmente con SINTRAMINERALES.</w:t>
            </w:r>
          </w:p>
        </w:tc>
      </w:tr>
      <w:tr w:rsidRPr="001423C8" w:rsidR="00AD01AB" w:rsidTr="0038515C" w14:paraId="6FD4C40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hideMark/>
          </w:tcPr>
          <w:p w:rsidRPr="001423C8" w:rsidR="00AD01AB" w:rsidP="001423C8" w:rsidRDefault="00AD01AB" w14:paraId="5AA6E74C" w14:textId="77777777">
            <w:pPr>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Negociación colectiva y libertad sindical</w:t>
            </w:r>
          </w:p>
        </w:tc>
        <w:tc>
          <w:tcPr>
            <w:tcW w:w="0" w:type="auto"/>
            <w:shd w:val="clear" w:color="auto" w:fill="FFFFFF" w:themeFill="background1"/>
            <w:vAlign w:val="center"/>
            <w:hideMark/>
          </w:tcPr>
          <w:p w:rsidRPr="001423C8" w:rsidR="00AD01AB" w:rsidP="00CE699F" w:rsidRDefault="00AD01AB" w14:paraId="50044811" w14:textId="77777777">
            <w:pPr>
              <w:jc w:val="both"/>
              <w:cnfStyle w:val="000000100000" w:firstRow="0" w:lastRow="0" w:firstColumn="0" w:lastColumn="0" w:oddVBand="0" w:evenVBand="0" w:oddHBand="1" w:evenHBand="0" w:firstRowFirstColumn="0" w:firstRowLastColumn="0" w:lastRowFirstColumn="0" w:lastRowLastColumn="0"/>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Instalación y desarrollo de mesas de negociación colectiva a nivel singular y sectorial, garantizando el ejercicio de los derechos de asociación y representación sindical.</w:t>
            </w:r>
          </w:p>
        </w:tc>
        <w:tc>
          <w:tcPr>
            <w:tcW w:w="0" w:type="auto"/>
            <w:shd w:val="clear" w:color="auto" w:fill="FFFFFF" w:themeFill="background1"/>
            <w:vAlign w:val="center"/>
            <w:hideMark/>
          </w:tcPr>
          <w:p w:rsidRPr="001423C8" w:rsidR="00AD01AB" w:rsidP="00CE699F" w:rsidRDefault="00AD01AB" w14:paraId="4F4D9EE0" w14:textId="77777777">
            <w:pPr>
              <w:jc w:val="both"/>
              <w:cnfStyle w:val="000000100000" w:firstRow="0" w:lastRow="0" w:firstColumn="0" w:lastColumn="0" w:oddVBand="0" w:evenVBand="0" w:oddHBand="1" w:evenHBand="0" w:firstRowFirstColumn="0" w:firstRowLastColumn="0" w:lastRowFirstColumn="0" w:lastRowLastColumn="0"/>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Fortalecimiento de la gobernanza laboral, el diálogo social y el cumplimiento de los derechos colectivos de los trabajadores.</w:t>
            </w:r>
          </w:p>
        </w:tc>
      </w:tr>
      <w:tr w:rsidRPr="001423C8" w:rsidR="00AD01AB" w:rsidTr="0038515C" w14:paraId="45990070" w14:textId="77777777">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hideMark/>
          </w:tcPr>
          <w:p w:rsidRPr="001423C8" w:rsidR="00AD01AB" w:rsidP="001423C8" w:rsidRDefault="00AD01AB" w14:paraId="5071136A" w14:textId="77777777">
            <w:pPr>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Garantías para el ejercicio sindical</w:t>
            </w:r>
          </w:p>
        </w:tc>
        <w:tc>
          <w:tcPr>
            <w:tcW w:w="0" w:type="auto"/>
            <w:shd w:val="clear" w:color="auto" w:fill="FFFFFF" w:themeFill="background1"/>
            <w:vAlign w:val="center"/>
            <w:hideMark/>
          </w:tcPr>
          <w:p w:rsidRPr="001423C8" w:rsidR="00AD01AB" w:rsidP="00CE699F" w:rsidRDefault="00AD01AB" w14:paraId="1D029F74" w14:textId="77777777">
            <w:pPr>
              <w:jc w:val="both"/>
              <w:cnfStyle w:val="000000000000" w:firstRow="0" w:lastRow="0" w:firstColumn="0" w:lastColumn="0" w:oddVBand="0" w:evenVBand="0" w:oddHBand="0" w:evenHBand="0" w:firstRowFirstColumn="0" w:firstRowLastColumn="0" w:lastRowFirstColumn="0" w:lastRowLastColumn="0"/>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Otorgamiento de permisos sindicales, acceso a la información institucional y acompañamiento a las organizaciones sindicales.</w:t>
            </w:r>
          </w:p>
        </w:tc>
        <w:tc>
          <w:tcPr>
            <w:tcW w:w="0" w:type="auto"/>
            <w:shd w:val="clear" w:color="auto" w:fill="FFFFFF" w:themeFill="background1"/>
            <w:vAlign w:val="center"/>
            <w:hideMark/>
          </w:tcPr>
          <w:p w:rsidRPr="001423C8" w:rsidR="00AD01AB" w:rsidP="00CE699F" w:rsidRDefault="00AD01AB" w14:paraId="08ABE5BC" w14:textId="77777777">
            <w:pPr>
              <w:jc w:val="both"/>
              <w:cnfStyle w:val="000000000000" w:firstRow="0" w:lastRow="0" w:firstColumn="0" w:lastColumn="0" w:oddVBand="0" w:evenVBand="0" w:oddHBand="0" w:evenHBand="0" w:firstRowFirstColumn="0" w:firstRowLastColumn="0" w:lastRowFirstColumn="0" w:lastRowLastColumn="0"/>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Mejora de las condiciones para el ejercicio de la representación sindical y fortalecimiento de la participación de los trabajadores.</w:t>
            </w:r>
          </w:p>
        </w:tc>
      </w:tr>
      <w:tr w:rsidRPr="001423C8" w:rsidR="00AD01AB" w:rsidTr="0038515C" w14:paraId="6ED3440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hideMark/>
          </w:tcPr>
          <w:p w:rsidRPr="001423C8" w:rsidR="00AD01AB" w:rsidP="001423C8" w:rsidRDefault="00AD01AB" w14:paraId="19B2A9CC" w14:textId="77777777">
            <w:pPr>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Seguimiento a acuerdos colectivos</w:t>
            </w:r>
          </w:p>
        </w:tc>
        <w:tc>
          <w:tcPr>
            <w:tcW w:w="0" w:type="auto"/>
            <w:shd w:val="clear" w:color="auto" w:fill="FFFFFF" w:themeFill="background1"/>
            <w:vAlign w:val="center"/>
            <w:hideMark/>
          </w:tcPr>
          <w:p w:rsidRPr="001423C8" w:rsidR="00AD01AB" w:rsidP="00CE699F" w:rsidRDefault="00AD01AB" w14:paraId="7628BA2B" w14:textId="77777777">
            <w:pPr>
              <w:jc w:val="both"/>
              <w:cnfStyle w:val="000000100000" w:firstRow="0" w:lastRow="0" w:firstColumn="0" w:lastColumn="0" w:oddVBand="0" w:evenVBand="0" w:oddHBand="1" w:evenHBand="0" w:firstRowFirstColumn="0" w:firstRowLastColumn="0" w:lastRowFirstColumn="0" w:lastRowLastColumn="0"/>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Suscripción, monitoreo y seguimiento de los acuerdos colectivos celebrados durante el periodo 2022–2026.</w:t>
            </w:r>
          </w:p>
        </w:tc>
        <w:tc>
          <w:tcPr>
            <w:tcW w:w="0" w:type="auto"/>
            <w:shd w:val="clear" w:color="auto" w:fill="FFFFFF" w:themeFill="background1"/>
            <w:vAlign w:val="center"/>
            <w:hideMark/>
          </w:tcPr>
          <w:p w:rsidRPr="001423C8" w:rsidR="00AD01AB" w:rsidP="00CE699F" w:rsidRDefault="00AD01AB" w14:paraId="137AF344" w14:textId="77777777">
            <w:pPr>
              <w:jc w:val="both"/>
              <w:cnfStyle w:val="000000100000" w:firstRow="0" w:lastRow="0" w:firstColumn="0" w:lastColumn="0" w:oddVBand="0" w:evenVBand="0" w:oddHBand="1" w:evenHBand="0" w:firstRowFirstColumn="0" w:firstRowLastColumn="0" w:lastRowFirstColumn="0" w:lastRowLastColumn="0"/>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Cumplimiento de compromisos institucionales y fortalecimiento de las relaciones laborales basadas en la concertación.</w:t>
            </w:r>
          </w:p>
        </w:tc>
      </w:tr>
      <w:tr w:rsidRPr="001423C8" w:rsidR="00AD01AB" w:rsidTr="0038515C" w14:paraId="52FE338A" w14:textId="77777777">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hideMark/>
          </w:tcPr>
          <w:p w:rsidRPr="001423C8" w:rsidR="00AD01AB" w:rsidP="001423C8" w:rsidRDefault="00AD01AB" w14:paraId="39E6AA73" w14:textId="77777777">
            <w:pPr>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Transparencia y fortalecimiento institucional</w:t>
            </w:r>
          </w:p>
        </w:tc>
        <w:tc>
          <w:tcPr>
            <w:tcW w:w="0" w:type="auto"/>
            <w:shd w:val="clear" w:color="auto" w:fill="FFFFFF" w:themeFill="background1"/>
            <w:vAlign w:val="center"/>
            <w:hideMark/>
          </w:tcPr>
          <w:p w:rsidRPr="001423C8" w:rsidR="00AD01AB" w:rsidP="00CE699F" w:rsidRDefault="00AD01AB" w14:paraId="6125BDD7" w14:textId="77777777">
            <w:pPr>
              <w:jc w:val="both"/>
              <w:cnfStyle w:val="000000000000" w:firstRow="0" w:lastRow="0" w:firstColumn="0" w:lastColumn="0" w:oddVBand="0" w:evenVBand="0" w:oddHBand="0" w:evenHBand="0" w:firstRowFirstColumn="0" w:firstRowLastColumn="0" w:lastRowFirstColumn="0" w:lastRowLastColumn="0"/>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Creación del espacio de Negociación Colectiva en la intranet institucional para la divulgación normativa, acuerdos suscritos y seguimiento a compromisos.</w:t>
            </w:r>
          </w:p>
        </w:tc>
        <w:tc>
          <w:tcPr>
            <w:tcW w:w="0" w:type="auto"/>
            <w:shd w:val="clear" w:color="auto" w:fill="FFFFFF" w:themeFill="background1"/>
            <w:vAlign w:val="center"/>
            <w:hideMark/>
          </w:tcPr>
          <w:p w:rsidRPr="001423C8" w:rsidR="00AD01AB" w:rsidP="00CE699F" w:rsidRDefault="00AD01AB" w14:paraId="7FF0C68E" w14:textId="77777777">
            <w:pPr>
              <w:jc w:val="both"/>
              <w:cnfStyle w:val="000000000000" w:firstRow="0" w:lastRow="0" w:firstColumn="0" w:lastColumn="0" w:oddVBand="0" w:evenVBand="0" w:oddHBand="0" w:evenHBand="0" w:firstRowFirstColumn="0" w:firstRowLastColumn="0" w:lastRowFirstColumn="0" w:lastRowLastColumn="0"/>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Mayor transparencia, acceso a la información y fortalecimiento de la cultura institucional de participación y diálogo social.</w:t>
            </w:r>
          </w:p>
        </w:tc>
      </w:tr>
      <w:tr w:rsidRPr="001423C8" w:rsidR="00AD01AB" w:rsidTr="0038515C" w14:paraId="743591B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hideMark/>
          </w:tcPr>
          <w:p w:rsidRPr="001423C8" w:rsidR="00AD01AB" w:rsidP="001423C8" w:rsidRDefault="00AD01AB" w14:paraId="7D0C1C02" w14:textId="77777777">
            <w:pPr>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Cultura organizacional basada en el respeto y la corresponsabilidad</w:t>
            </w:r>
          </w:p>
        </w:tc>
        <w:tc>
          <w:tcPr>
            <w:tcW w:w="0" w:type="auto"/>
            <w:shd w:val="clear" w:color="auto" w:fill="FFFFFF" w:themeFill="background1"/>
            <w:vAlign w:val="center"/>
            <w:hideMark/>
          </w:tcPr>
          <w:p w:rsidRPr="001423C8" w:rsidR="00AD01AB" w:rsidP="00CE699F" w:rsidRDefault="00AD01AB" w14:paraId="549B61A0" w14:textId="77777777">
            <w:pPr>
              <w:jc w:val="both"/>
              <w:cnfStyle w:val="000000100000" w:firstRow="0" w:lastRow="0" w:firstColumn="0" w:lastColumn="0" w:oddVBand="0" w:evenVBand="0" w:oddHBand="1" w:evenHBand="0" w:firstRowFirstColumn="0" w:firstRowLastColumn="0" w:lastRowFirstColumn="0" w:lastRowLastColumn="0"/>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Desarrollo de jornadas de capacitación en negociación colectiva, relaciones laborales y derechos sindicales.</w:t>
            </w:r>
          </w:p>
        </w:tc>
        <w:tc>
          <w:tcPr>
            <w:tcW w:w="0" w:type="auto"/>
            <w:shd w:val="clear" w:color="auto" w:fill="FFFFFF" w:themeFill="background1"/>
            <w:vAlign w:val="center"/>
            <w:hideMark/>
          </w:tcPr>
          <w:p w:rsidRPr="001423C8" w:rsidR="00AD01AB" w:rsidP="00CE699F" w:rsidRDefault="00AD01AB" w14:paraId="67FD1C5A" w14:textId="77777777">
            <w:pPr>
              <w:jc w:val="both"/>
              <w:cnfStyle w:val="000000100000" w:firstRow="0" w:lastRow="0" w:firstColumn="0" w:lastColumn="0" w:oddVBand="0" w:evenVBand="0" w:oddHBand="1" w:evenHBand="0" w:firstRowFirstColumn="0" w:firstRowLastColumn="0" w:lastRowFirstColumn="0" w:lastRowLastColumn="0"/>
              <w:rPr>
                <w:rFonts w:ascii="Verdana" w:hAnsi="Verdana" w:eastAsia="Times New Roman" w:cs="Times New Roman"/>
                <w:sz w:val="18"/>
                <w:szCs w:val="18"/>
                <w:lang w:eastAsia="es-MX"/>
              </w:rPr>
            </w:pPr>
            <w:r w:rsidRPr="001423C8">
              <w:rPr>
                <w:rFonts w:ascii="Verdana" w:hAnsi="Verdana" w:eastAsia="Times New Roman" w:cs="Times New Roman"/>
                <w:sz w:val="18"/>
                <w:szCs w:val="18"/>
                <w:lang w:eastAsia="es-MX"/>
              </w:rPr>
              <w:t>Fortalecimiento de una cultura organizacional sustentada en el respeto, la inclusión, la corresponsabilidad y la solución concertada de conflictos laborales.</w:t>
            </w:r>
          </w:p>
        </w:tc>
      </w:tr>
    </w:tbl>
    <w:p w:rsidRPr="001423C8" w:rsidR="00AD01AB" w:rsidP="180099B3" w:rsidRDefault="1D224B79" w14:paraId="46251930" w14:textId="77777777">
      <w:pPr>
        <w:spacing w:after="0" w:line="240" w:lineRule="auto"/>
        <w:jc w:val="center"/>
        <w:rPr>
          <w:rFonts w:ascii="Verdana" w:hAnsi="Verdana"/>
          <w:sz w:val="18"/>
          <w:szCs w:val="18"/>
        </w:rPr>
      </w:pPr>
      <w:r w:rsidRPr="180099B3">
        <w:rPr>
          <w:rFonts w:ascii="Verdana" w:hAnsi="Verdana"/>
          <w:sz w:val="18"/>
          <w:szCs w:val="18"/>
        </w:rPr>
        <w:t xml:space="preserve">Fuente: Subdirección Talento </w:t>
      </w:r>
      <w:r w:rsidRPr="180099B3" w:rsidR="11FCD166">
        <w:rPr>
          <w:rFonts w:ascii="Verdana" w:hAnsi="Verdana"/>
          <w:sz w:val="18"/>
          <w:szCs w:val="18"/>
        </w:rPr>
        <w:t>Humano - MME</w:t>
      </w:r>
    </w:p>
    <w:p w:rsidRPr="00C140A0" w:rsidR="00AD01AB" w:rsidP="006A0A13" w:rsidRDefault="00AD01AB" w14:paraId="18442753" w14:textId="77777777">
      <w:pPr>
        <w:spacing w:after="0" w:line="360" w:lineRule="auto"/>
        <w:rPr>
          <w:rFonts w:ascii="Verdana" w:hAnsi="Verdana"/>
        </w:rPr>
      </w:pPr>
    </w:p>
    <w:p w:rsidRPr="00C140A0" w:rsidR="00AD01AB" w:rsidP="006A0A13" w:rsidRDefault="1D224B79" w14:paraId="09A54950" w14:textId="0A0DA021">
      <w:pPr>
        <w:spacing w:after="0" w:line="360" w:lineRule="auto"/>
        <w:jc w:val="both"/>
        <w:rPr>
          <w:rFonts w:ascii="Verdana" w:hAnsi="Verdana"/>
          <w:sz w:val="24"/>
          <w:szCs w:val="24"/>
        </w:rPr>
      </w:pPr>
      <w:r w:rsidRPr="30CF4445" w:rsidR="14D6837D">
        <w:rPr>
          <w:rFonts w:ascii="Verdana" w:hAnsi="Verdana"/>
          <w:sz w:val="24"/>
          <w:szCs w:val="24"/>
        </w:rPr>
        <w:t>Asimismo, se realizó la construcción de un espacio en la intranet del Ministerio de Minas y Energía denominado Negociación Colectiva, en el cual se encuentra desde la compilación normativa relacionada, los Acuerdo</w:t>
      </w:r>
      <w:r w:rsidRPr="30CF4445" w:rsidR="1DF13097">
        <w:rPr>
          <w:rFonts w:ascii="Verdana" w:hAnsi="Verdana"/>
          <w:sz w:val="24"/>
          <w:szCs w:val="24"/>
        </w:rPr>
        <w:t>s</w:t>
      </w:r>
      <w:r w:rsidRPr="30CF4445" w:rsidR="14D6837D">
        <w:rPr>
          <w:rFonts w:ascii="Verdana" w:hAnsi="Verdana"/>
          <w:sz w:val="24"/>
          <w:szCs w:val="24"/>
        </w:rPr>
        <w:t xml:space="preserve"> sindicales suscritos y el </w:t>
      </w:r>
      <w:r w:rsidRPr="30CF4445" w:rsidR="1E3517F9">
        <w:rPr>
          <w:rFonts w:ascii="Verdana" w:hAnsi="Verdana"/>
          <w:sz w:val="24"/>
          <w:szCs w:val="24"/>
        </w:rPr>
        <w:t>s</w:t>
      </w:r>
      <w:r w:rsidRPr="30CF4445" w:rsidR="14D6837D">
        <w:rPr>
          <w:rFonts w:ascii="Verdana" w:hAnsi="Verdana"/>
          <w:sz w:val="24"/>
          <w:szCs w:val="24"/>
        </w:rPr>
        <w:t>eguimiento a los mismos</w:t>
      </w:r>
      <w:r w:rsidRPr="30CF4445" w:rsidR="14D6837D">
        <w:rPr>
          <w:rFonts w:ascii="Verdana" w:hAnsi="Verdana"/>
          <w:sz w:val="24"/>
          <w:szCs w:val="24"/>
        </w:rPr>
        <w:t>, con registro fotográfico de mesas sindicales.</w:t>
      </w:r>
    </w:p>
    <w:p w:rsidR="180099B3" w:rsidP="006A0A13" w:rsidRDefault="180099B3" w14:paraId="24FA3158" w14:textId="77777777">
      <w:pPr>
        <w:spacing w:after="0" w:line="360" w:lineRule="auto"/>
        <w:jc w:val="both"/>
        <w:rPr>
          <w:rFonts w:ascii="Verdana" w:hAnsi="Verdana"/>
          <w:sz w:val="24"/>
          <w:szCs w:val="24"/>
        </w:rPr>
      </w:pPr>
    </w:p>
    <w:p w:rsidR="5D5F7D84" w:rsidP="180099B3" w:rsidRDefault="5D5F7D84" w14:paraId="2D43C80C" w14:textId="77777777">
      <w:pPr>
        <w:spacing w:after="0" w:line="360" w:lineRule="auto"/>
        <w:jc w:val="center"/>
        <w:rPr>
          <w:rFonts w:ascii="Verdana" w:hAnsi="Verdana"/>
          <w:sz w:val="18"/>
          <w:szCs w:val="18"/>
        </w:rPr>
      </w:pPr>
      <w:r w:rsidRPr="180099B3">
        <w:rPr>
          <w:rFonts w:ascii="Verdana" w:hAnsi="Verdana"/>
          <w:sz w:val="18"/>
          <w:szCs w:val="18"/>
        </w:rPr>
        <w:t xml:space="preserve">Imagen No. </w:t>
      </w:r>
      <w:r w:rsidRPr="180099B3" w:rsidR="11265372">
        <w:rPr>
          <w:rFonts w:ascii="Verdana" w:hAnsi="Verdana"/>
          <w:sz w:val="18"/>
          <w:szCs w:val="18"/>
        </w:rPr>
        <w:t>4</w:t>
      </w:r>
      <w:r w:rsidRPr="180099B3">
        <w:rPr>
          <w:rFonts w:ascii="Verdana" w:hAnsi="Verdana"/>
          <w:sz w:val="18"/>
          <w:szCs w:val="18"/>
        </w:rPr>
        <w:t>. Acuerdos sindicales suscritos</w:t>
      </w:r>
    </w:p>
    <w:p w:rsidRPr="00C140A0" w:rsidR="00AD01AB" w:rsidP="001423C8" w:rsidRDefault="1D224B79" w14:paraId="1C5E4E5A" w14:textId="77777777">
      <w:pPr>
        <w:spacing w:after="0" w:line="360" w:lineRule="auto"/>
        <w:jc w:val="center"/>
        <w:rPr>
          <w:rFonts w:ascii="Verdana" w:hAnsi="Verdana"/>
        </w:rPr>
      </w:pPr>
      <w:r>
        <w:rPr>
          <w:noProof/>
        </w:rPr>
        <w:drawing>
          <wp:inline distT="0" distB="0" distL="0" distR="0" wp14:anchorId="3D10FB9C" wp14:editId="4F917739">
            <wp:extent cx="5137072" cy="2989964"/>
            <wp:effectExtent l="19050" t="19050" r="26035" b="20320"/>
            <wp:docPr id="123543201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432016" name="Picture 1235432016"/>
                    <pic:cNvPicPr/>
                  </pic:nvPicPr>
                  <pic:blipFill>
                    <a:blip r:embed="rId18">
                      <a:extLst>
                        <a:ext uri="{28A0092B-C50C-407E-A947-70E740481C1C}">
                          <a14:useLocalDpi xmlns:a14="http://schemas.microsoft.com/office/drawing/2010/main"/>
                        </a:ext>
                      </a:extLst>
                    </a:blip>
                    <a:stretch>
                      <a:fillRect/>
                    </a:stretch>
                  </pic:blipFill>
                  <pic:spPr>
                    <a:xfrm>
                      <a:off x="0" y="0"/>
                      <a:ext cx="5148547" cy="2996643"/>
                    </a:xfrm>
                    <a:prstGeom prst="rect">
                      <a:avLst/>
                    </a:prstGeom>
                    <a:ln>
                      <a:solidFill>
                        <a:schemeClr val="tx1"/>
                      </a:solidFill>
                    </a:ln>
                  </pic:spPr>
                </pic:pic>
              </a:graphicData>
            </a:graphic>
          </wp:inline>
        </w:drawing>
      </w:r>
    </w:p>
    <w:p w:rsidRPr="00C140A0" w:rsidR="00AD01AB" w:rsidP="180099B3" w:rsidRDefault="11B4DCDD" w14:paraId="68F08BF0" w14:textId="77777777">
      <w:pPr>
        <w:spacing w:after="0" w:line="360" w:lineRule="auto"/>
        <w:jc w:val="center"/>
        <w:rPr>
          <w:rFonts w:ascii="Verdana" w:hAnsi="Verdana"/>
        </w:rPr>
      </w:pPr>
      <w:r w:rsidRPr="180099B3">
        <w:rPr>
          <w:rFonts w:ascii="Verdana" w:hAnsi="Verdana"/>
          <w:sz w:val="18"/>
          <w:szCs w:val="18"/>
        </w:rPr>
        <w:t>Fuente: Subdirección Talento Humano - MME</w:t>
      </w:r>
      <w:r w:rsidRPr="180099B3">
        <w:rPr>
          <w:rStyle w:val="Hipervnculo"/>
          <w:rFonts w:ascii="Verdana" w:hAnsi="Verdana" w:eastAsia="Verdana" w:cs="Verdana"/>
        </w:rPr>
        <w:t xml:space="preserve"> </w:t>
      </w:r>
      <w:hyperlink r:id="rId19">
        <w:r w:rsidRPr="180099B3" w:rsidR="1D224B79">
          <w:rPr>
            <w:rStyle w:val="Hipervnculo"/>
            <w:rFonts w:ascii="Verdana" w:hAnsi="Verdana" w:eastAsia="Verdana" w:cs="Verdana"/>
            <w:sz w:val="18"/>
            <w:szCs w:val="18"/>
          </w:rPr>
          <w:t>https://intranet.minenergia.gov.co/es/negociaci%C3%B3n-colectiva/</w:t>
        </w:r>
      </w:hyperlink>
    </w:p>
    <w:p w:rsidRPr="00C140A0" w:rsidR="00AD01AB" w:rsidP="006A0A13" w:rsidRDefault="00AD01AB" w14:paraId="6F356DB2" w14:textId="77777777">
      <w:pPr>
        <w:spacing w:after="0" w:line="360" w:lineRule="auto"/>
        <w:jc w:val="both"/>
        <w:rPr>
          <w:rFonts w:ascii="Verdana" w:hAnsi="Verdana"/>
          <w:sz w:val="24"/>
          <w:szCs w:val="24"/>
        </w:rPr>
      </w:pPr>
    </w:p>
    <w:p w:rsidRPr="00C140A0" w:rsidR="00A82055" w:rsidRDefault="00A82055" w14:paraId="6FBE3B00" w14:textId="77777777">
      <w:pPr>
        <w:pStyle w:val="Prrafodelista"/>
        <w:numPr>
          <w:ilvl w:val="0"/>
          <w:numId w:val="42"/>
        </w:numPr>
        <w:spacing w:after="0" w:line="360" w:lineRule="auto"/>
        <w:outlineLvl w:val="0"/>
        <w:rPr>
          <w:rFonts w:ascii="Verdana" w:hAnsi="Verdana"/>
          <w:b/>
          <w:bCs/>
          <w:sz w:val="24"/>
          <w:szCs w:val="24"/>
        </w:rPr>
      </w:pPr>
      <w:bookmarkStart w:name="_Toc233996728" w:id="11"/>
      <w:r w:rsidRPr="00C140A0">
        <w:rPr>
          <w:rFonts w:ascii="Verdana" w:hAnsi="Verdana"/>
          <w:b/>
          <w:bCs/>
          <w:sz w:val="24"/>
          <w:szCs w:val="24"/>
        </w:rPr>
        <w:t>Nuestra gestión de los recursos públicos</w:t>
      </w:r>
      <w:bookmarkEnd w:id="11"/>
      <w:r w:rsidRPr="00C140A0">
        <w:rPr>
          <w:rFonts w:ascii="Verdana" w:hAnsi="Verdana"/>
          <w:b/>
          <w:bCs/>
          <w:sz w:val="24"/>
          <w:szCs w:val="24"/>
        </w:rPr>
        <w:t xml:space="preserve"> </w:t>
      </w:r>
    </w:p>
    <w:p w:rsidR="0038515C" w:rsidP="006A0A13" w:rsidRDefault="0038515C" w14:paraId="6FEA5A38" w14:textId="77777777">
      <w:pPr>
        <w:spacing w:after="0" w:line="360" w:lineRule="auto"/>
        <w:jc w:val="both"/>
        <w:rPr>
          <w:rFonts w:ascii="Verdana" w:hAnsi="Verdana"/>
          <w:sz w:val="24"/>
          <w:szCs w:val="24"/>
        </w:rPr>
      </w:pPr>
    </w:p>
    <w:p w:rsidR="00DB1E08" w:rsidP="006A0A13" w:rsidRDefault="1F9C8783" w14:paraId="0C9413DA" w14:textId="77777777">
      <w:pPr>
        <w:spacing w:after="0" w:line="360" w:lineRule="auto"/>
        <w:jc w:val="both"/>
        <w:rPr>
          <w:rFonts w:ascii="Verdana" w:hAnsi="Verdana"/>
          <w:b/>
          <w:bCs/>
          <w:sz w:val="24"/>
          <w:szCs w:val="24"/>
        </w:rPr>
      </w:pPr>
      <w:r w:rsidRPr="180099B3">
        <w:rPr>
          <w:rFonts w:ascii="Verdana" w:hAnsi="Verdana"/>
          <w:sz w:val="24"/>
          <w:szCs w:val="24"/>
        </w:rPr>
        <w:t>Este apartado da cuenta de la administración de los recursos públicos asignados al Ministerio de Minas y Energía durante el cuatrienio comprendido entre agosto de 2022 y marzo de 2026, evidenciando la relación entre la asignación presupuestal, su ejecución y los resultados alcanzados frente a los compromisos misionales y operativos de la entidad. Asimismo, aborda las estrategias adelantadas en materia de austeridad del gasto, cobro coactivo y gestión de reservas presupuestales, como parte de una gestión orientada al uso eficiente de los recursos, al cumplimiento de las metas previstas en el Plan Nacional de Desarrollo “Colombia Potencia Mundial de la Vida” y a la observancia de la normatividad aplicable.</w:t>
      </w:r>
    </w:p>
    <w:p w:rsidR="180099B3" w:rsidP="006A0A13" w:rsidRDefault="180099B3" w14:paraId="27CA4F44" w14:textId="77777777">
      <w:pPr>
        <w:spacing w:after="0" w:line="360" w:lineRule="auto"/>
        <w:jc w:val="both"/>
        <w:rPr>
          <w:rFonts w:ascii="Verdana" w:hAnsi="Verdana"/>
          <w:sz w:val="24"/>
          <w:szCs w:val="24"/>
        </w:rPr>
      </w:pPr>
    </w:p>
    <w:p w:rsidR="00DB1E08" w:rsidRDefault="1689A91F" w14:paraId="174F989B" w14:textId="77777777">
      <w:pPr>
        <w:pStyle w:val="Ttulo2"/>
        <w:numPr>
          <w:ilvl w:val="1"/>
          <w:numId w:val="42"/>
        </w:numPr>
        <w:spacing w:before="0" w:after="0" w:line="360" w:lineRule="auto"/>
        <w:rPr>
          <w:rFonts w:ascii="Verdana" w:hAnsi="Verdana"/>
          <w:b/>
          <w:bCs/>
          <w:color w:val="auto"/>
          <w:sz w:val="24"/>
          <w:szCs w:val="24"/>
        </w:rPr>
      </w:pPr>
      <w:bookmarkStart w:name="_Toc233996729" w:id="12"/>
      <w:r w:rsidRPr="180099B3">
        <w:rPr>
          <w:rFonts w:ascii="Verdana" w:hAnsi="Verdana"/>
          <w:b/>
          <w:bCs/>
          <w:color w:val="auto"/>
          <w:sz w:val="24"/>
          <w:szCs w:val="24"/>
        </w:rPr>
        <w:t>Presupuesto asignado al Ministerio de Minas y Energía (Por vigencia)</w:t>
      </w:r>
      <w:bookmarkEnd w:id="12"/>
    </w:p>
    <w:p w:rsidR="180099B3" w:rsidP="006A0A13" w:rsidRDefault="180099B3" w14:paraId="639E2EEC" w14:textId="77777777">
      <w:pPr>
        <w:spacing w:after="0" w:line="360" w:lineRule="auto"/>
      </w:pPr>
    </w:p>
    <w:p w:rsidRPr="00CE699F" w:rsidR="00DB1E08" w:rsidP="00CE699F" w:rsidRDefault="00DB1E08" w14:paraId="467B11EA" w14:textId="77777777">
      <w:pPr>
        <w:pStyle w:val="Descripcin"/>
        <w:spacing w:after="0"/>
        <w:jc w:val="center"/>
        <w:rPr>
          <w:rFonts w:ascii="Verdana" w:hAnsi="Verdana"/>
          <w:i w:val="0"/>
          <w:iCs w:val="0"/>
          <w:color w:val="auto"/>
        </w:rPr>
      </w:pPr>
      <w:r w:rsidRPr="00CE699F">
        <w:rPr>
          <w:rFonts w:ascii="Verdana" w:hAnsi="Verdana"/>
          <w:i w:val="0"/>
          <w:iCs w:val="0"/>
          <w:color w:val="auto"/>
        </w:rPr>
        <w:t>Tabla</w:t>
      </w:r>
      <w:r w:rsidR="0038515C">
        <w:rPr>
          <w:rFonts w:ascii="Verdana" w:hAnsi="Verdana"/>
          <w:i w:val="0"/>
          <w:iCs w:val="0"/>
          <w:color w:val="auto"/>
        </w:rPr>
        <w:t xml:space="preserve"> No. 28. </w:t>
      </w:r>
      <w:r w:rsidRPr="00CE699F" w:rsidR="00CE699F">
        <w:rPr>
          <w:rFonts w:ascii="Verdana" w:hAnsi="Verdana"/>
          <w:i w:val="0"/>
          <w:iCs w:val="0"/>
          <w:color w:val="auto"/>
        </w:rPr>
        <w:t>Presupuesto Asignado Vigencia 2022</w:t>
      </w: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1987"/>
        <w:gridCol w:w="1518"/>
        <w:gridCol w:w="1903"/>
        <w:gridCol w:w="1903"/>
        <w:gridCol w:w="1517"/>
      </w:tblGrid>
      <w:tr w:rsidRPr="00CE699F" w:rsidR="00DB1E08" w:rsidTr="30CF4445" w14:paraId="2369C0F6" w14:textId="77777777">
        <w:trPr>
          <w:trHeight w:val="420"/>
        </w:trPr>
        <w:tc>
          <w:tcPr>
            <w:tcW w:w="1125" w:type="pct"/>
            <w:vMerge w:val="restart"/>
            <w:shd w:val="clear" w:color="auto" w:fill="A6A6A6" w:themeFill="background1" w:themeFillShade="A6"/>
            <w:tcMar/>
            <w:vAlign w:val="center"/>
            <w:hideMark/>
          </w:tcPr>
          <w:p w:rsidRPr="00CE699F" w:rsidR="00DB1E08" w:rsidP="00CE699F" w:rsidRDefault="00DB1E08" w14:paraId="7A6B1359"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Concepto</w:t>
            </w:r>
          </w:p>
        </w:tc>
        <w:tc>
          <w:tcPr>
            <w:tcW w:w="860" w:type="pct"/>
            <w:vMerge w:val="restart"/>
            <w:shd w:val="clear" w:color="auto" w:fill="A6A6A6" w:themeFill="background1" w:themeFillShade="A6"/>
            <w:tcMar/>
            <w:vAlign w:val="center"/>
            <w:hideMark/>
          </w:tcPr>
          <w:p w:rsidRPr="00CE699F" w:rsidR="00DB1E08" w:rsidP="00CE699F" w:rsidRDefault="00DB1E08" w14:paraId="78D23943"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Apropiación Inicial 2022</w:t>
            </w:r>
          </w:p>
        </w:tc>
        <w:tc>
          <w:tcPr>
            <w:tcW w:w="1078" w:type="pct"/>
            <w:vMerge w:val="restart"/>
            <w:shd w:val="clear" w:color="auto" w:fill="A6A6A6" w:themeFill="background1" w:themeFillShade="A6"/>
            <w:tcMar/>
            <w:vAlign w:val="center"/>
            <w:hideMark/>
          </w:tcPr>
          <w:p w:rsidRPr="00CE699F" w:rsidR="00DB1E08" w:rsidP="00CE699F" w:rsidRDefault="00DB1E08" w14:paraId="33EBA9F7"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Traslados Presupuestales por Reducción</w:t>
            </w:r>
          </w:p>
        </w:tc>
        <w:tc>
          <w:tcPr>
            <w:tcW w:w="1078" w:type="pct"/>
            <w:vMerge w:val="restart"/>
            <w:shd w:val="clear" w:color="auto" w:fill="A6A6A6" w:themeFill="background1" w:themeFillShade="A6"/>
            <w:tcMar/>
            <w:vAlign w:val="center"/>
            <w:hideMark/>
          </w:tcPr>
          <w:p w:rsidRPr="00CE699F" w:rsidR="00DB1E08" w:rsidP="00CE699F" w:rsidRDefault="00DB1E08" w14:paraId="72E42E7C"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Traslados Presupuestales por Adición</w:t>
            </w:r>
          </w:p>
        </w:tc>
        <w:tc>
          <w:tcPr>
            <w:tcW w:w="860" w:type="pct"/>
            <w:shd w:val="clear" w:color="auto" w:fill="A6A6A6" w:themeFill="background1" w:themeFillShade="A6"/>
            <w:tcMar/>
            <w:vAlign w:val="center"/>
            <w:hideMark/>
          </w:tcPr>
          <w:p w:rsidRPr="00CE699F" w:rsidR="00DB1E08" w:rsidP="00CE699F" w:rsidRDefault="00DB1E08" w14:paraId="36D84F5F"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Apropiación</w:t>
            </w:r>
          </w:p>
        </w:tc>
      </w:tr>
      <w:tr w:rsidRPr="00CE699F" w:rsidR="00DB1E08" w:rsidTr="30CF4445" w14:paraId="0F6EC0E3" w14:textId="77777777">
        <w:trPr>
          <w:trHeight w:val="470"/>
        </w:trPr>
        <w:tc>
          <w:tcPr>
            <w:tcW w:w="1125" w:type="pct"/>
            <w:vMerge/>
            <w:tcMar/>
            <w:vAlign w:val="center"/>
            <w:hideMark/>
          </w:tcPr>
          <w:p w:rsidRPr="00CE699F" w:rsidR="00DB1E08" w:rsidP="00CE699F" w:rsidRDefault="00DB1E08" w14:paraId="2B1C61DA" w14:textId="77777777">
            <w:pPr>
              <w:spacing w:after="0" w:line="240" w:lineRule="auto"/>
              <w:jc w:val="center"/>
              <w:rPr>
                <w:rFonts w:ascii="Verdana" w:hAnsi="Verdana" w:eastAsia="Times New Roman" w:cs="Times New Roman"/>
                <w:b/>
                <w:bCs/>
                <w:color w:val="000000"/>
                <w:sz w:val="18"/>
                <w:szCs w:val="18"/>
                <w:lang w:eastAsia="es-CO"/>
              </w:rPr>
            </w:pPr>
          </w:p>
        </w:tc>
        <w:tc>
          <w:tcPr>
            <w:tcW w:w="860" w:type="pct"/>
            <w:vMerge/>
            <w:tcMar/>
            <w:vAlign w:val="center"/>
            <w:hideMark/>
          </w:tcPr>
          <w:p w:rsidRPr="00CE699F" w:rsidR="00DB1E08" w:rsidP="00CE699F" w:rsidRDefault="00DB1E08" w14:paraId="7AE2C2C8" w14:textId="77777777">
            <w:pPr>
              <w:spacing w:after="0" w:line="240" w:lineRule="auto"/>
              <w:jc w:val="center"/>
              <w:rPr>
                <w:rFonts w:ascii="Verdana" w:hAnsi="Verdana" w:eastAsia="Times New Roman" w:cs="Times New Roman"/>
                <w:b/>
                <w:bCs/>
                <w:color w:val="000000"/>
                <w:sz w:val="18"/>
                <w:szCs w:val="18"/>
                <w:lang w:eastAsia="es-CO"/>
              </w:rPr>
            </w:pPr>
          </w:p>
        </w:tc>
        <w:tc>
          <w:tcPr>
            <w:tcW w:w="1078" w:type="pct"/>
            <w:vMerge/>
            <w:tcMar/>
            <w:vAlign w:val="center"/>
            <w:hideMark/>
          </w:tcPr>
          <w:p w:rsidRPr="00CE699F" w:rsidR="00DB1E08" w:rsidP="00CE699F" w:rsidRDefault="00DB1E08" w14:paraId="685763A5" w14:textId="77777777">
            <w:pPr>
              <w:spacing w:after="0" w:line="240" w:lineRule="auto"/>
              <w:jc w:val="center"/>
              <w:rPr>
                <w:rFonts w:ascii="Verdana" w:hAnsi="Verdana" w:eastAsia="Times New Roman" w:cs="Times New Roman"/>
                <w:b/>
                <w:bCs/>
                <w:color w:val="000000"/>
                <w:sz w:val="18"/>
                <w:szCs w:val="18"/>
                <w:lang w:eastAsia="es-CO"/>
              </w:rPr>
            </w:pPr>
          </w:p>
        </w:tc>
        <w:tc>
          <w:tcPr>
            <w:tcW w:w="1078" w:type="pct"/>
            <w:vMerge/>
            <w:tcMar/>
            <w:vAlign w:val="center"/>
            <w:hideMark/>
          </w:tcPr>
          <w:p w:rsidRPr="00CE699F" w:rsidR="00DB1E08" w:rsidP="00CE699F" w:rsidRDefault="00DB1E08" w14:paraId="7B96ADD8" w14:textId="77777777">
            <w:pPr>
              <w:spacing w:after="0" w:line="240" w:lineRule="auto"/>
              <w:jc w:val="center"/>
              <w:rPr>
                <w:rFonts w:ascii="Verdana" w:hAnsi="Verdana" w:eastAsia="Times New Roman" w:cs="Times New Roman"/>
                <w:b/>
                <w:bCs/>
                <w:color w:val="000000"/>
                <w:sz w:val="18"/>
                <w:szCs w:val="18"/>
                <w:lang w:eastAsia="es-CO"/>
              </w:rPr>
            </w:pPr>
          </w:p>
        </w:tc>
        <w:tc>
          <w:tcPr>
            <w:tcW w:w="860" w:type="pct"/>
            <w:shd w:val="clear" w:color="auto" w:fill="A6A6A6" w:themeFill="background1" w:themeFillShade="A6"/>
            <w:tcMar/>
            <w:vAlign w:val="center"/>
            <w:hideMark/>
          </w:tcPr>
          <w:p w:rsidRPr="00CE699F" w:rsidR="00DB1E08" w:rsidP="00CE699F" w:rsidRDefault="00DB1E08" w14:paraId="5E982FCD"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Vigente 2022</w:t>
            </w:r>
          </w:p>
        </w:tc>
      </w:tr>
      <w:tr w:rsidRPr="00CE699F" w:rsidR="00DB1E08" w:rsidTr="30CF4445" w14:paraId="245665E6" w14:textId="77777777">
        <w:trPr>
          <w:trHeight w:val="300"/>
        </w:trPr>
        <w:tc>
          <w:tcPr>
            <w:tcW w:w="1125" w:type="pct"/>
            <w:shd w:val="clear" w:color="auto" w:fill="BFBFBF" w:themeFill="background1" w:themeFillShade="BF"/>
            <w:tcMar/>
            <w:vAlign w:val="center"/>
            <w:hideMark/>
          </w:tcPr>
          <w:p w:rsidRPr="00CE699F" w:rsidR="00DB1E08" w:rsidP="00CE699F" w:rsidRDefault="00DB1E08" w14:paraId="26EA9025"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Funcionamiento</w:t>
            </w:r>
          </w:p>
        </w:tc>
        <w:tc>
          <w:tcPr>
            <w:tcW w:w="860" w:type="pct"/>
            <w:noWrap/>
            <w:tcMar/>
            <w:vAlign w:val="center"/>
            <w:hideMark/>
          </w:tcPr>
          <w:p w:rsidRPr="00CE699F" w:rsidR="00DB1E08" w:rsidP="00CE699F" w:rsidRDefault="00DB1E08" w14:paraId="0FA8A074"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$ 990.312</w:t>
            </w:r>
          </w:p>
        </w:tc>
        <w:tc>
          <w:tcPr>
            <w:tcW w:w="1078" w:type="pct"/>
            <w:noWrap/>
            <w:tcMar/>
            <w:vAlign w:val="center"/>
            <w:hideMark/>
          </w:tcPr>
          <w:p w:rsidRPr="00CE699F" w:rsidR="00DB1E08" w:rsidP="00CE699F" w:rsidRDefault="00DB1E08" w14:paraId="532040C8"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$ 18.603</w:t>
            </w:r>
          </w:p>
        </w:tc>
        <w:tc>
          <w:tcPr>
            <w:tcW w:w="1078" w:type="pct"/>
            <w:noWrap/>
            <w:tcMar/>
            <w:vAlign w:val="center"/>
            <w:hideMark/>
          </w:tcPr>
          <w:p w:rsidRPr="00CE699F" w:rsidR="00DB1E08" w:rsidP="00CE699F" w:rsidRDefault="00DB1E08" w14:paraId="17620CCE"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$ 23.896</w:t>
            </w:r>
          </w:p>
        </w:tc>
        <w:tc>
          <w:tcPr>
            <w:tcW w:w="860" w:type="pct"/>
            <w:noWrap/>
            <w:tcMar/>
            <w:vAlign w:val="center"/>
            <w:hideMark/>
          </w:tcPr>
          <w:p w:rsidRPr="00CE699F" w:rsidR="00DB1E08" w:rsidP="00CE699F" w:rsidRDefault="00DB1E08" w14:paraId="2791EDA4"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$ 995.605</w:t>
            </w:r>
          </w:p>
        </w:tc>
      </w:tr>
      <w:tr w:rsidRPr="00CE699F" w:rsidR="00DB1E08" w:rsidTr="30CF4445" w14:paraId="75E655A8" w14:textId="77777777">
        <w:trPr>
          <w:trHeight w:val="470"/>
        </w:trPr>
        <w:tc>
          <w:tcPr>
            <w:tcW w:w="1125" w:type="pct"/>
            <w:tcMar/>
            <w:vAlign w:val="center"/>
            <w:hideMark/>
          </w:tcPr>
          <w:p w:rsidRPr="00CE699F" w:rsidR="00DB1E08" w:rsidP="00CE699F" w:rsidRDefault="00DB1E08" w14:paraId="219000AC"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Gastos de Personal</w:t>
            </w:r>
          </w:p>
        </w:tc>
        <w:tc>
          <w:tcPr>
            <w:tcW w:w="860" w:type="pct"/>
            <w:noWrap/>
            <w:tcMar/>
            <w:vAlign w:val="center"/>
            <w:hideMark/>
          </w:tcPr>
          <w:p w:rsidRPr="00CE699F" w:rsidR="00DB1E08" w:rsidP="00CE699F" w:rsidRDefault="00DB1E08" w14:paraId="2C769157"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$ 172.753</w:t>
            </w:r>
          </w:p>
        </w:tc>
        <w:tc>
          <w:tcPr>
            <w:tcW w:w="1078" w:type="pct"/>
            <w:noWrap/>
            <w:tcMar/>
            <w:vAlign w:val="center"/>
            <w:hideMark/>
          </w:tcPr>
          <w:p w:rsidRPr="00CE699F" w:rsidR="00DB1E08" w:rsidP="00CE699F" w:rsidRDefault="00DB1E08" w14:paraId="5BB27BB0"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$ 4.159</w:t>
            </w:r>
          </w:p>
        </w:tc>
        <w:tc>
          <w:tcPr>
            <w:tcW w:w="1078" w:type="pct"/>
            <w:noWrap/>
            <w:tcMar/>
            <w:vAlign w:val="center"/>
            <w:hideMark/>
          </w:tcPr>
          <w:p w:rsidRPr="00CE699F" w:rsidR="00DB1E08" w:rsidP="00CE699F" w:rsidRDefault="00DB1E08" w14:paraId="693FFAE8"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$ 15.481</w:t>
            </w:r>
          </w:p>
        </w:tc>
        <w:tc>
          <w:tcPr>
            <w:tcW w:w="860" w:type="pct"/>
            <w:noWrap/>
            <w:tcMar/>
            <w:vAlign w:val="center"/>
            <w:hideMark/>
          </w:tcPr>
          <w:p w:rsidRPr="00CE699F" w:rsidR="00DB1E08" w:rsidP="00CE699F" w:rsidRDefault="00DB1E08" w14:paraId="56898CAB"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$ 184.075</w:t>
            </w:r>
          </w:p>
        </w:tc>
      </w:tr>
      <w:tr w:rsidRPr="00CE699F" w:rsidR="00DB1E08" w:rsidTr="30CF4445" w14:paraId="26E8DB43" w14:textId="77777777">
        <w:trPr>
          <w:trHeight w:val="470"/>
        </w:trPr>
        <w:tc>
          <w:tcPr>
            <w:tcW w:w="1125" w:type="pct"/>
            <w:tcMar/>
            <w:vAlign w:val="center"/>
            <w:hideMark/>
          </w:tcPr>
          <w:p w:rsidRPr="00CE699F" w:rsidR="00DB1E08" w:rsidP="00CE699F" w:rsidRDefault="00DB1E08" w14:paraId="2071108F"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Adquisición de bienes y servicios</w:t>
            </w:r>
          </w:p>
        </w:tc>
        <w:tc>
          <w:tcPr>
            <w:tcW w:w="860" w:type="pct"/>
            <w:noWrap/>
            <w:tcMar/>
            <w:vAlign w:val="center"/>
            <w:hideMark/>
          </w:tcPr>
          <w:p w:rsidRPr="00CE699F" w:rsidR="00DB1E08" w:rsidP="00CE699F" w:rsidRDefault="00DB1E08" w14:paraId="2C95019C"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$ 61.639</w:t>
            </w:r>
          </w:p>
        </w:tc>
        <w:tc>
          <w:tcPr>
            <w:tcW w:w="1078" w:type="pct"/>
            <w:noWrap/>
            <w:tcMar/>
            <w:vAlign w:val="center"/>
            <w:hideMark/>
          </w:tcPr>
          <w:p w:rsidRPr="00CE699F" w:rsidR="00DB1E08" w:rsidP="00CE699F" w:rsidRDefault="00DB1E08" w14:paraId="6B6B9855"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$ 93</w:t>
            </w:r>
          </w:p>
        </w:tc>
        <w:tc>
          <w:tcPr>
            <w:tcW w:w="1078" w:type="pct"/>
            <w:noWrap/>
            <w:tcMar/>
            <w:vAlign w:val="center"/>
            <w:hideMark/>
          </w:tcPr>
          <w:p w:rsidRPr="00CE699F" w:rsidR="00DB1E08" w:rsidP="00CE699F" w:rsidRDefault="00DB1E08" w14:paraId="19BFECD7"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$ 6.230</w:t>
            </w:r>
          </w:p>
        </w:tc>
        <w:tc>
          <w:tcPr>
            <w:tcW w:w="860" w:type="pct"/>
            <w:noWrap/>
            <w:tcMar/>
            <w:vAlign w:val="center"/>
            <w:hideMark/>
          </w:tcPr>
          <w:p w:rsidRPr="00CE699F" w:rsidR="00DB1E08" w:rsidP="00CE699F" w:rsidRDefault="00DB1E08" w14:paraId="72EDC699"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$ 67.775</w:t>
            </w:r>
          </w:p>
        </w:tc>
      </w:tr>
      <w:tr w:rsidRPr="00CE699F" w:rsidR="00DB1E08" w:rsidTr="30CF4445" w14:paraId="28FF9B9F" w14:textId="77777777">
        <w:trPr>
          <w:trHeight w:val="470"/>
        </w:trPr>
        <w:tc>
          <w:tcPr>
            <w:tcW w:w="1125" w:type="pct"/>
            <w:tcMar/>
            <w:vAlign w:val="center"/>
            <w:hideMark/>
          </w:tcPr>
          <w:p w:rsidRPr="00CE699F" w:rsidR="00DB1E08" w:rsidP="00CE699F" w:rsidRDefault="00DB1E08" w14:paraId="4E306099"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Transferencias corrientes</w:t>
            </w:r>
          </w:p>
        </w:tc>
        <w:tc>
          <w:tcPr>
            <w:tcW w:w="860" w:type="pct"/>
            <w:noWrap/>
            <w:tcMar/>
            <w:vAlign w:val="center"/>
            <w:hideMark/>
          </w:tcPr>
          <w:p w:rsidRPr="00CE699F" w:rsidR="00DB1E08" w:rsidP="00CE699F" w:rsidRDefault="00DB1E08" w14:paraId="30F69D75"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$ 669.323</w:t>
            </w:r>
          </w:p>
        </w:tc>
        <w:tc>
          <w:tcPr>
            <w:tcW w:w="1078" w:type="pct"/>
            <w:noWrap/>
            <w:tcMar/>
            <w:vAlign w:val="center"/>
            <w:hideMark/>
          </w:tcPr>
          <w:p w:rsidRPr="00CE699F" w:rsidR="00DB1E08" w:rsidP="00CE699F" w:rsidRDefault="00DB1E08" w14:paraId="00035D1C"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$ 7.578</w:t>
            </w:r>
          </w:p>
        </w:tc>
        <w:tc>
          <w:tcPr>
            <w:tcW w:w="1078" w:type="pct"/>
            <w:noWrap/>
            <w:tcMar/>
            <w:vAlign w:val="center"/>
            <w:hideMark/>
          </w:tcPr>
          <w:p w:rsidRPr="00CE699F" w:rsidR="00DB1E08" w:rsidP="00CE699F" w:rsidRDefault="00DB1E08" w14:paraId="1C17B937"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$ 1.432</w:t>
            </w:r>
          </w:p>
        </w:tc>
        <w:tc>
          <w:tcPr>
            <w:tcW w:w="860" w:type="pct"/>
            <w:noWrap/>
            <w:tcMar/>
            <w:vAlign w:val="center"/>
            <w:hideMark/>
          </w:tcPr>
          <w:p w:rsidRPr="00CE699F" w:rsidR="00DB1E08" w:rsidP="00CE699F" w:rsidRDefault="00DB1E08" w14:paraId="552935BE"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$ 663.178</w:t>
            </w:r>
          </w:p>
        </w:tc>
      </w:tr>
      <w:tr w:rsidRPr="00CE699F" w:rsidR="00DB1E08" w:rsidTr="30CF4445" w14:paraId="1B669483" w14:textId="77777777">
        <w:trPr>
          <w:trHeight w:val="700"/>
        </w:trPr>
        <w:tc>
          <w:tcPr>
            <w:tcW w:w="1125" w:type="pct"/>
            <w:tcMar/>
            <w:vAlign w:val="center"/>
            <w:hideMark/>
          </w:tcPr>
          <w:p w:rsidRPr="00CE699F" w:rsidR="00DB1E08" w:rsidP="00CE699F" w:rsidRDefault="00DB1E08" w14:paraId="7101D99B"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Gastos de Comercio y Producción</w:t>
            </w:r>
          </w:p>
        </w:tc>
        <w:tc>
          <w:tcPr>
            <w:tcW w:w="860" w:type="pct"/>
            <w:noWrap/>
            <w:tcMar/>
            <w:vAlign w:val="center"/>
            <w:hideMark/>
          </w:tcPr>
          <w:p w:rsidRPr="00CE699F" w:rsidR="00DB1E08" w:rsidP="00CE699F" w:rsidRDefault="00DB1E08" w14:paraId="6F060E03"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$ 68.953</w:t>
            </w:r>
          </w:p>
        </w:tc>
        <w:tc>
          <w:tcPr>
            <w:tcW w:w="1078" w:type="pct"/>
            <w:noWrap/>
            <w:tcMar/>
            <w:vAlign w:val="center"/>
            <w:hideMark/>
          </w:tcPr>
          <w:p w:rsidRPr="00CE699F" w:rsidR="00DB1E08" w:rsidP="00CE699F" w:rsidRDefault="00DB1E08" w14:paraId="565468EC"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$ 6.361</w:t>
            </w:r>
          </w:p>
        </w:tc>
        <w:tc>
          <w:tcPr>
            <w:tcW w:w="1078" w:type="pct"/>
            <w:noWrap/>
            <w:tcMar/>
            <w:vAlign w:val="center"/>
            <w:hideMark/>
          </w:tcPr>
          <w:p w:rsidRPr="00CE699F" w:rsidR="00DB1E08" w:rsidP="00CE699F" w:rsidRDefault="00DB1E08" w14:paraId="7F4A0BDC"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w:t>
            </w:r>
          </w:p>
        </w:tc>
        <w:tc>
          <w:tcPr>
            <w:tcW w:w="860" w:type="pct"/>
            <w:noWrap/>
            <w:tcMar/>
            <w:vAlign w:val="center"/>
            <w:hideMark/>
          </w:tcPr>
          <w:p w:rsidRPr="00CE699F" w:rsidR="00DB1E08" w:rsidP="00CE699F" w:rsidRDefault="00DB1E08" w14:paraId="56B5E6DD"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$ 62.591</w:t>
            </w:r>
          </w:p>
        </w:tc>
      </w:tr>
      <w:tr w:rsidRPr="00CE699F" w:rsidR="00DB1E08" w:rsidTr="30CF4445" w14:paraId="24031EE6" w14:textId="77777777">
        <w:trPr>
          <w:trHeight w:val="930"/>
        </w:trPr>
        <w:tc>
          <w:tcPr>
            <w:tcW w:w="1125" w:type="pct"/>
            <w:tcMar/>
            <w:vAlign w:val="center"/>
            <w:hideMark/>
          </w:tcPr>
          <w:p w:rsidRPr="00CE699F" w:rsidR="00DB1E08" w:rsidP="00CE699F" w:rsidRDefault="00DB1E08" w14:paraId="495C3277" w14:textId="73106A59">
            <w:pPr>
              <w:spacing w:after="0" w:line="240" w:lineRule="auto"/>
              <w:jc w:val="center"/>
              <w:rPr>
                <w:rFonts w:ascii="Verdana" w:hAnsi="Verdana" w:eastAsia="Times New Roman" w:cs="Times New Roman"/>
                <w:color w:val="000000"/>
                <w:sz w:val="18"/>
                <w:szCs w:val="18"/>
                <w:lang w:eastAsia="es-CO"/>
              </w:rPr>
            </w:pPr>
            <w:r w:rsidRPr="30CF4445" w:rsidR="6B5B0B4F">
              <w:rPr>
                <w:rFonts w:ascii="Verdana" w:hAnsi="Verdana" w:eastAsia="Times New Roman" w:cs="Times New Roman"/>
                <w:color w:val="000000" w:themeColor="text1" w:themeTint="FF" w:themeShade="FF"/>
                <w:sz w:val="18"/>
                <w:szCs w:val="18"/>
                <w:lang w:eastAsia="es-CO"/>
              </w:rPr>
              <w:t>Gastos por tributos, multas</w:t>
            </w:r>
            <w:r w:rsidRPr="30CF4445" w:rsidR="47F16A4C">
              <w:rPr>
                <w:rFonts w:ascii="Verdana" w:hAnsi="Verdana" w:eastAsia="Times New Roman" w:cs="Times New Roman"/>
                <w:color w:val="000000" w:themeColor="text1" w:themeTint="FF" w:themeShade="FF"/>
                <w:sz w:val="18"/>
                <w:szCs w:val="18"/>
                <w:lang w:eastAsia="es-CO"/>
              </w:rPr>
              <w:t>,</w:t>
            </w:r>
            <w:r w:rsidRPr="30CF4445" w:rsidR="6B5B0B4F">
              <w:rPr>
                <w:rFonts w:ascii="Verdana" w:hAnsi="Verdana" w:eastAsia="Times New Roman" w:cs="Times New Roman"/>
                <w:color w:val="000000" w:themeColor="text1" w:themeTint="FF" w:themeShade="FF"/>
                <w:sz w:val="18"/>
                <w:szCs w:val="18"/>
                <w:lang w:eastAsia="es-CO"/>
              </w:rPr>
              <w:t xml:space="preserve"> sanciones e intereses</w:t>
            </w:r>
          </w:p>
        </w:tc>
        <w:tc>
          <w:tcPr>
            <w:tcW w:w="860" w:type="pct"/>
            <w:noWrap/>
            <w:tcMar/>
            <w:vAlign w:val="center"/>
            <w:hideMark/>
          </w:tcPr>
          <w:p w:rsidRPr="00CE699F" w:rsidR="00DB1E08" w:rsidP="00CE699F" w:rsidRDefault="00DB1E08" w14:paraId="7108E701"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$ 17.645</w:t>
            </w:r>
          </w:p>
        </w:tc>
        <w:tc>
          <w:tcPr>
            <w:tcW w:w="1078" w:type="pct"/>
            <w:noWrap/>
            <w:tcMar/>
            <w:vAlign w:val="center"/>
            <w:hideMark/>
          </w:tcPr>
          <w:p w:rsidRPr="00CE699F" w:rsidR="00DB1E08" w:rsidP="00CE699F" w:rsidRDefault="00DB1E08" w14:paraId="7D930127"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$ 412</w:t>
            </w:r>
          </w:p>
        </w:tc>
        <w:tc>
          <w:tcPr>
            <w:tcW w:w="1078" w:type="pct"/>
            <w:noWrap/>
            <w:tcMar/>
            <w:vAlign w:val="center"/>
            <w:hideMark/>
          </w:tcPr>
          <w:p w:rsidRPr="00CE699F" w:rsidR="00DB1E08" w:rsidP="00CE699F" w:rsidRDefault="00DB1E08" w14:paraId="0BA035AC"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$ 753</w:t>
            </w:r>
          </w:p>
        </w:tc>
        <w:tc>
          <w:tcPr>
            <w:tcW w:w="860" w:type="pct"/>
            <w:noWrap/>
            <w:tcMar/>
            <w:vAlign w:val="center"/>
            <w:hideMark/>
          </w:tcPr>
          <w:p w:rsidRPr="00CE699F" w:rsidR="00DB1E08" w:rsidP="00CE699F" w:rsidRDefault="00DB1E08" w14:paraId="1C37CEBE"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$ 17.986</w:t>
            </w:r>
          </w:p>
        </w:tc>
      </w:tr>
      <w:tr w:rsidRPr="00CE699F" w:rsidR="00DB1E08" w:rsidTr="30CF4445" w14:paraId="14A52B2E" w14:textId="77777777">
        <w:trPr>
          <w:trHeight w:val="470"/>
        </w:trPr>
        <w:tc>
          <w:tcPr>
            <w:tcW w:w="1125" w:type="pct"/>
            <w:shd w:val="clear" w:color="auto" w:fill="BFBFBF" w:themeFill="background1" w:themeFillShade="BF"/>
            <w:tcMar/>
            <w:vAlign w:val="center"/>
            <w:hideMark/>
          </w:tcPr>
          <w:p w:rsidRPr="00CE699F" w:rsidR="00DB1E08" w:rsidP="00CE699F" w:rsidRDefault="00DB1E08" w14:paraId="26C52929"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Servicio a la Deuda</w:t>
            </w:r>
          </w:p>
        </w:tc>
        <w:tc>
          <w:tcPr>
            <w:tcW w:w="860" w:type="pct"/>
            <w:noWrap/>
            <w:tcMar/>
            <w:vAlign w:val="center"/>
            <w:hideMark/>
          </w:tcPr>
          <w:p w:rsidRPr="00CE699F" w:rsidR="00DB1E08" w:rsidP="00CE699F" w:rsidRDefault="00DB1E08" w14:paraId="74C8C7EF"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$ 15.241</w:t>
            </w:r>
          </w:p>
        </w:tc>
        <w:tc>
          <w:tcPr>
            <w:tcW w:w="1078" w:type="pct"/>
            <w:noWrap/>
            <w:tcMar/>
            <w:vAlign w:val="center"/>
            <w:hideMark/>
          </w:tcPr>
          <w:p w:rsidRPr="00CE699F" w:rsidR="00DB1E08" w:rsidP="00CE699F" w:rsidRDefault="00DB1E08" w14:paraId="55AB04F3"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w:t>
            </w:r>
          </w:p>
        </w:tc>
        <w:tc>
          <w:tcPr>
            <w:tcW w:w="1078" w:type="pct"/>
            <w:noWrap/>
            <w:tcMar/>
            <w:vAlign w:val="center"/>
            <w:hideMark/>
          </w:tcPr>
          <w:p w:rsidRPr="00CE699F" w:rsidR="00DB1E08" w:rsidP="00CE699F" w:rsidRDefault="00DB1E08" w14:paraId="1CE9B220"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w:t>
            </w:r>
          </w:p>
        </w:tc>
        <w:tc>
          <w:tcPr>
            <w:tcW w:w="860" w:type="pct"/>
            <w:noWrap/>
            <w:tcMar/>
            <w:vAlign w:val="center"/>
            <w:hideMark/>
          </w:tcPr>
          <w:p w:rsidRPr="00CE699F" w:rsidR="00DB1E08" w:rsidP="00CE699F" w:rsidRDefault="00DB1E08" w14:paraId="4C6332EA"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$ 15.241</w:t>
            </w:r>
          </w:p>
        </w:tc>
      </w:tr>
      <w:tr w:rsidRPr="00CE699F" w:rsidR="00DB1E08" w:rsidTr="30CF4445" w14:paraId="57C70F77" w14:textId="77777777">
        <w:trPr>
          <w:trHeight w:val="470"/>
        </w:trPr>
        <w:tc>
          <w:tcPr>
            <w:tcW w:w="1125" w:type="pct"/>
            <w:tcMar/>
            <w:vAlign w:val="center"/>
            <w:hideMark/>
          </w:tcPr>
          <w:p w:rsidRPr="00CE699F" w:rsidR="00DB1E08" w:rsidP="00CE699F" w:rsidRDefault="00DB1E08" w14:paraId="1F7633F8"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Otras Cuentas Por Pagar</w:t>
            </w:r>
          </w:p>
        </w:tc>
        <w:tc>
          <w:tcPr>
            <w:tcW w:w="860" w:type="pct"/>
            <w:noWrap/>
            <w:tcMar/>
            <w:vAlign w:val="center"/>
            <w:hideMark/>
          </w:tcPr>
          <w:p w:rsidRPr="00CE699F" w:rsidR="00DB1E08" w:rsidP="00CE699F" w:rsidRDefault="00DB1E08" w14:paraId="14B463AC"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$ 6.844</w:t>
            </w:r>
          </w:p>
        </w:tc>
        <w:tc>
          <w:tcPr>
            <w:tcW w:w="1078" w:type="pct"/>
            <w:noWrap/>
            <w:tcMar/>
            <w:vAlign w:val="center"/>
            <w:hideMark/>
          </w:tcPr>
          <w:p w:rsidRPr="00CE699F" w:rsidR="00DB1E08" w:rsidP="00CE699F" w:rsidRDefault="00DB1E08" w14:paraId="67608843"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w:t>
            </w:r>
          </w:p>
        </w:tc>
        <w:tc>
          <w:tcPr>
            <w:tcW w:w="1078" w:type="pct"/>
            <w:noWrap/>
            <w:tcMar/>
            <w:vAlign w:val="center"/>
            <w:hideMark/>
          </w:tcPr>
          <w:p w:rsidRPr="00CE699F" w:rsidR="00DB1E08" w:rsidP="00CE699F" w:rsidRDefault="00DB1E08" w14:paraId="7D5856D1"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w:t>
            </w:r>
          </w:p>
        </w:tc>
        <w:tc>
          <w:tcPr>
            <w:tcW w:w="860" w:type="pct"/>
            <w:noWrap/>
            <w:tcMar/>
            <w:vAlign w:val="center"/>
            <w:hideMark/>
          </w:tcPr>
          <w:p w:rsidRPr="00CE699F" w:rsidR="00DB1E08" w:rsidP="00CE699F" w:rsidRDefault="00DB1E08" w14:paraId="41078005"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$ 6.844</w:t>
            </w:r>
          </w:p>
        </w:tc>
      </w:tr>
      <w:tr w:rsidRPr="00CE699F" w:rsidR="00DB1E08" w:rsidTr="30CF4445" w14:paraId="545EF4A5" w14:textId="77777777">
        <w:trPr>
          <w:trHeight w:val="470"/>
        </w:trPr>
        <w:tc>
          <w:tcPr>
            <w:tcW w:w="1125" w:type="pct"/>
            <w:tcMar/>
            <w:vAlign w:val="center"/>
            <w:hideMark/>
          </w:tcPr>
          <w:p w:rsidRPr="00CE699F" w:rsidR="00DB1E08" w:rsidP="00CE699F" w:rsidRDefault="00DB1E08" w14:paraId="0AA9254C"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Aportes al Fondo de Contingencias</w:t>
            </w:r>
          </w:p>
        </w:tc>
        <w:tc>
          <w:tcPr>
            <w:tcW w:w="860" w:type="pct"/>
            <w:noWrap/>
            <w:tcMar/>
            <w:vAlign w:val="center"/>
            <w:hideMark/>
          </w:tcPr>
          <w:p w:rsidRPr="00CE699F" w:rsidR="00DB1E08" w:rsidP="00CE699F" w:rsidRDefault="00DB1E08" w14:paraId="160878A7"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$ 8.397</w:t>
            </w:r>
          </w:p>
        </w:tc>
        <w:tc>
          <w:tcPr>
            <w:tcW w:w="1078" w:type="pct"/>
            <w:noWrap/>
            <w:tcMar/>
            <w:vAlign w:val="center"/>
            <w:hideMark/>
          </w:tcPr>
          <w:p w:rsidRPr="00CE699F" w:rsidR="00DB1E08" w:rsidP="00CE699F" w:rsidRDefault="00DB1E08" w14:paraId="5E09604E"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w:t>
            </w:r>
          </w:p>
        </w:tc>
        <w:tc>
          <w:tcPr>
            <w:tcW w:w="1078" w:type="pct"/>
            <w:noWrap/>
            <w:tcMar/>
            <w:vAlign w:val="center"/>
            <w:hideMark/>
          </w:tcPr>
          <w:p w:rsidRPr="00CE699F" w:rsidR="00DB1E08" w:rsidP="00CE699F" w:rsidRDefault="00DB1E08" w14:paraId="28C06EAC"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w:t>
            </w:r>
          </w:p>
        </w:tc>
        <w:tc>
          <w:tcPr>
            <w:tcW w:w="860" w:type="pct"/>
            <w:noWrap/>
            <w:tcMar/>
            <w:vAlign w:val="center"/>
            <w:hideMark/>
          </w:tcPr>
          <w:p w:rsidRPr="00CE699F" w:rsidR="00DB1E08" w:rsidP="00CE699F" w:rsidRDefault="00DB1E08" w14:paraId="79628A42"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$ 8.397</w:t>
            </w:r>
          </w:p>
        </w:tc>
      </w:tr>
      <w:tr w:rsidRPr="00CE699F" w:rsidR="00DB1E08" w:rsidTr="30CF4445" w14:paraId="31BB0B65" w14:textId="77777777">
        <w:trPr>
          <w:trHeight w:val="300"/>
        </w:trPr>
        <w:tc>
          <w:tcPr>
            <w:tcW w:w="1125" w:type="pct"/>
            <w:shd w:val="clear" w:color="auto" w:fill="BFBFBF" w:themeFill="background1" w:themeFillShade="BF"/>
            <w:tcMar/>
            <w:vAlign w:val="center"/>
            <w:hideMark/>
          </w:tcPr>
          <w:p w:rsidRPr="00CE699F" w:rsidR="00DB1E08" w:rsidP="00CE699F" w:rsidRDefault="00DB1E08" w14:paraId="59DC42B8"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Inversión</w:t>
            </w:r>
          </w:p>
        </w:tc>
        <w:tc>
          <w:tcPr>
            <w:tcW w:w="860" w:type="pct"/>
            <w:noWrap/>
            <w:tcMar/>
            <w:vAlign w:val="center"/>
            <w:hideMark/>
          </w:tcPr>
          <w:p w:rsidRPr="00CE699F" w:rsidR="00DB1E08" w:rsidP="00CE699F" w:rsidRDefault="00DB1E08" w14:paraId="71F87272"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$ 4.787.155</w:t>
            </w:r>
          </w:p>
        </w:tc>
        <w:tc>
          <w:tcPr>
            <w:tcW w:w="1078" w:type="pct"/>
            <w:noWrap/>
            <w:tcMar/>
            <w:vAlign w:val="center"/>
            <w:hideMark/>
          </w:tcPr>
          <w:p w:rsidRPr="00CE699F" w:rsidR="00DB1E08" w:rsidP="00CE699F" w:rsidRDefault="00DB1E08" w14:paraId="634B64F1"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$ 23.529</w:t>
            </w:r>
          </w:p>
        </w:tc>
        <w:tc>
          <w:tcPr>
            <w:tcW w:w="1078" w:type="pct"/>
            <w:noWrap/>
            <w:tcMar/>
            <w:vAlign w:val="center"/>
            <w:hideMark/>
          </w:tcPr>
          <w:p w:rsidRPr="00CE699F" w:rsidR="00DB1E08" w:rsidP="00CE699F" w:rsidRDefault="00DB1E08" w14:paraId="5E6C502F"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$ 23.529</w:t>
            </w:r>
          </w:p>
        </w:tc>
        <w:tc>
          <w:tcPr>
            <w:tcW w:w="860" w:type="pct"/>
            <w:noWrap/>
            <w:tcMar/>
            <w:vAlign w:val="center"/>
            <w:hideMark/>
          </w:tcPr>
          <w:p w:rsidRPr="00CE699F" w:rsidR="00DB1E08" w:rsidP="00CE699F" w:rsidRDefault="00DB1E08" w14:paraId="7C4D04B8"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$ 4.787.155</w:t>
            </w:r>
          </w:p>
        </w:tc>
      </w:tr>
      <w:tr w:rsidRPr="00CE699F" w:rsidR="00DB1E08" w:rsidTr="30CF4445" w14:paraId="4F6F8E0B" w14:textId="77777777">
        <w:trPr>
          <w:trHeight w:val="300"/>
        </w:trPr>
        <w:tc>
          <w:tcPr>
            <w:tcW w:w="1125" w:type="pct"/>
            <w:shd w:val="clear" w:color="auto" w:fill="BFBFBF" w:themeFill="background1" w:themeFillShade="BF"/>
            <w:tcMar/>
            <w:vAlign w:val="center"/>
            <w:hideMark/>
          </w:tcPr>
          <w:p w:rsidRPr="00CE699F" w:rsidR="00DB1E08" w:rsidP="00CE699F" w:rsidRDefault="00DB1E08" w14:paraId="6FB0E19A"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Total, Sector</w:t>
            </w:r>
          </w:p>
        </w:tc>
        <w:tc>
          <w:tcPr>
            <w:tcW w:w="860" w:type="pct"/>
            <w:shd w:val="clear" w:color="auto" w:fill="BFBFBF" w:themeFill="background1" w:themeFillShade="BF"/>
            <w:noWrap/>
            <w:tcMar/>
            <w:vAlign w:val="center"/>
            <w:hideMark/>
          </w:tcPr>
          <w:p w:rsidRPr="00CE699F" w:rsidR="00DB1E08" w:rsidP="00CE699F" w:rsidRDefault="00DB1E08" w14:paraId="6FCBCED2"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$ 5.792.708</w:t>
            </w:r>
          </w:p>
        </w:tc>
        <w:tc>
          <w:tcPr>
            <w:tcW w:w="1078" w:type="pct"/>
            <w:shd w:val="clear" w:color="auto" w:fill="BFBFBF" w:themeFill="background1" w:themeFillShade="BF"/>
            <w:noWrap/>
            <w:tcMar/>
            <w:vAlign w:val="center"/>
            <w:hideMark/>
          </w:tcPr>
          <w:p w:rsidRPr="00CE699F" w:rsidR="00DB1E08" w:rsidP="00CE699F" w:rsidRDefault="00DB1E08" w14:paraId="78CA547C"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$ 42.132</w:t>
            </w:r>
          </w:p>
        </w:tc>
        <w:tc>
          <w:tcPr>
            <w:tcW w:w="1078" w:type="pct"/>
            <w:shd w:val="clear" w:color="auto" w:fill="BFBFBF" w:themeFill="background1" w:themeFillShade="BF"/>
            <w:noWrap/>
            <w:tcMar/>
            <w:vAlign w:val="center"/>
            <w:hideMark/>
          </w:tcPr>
          <w:p w:rsidRPr="00CE699F" w:rsidR="00DB1E08" w:rsidP="00CE699F" w:rsidRDefault="00DB1E08" w14:paraId="0517FF2E"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$ 47.425</w:t>
            </w:r>
          </w:p>
        </w:tc>
        <w:tc>
          <w:tcPr>
            <w:tcW w:w="860" w:type="pct"/>
            <w:shd w:val="clear" w:color="auto" w:fill="BFBFBF" w:themeFill="background1" w:themeFillShade="BF"/>
            <w:noWrap/>
            <w:tcMar/>
            <w:vAlign w:val="center"/>
            <w:hideMark/>
          </w:tcPr>
          <w:p w:rsidRPr="00CE699F" w:rsidR="00DB1E08" w:rsidP="00CE699F" w:rsidRDefault="00DB1E08" w14:paraId="04A52B02"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$ 5.798.001</w:t>
            </w:r>
          </w:p>
        </w:tc>
      </w:tr>
    </w:tbl>
    <w:p w:rsidRPr="00CE699F" w:rsidR="00DB1E08" w:rsidP="00CE699F" w:rsidRDefault="00DB1E08" w14:paraId="05A91D2F" w14:textId="77777777">
      <w:pPr>
        <w:pStyle w:val="Fuente"/>
        <w:spacing w:after="0"/>
        <w:ind w:left="720"/>
        <w:rPr>
          <w:rFonts w:ascii="Verdana" w:hAnsi="Verdana"/>
          <w:sz w:val="10"/>
          <w:szCs w:val="10"/>
        </w:rPr>
      </w:pPr>
    </w:p>
    <w:p w:rsidRPr="00CE699F" w:rsidR="00DB1E08" w:rsidP="00CE699F" w:rsidRDefault="00DB1E08" w14:paraId="43D137BD" w14:textId="56B466BF">
      <w:pPr>
        <w:pStyle w:val="Fuente"/>
        <w:spacing w:after="0"/>
        <w:ind w:left="720"/>
        <w:rPr>
          <w:rFonts w:ascii="Verdana" w:hAnsi="Verdana"/>
        </w:rPr>
      </w:pPr>
      <w:r w:rsidRPr="30CF4445" w:rsidR="6B5B0B4F">
        <w:rPr>
          <w:rFonts w:ascii="Verdana" w:hAnsi="Verdana"/>
        </w:rPr>
        <w:t xml:space="preserve">Fuente: Elaboración propia del Grupo de Programación y Gestión Estratégica de Proyectos con información del </w:t>
      </w:r>
      <w:r w:rsidRPr="30CF4445" w:rsidR="6B5B0B4F">
        <w:rPr>
          <w:rFonts w:ascii="Verdana" w:hAnsi="Verdana"/>
        </w:rPr>
        <w:t>SIIF Nación del MinHacienda</w:t>
      </w:r>
      <w:r w:rsidRPr="30CF4445" w:rsidR="6B5B0B4F">
        <w:rPr>
          <w:rFonts w:ascii="Verdana" w:hAnsi="Verdana"/>
        </w:rPr>
        <w:t>. - Corte a 31 de diciembre 2022</w:t>
      </w:r>
    </w:p>
    <w:p w:rsidRPr="00CE699F" w:rsidR="00DB1E08" w:rsidP="0038515C" w:rsidRDefault="00DB1E08" w14:paraId="4C54392F" w14:textId="77777777">
      <w:pPr>
        <w:pStyle w:val="Fuente"/>
        <w:spacing w:after="0" w:line="360" w:lineRule="auto"/>
        <w:ind w:left="720"/>
        <w:jc w:val="left"/>
        <w:rPr>
          <w:rFonts w:ascii="Verdana" w:hAnsi="Verdana"/>
        </w:rPr>
      </w:pPr>
    </w:p>
    <w:p w:rsidRPr="00CE699F" w:rsidR="00DB1E08" w:rsidP="00CE699F" w:rsidRDefault="00DB1E08" w14:paraId="56228CA6" w14:textId="77777777">
      <w:pPr>
        <w:pStyle w:val="Descripcin"/>
        <w:spacing w:after="0"/>
        <w:jc w:val="center"/>
        <w:rPr>
          <w:rFonts w:ascii="Verdana" w:hAnsi="Verdana"/>
          <w:i w:val="0"/>
          <w:iCs w:val="0"/>
          <w:color w:val="auto"/>
        </w:rPr>
      </w:pPr>
      <w:r w:rsidRPr="00CE699F">
        <w:rPr>
          <w:rFonts w:ascii="Verdana" w:hAnsi="Verdana"/>
          <w:i w:val="0"/>
          <w:iCs w:val="0"/>
          <w:color w:val="auto"/>
        </w:rPr>
        <w:t>Tabla</w:t>
      </w:r>
      <w:r w:rsidR="0038515C">
        <w:rPr>
          <w:rFonts w:ascii="Verdana" w:hAnsi="Verdana"/>
          <w:i w:val="0"/>
          <w:iCs w:val="0"/>
          <w:color w:val="auto"/>
        </w:rPr>
        <w:t xml:space="preserve"> No. 29</w:t>
      </w:r>
      <w:r w:rsidRPr="00CE699F">
        <w:rPr>
          <w:rFonts w:ascii="Verdana" w:hAnsi="Verdana"/>
          <w:i w:val="0"/>
          <w:iCs w:val="0"/>
          <w:color w:val="auto"/>
        </w:rPr>
        <w:t>. Presupuesto Asignado Vigencia 2023</w:t>
      </w: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1987"/>
        <w:gridCol w:w="1518"/>
        <w:gridCol w:w="1903"/>
        <w:gridCol w:w="1903"/>
        <w:gridCol w:w="1517"/>
      </w:tblGrid>
      <w:tr w:rsidRPr="00CE699F" w:rsidR="00DB1E08" w:rsidTr="0038515C" w14:paraId="077B54D6" w14:textId="77777777">
        <w:trPr>
          <w:trHeight w:val="450"/>
        </w:trPr>
        <w:tc>
          <w:tcPr>
            <w:tcW w:w="1125" w:type="pct"/>
            <w:vMerge w:val="restart"/>
            <w:shd w:val="clear" w:color="auto" w:fill="A6A6A6" w:themeFill="background1" w:themeFillShade="A6"/>
            <w:vAlign w:val="center"/>
            <w:hideMark/>
          </w:tcPr>
          <w:p w:rsidRPr="00CE699F" w:rsidR="00DB1E08" w:rsidP="00CE699F" w:rsidRDefault="00DB1E08" w14:paraId="067AAE93"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Concepto</w:t>
            </w:r>
          </w:p>
        </w:tc>
        <w:tc>
          <w:tcPr>
            <w:tcW w:w="860" w:type="pct"/>
            <w:vMerge w:val="restart"/>
            <w:shd w:val="clear" w:color="auto" w:fill="A6A6A6" w:themeFill="background1" w:themeFillShade="A6"/>
            <w:vAlign w:val="center"/>
            <w:hideMark/>
          </w:tcPr>
          <w:p w:rsidRPr="00CE699F" w:rsidR="00DB1E08" w:rsidP="00CE699F" w:rsidRDefault="00DB1E08" w14:paraId="2B87F0F4"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Apropiación Inicial 2023</w:t>
            </w:r>
          </w:p>
        </w:tc>
        <w:tc>
          <w:tcPr>
            <w:tcW w:w="1078" w:type="pct"/>
            <w:vMerge w:val="restart"/>
            <w:shd w:val="clear" w:color="auto" w:fill="A6A6A6" w:themeFill="background1" w:themeFillShade="A6"/>
            <w:vAlign w:val="center"/>
            <w:hideMark/>
          </w:tcPr>
          <w:p w:rsidRPr="00CE699F" w:rsidR="00DB1E08" w:rsidP="00CE699F" w:rsidRDefault="00DB1E08" w14:paraId="19339949"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Traslados Presupuestales por Reducción</w:t>
            </w:r>
          </w:p>
        </w:tc>
        <w:tc>
          <w:tcPr>
            <w:tcW w:w="1078" w:type="pct"/>
            <w:vMerge w:val="restart"/>
            <w:shd w:val="clear" w:color="auto" w:fill="A6A6A6" w:themeFill="background1" w:themeFillShade="A6"/>
            <w:vAlign w:val="center"/>
            <w:hideMark/>
          </w:tcPr>
          <w:p w:rsidRPr="00CE699F" w:rsidR="00DB1E08" w:rsidP="00CE699F" w:rsidRDefault="00DB1E08" w14:paraId="6B8C346C"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Traslados Presupuestales por Adición</w:t>
            </w:r>
          </w:p>
        </w:tc>
        <w:tc>
          <w:tcPr>
            <w:tcW w:w="860" w:type="pct"/>
            <w:shd w:val="clear" w:color="auto" w:fill="A6A6A6" w:themeFill="background1" w:themeFillShade="A6"/>
            <w:vAlign w:val="center"/>
            <w:hideMark/>
          </w:tcPr>
          <w:p w:rsidRPr="00CE699F" w:rsidR="00DB1E08" w:rsidP="00CE699F" w:rsidRDefault="00DB1E08" w14:paraId="7CC40832"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Apropiación</w:t>
            </w:r>
          </w:p>
        </w:tc>
      </w:tr>
      <w:tr w:rsidRPr="00CE699F" w:rsidR="00DB1E08" w:rsidTr="0038515C" w14:paraId="08510631" w14:textId="77777777">
        <w:trPr>
          <w:trHeight w:val="470"/>
        </w:trPr>
        <w:tc>
          <w:tcPr>
            <w:tcW w:w="1125" w:type="pct"/>
            <w:vMerge/>
            <w:shd w:val="clear" w:color="auto" w:fill="A6A6A6" w:themeFill="background1" w:themeFillShade="A6"/>
            <w:vAlign w:val="center"/>
            <w:hideMark/>
          </w:tcPr>
          <w:p w:rsidRPr="00CE699F" w:rsidR="00DB1E08" w:rsidP="00CE699F" w:rsidRDefault="00DB1E08" w14:paraId="21725429" w14:textId="77777777">
            <w:pPr>
              <w:spacing w:after="0" w:line="240" w:lineRule="auto"/>
              <w:jc w:val="center"/>
              <w:rPr>
                <w:rFonts w:ascii="Verdana" w:hAnsi="Verdana" w:eastAsia="Times New Roman" w:cs="Times New Roman"/>
                <w:b/>
                <w:bCs/>
                <w:color w:val="000000"/>
                <w:sz w:val="18"/>
                <w:szCs w:val="18"/>
                <w:lang w:eastAsia="es-CO"/>
              </w:rPr>
            </w:pPr>
          </w:p>
        </w:tc>
        <w:tc>
          <w:tcPr>
            <w:tcW w:w="860" w:type="pct"/>
            <w:vMerge/>
            <w:shd w:val="clear" w:color="auto" w:fill="A6A6A6" w:themeFill="background1" w:themeFillShade="A6"/>
            <w:vAlign w:val="center"/>
            <w:hideMark/>
          </w:tcPr>
          <w:p w:rsidRPr="00CE699F" w:rsidR="00DB1E08" w:rsidP="00CE699F" w:rsidRDefault="00DB1E08" w14:paraId="3A136822" w14:textId="77777777">
            <w:pPr>
              <w:spacing w:after="0" w:line="240" w:lineRule="auto"/>
              <w:jc w:val="center"/>
              <w:rPr>
                <w:rFonts w:ascii="Verdana" w:hAnsi="Verdana" w:eastAsia="Times New Roman" w:cs="Times New Roman"/>
                <w:b/>
                <w:bCs/>
                <w:color w:val="000000"/>
                <w:sz w:val="18"/>
                <w:szCs w:val="18"/>
                <w:lang w:eastAsia="es-CO"/>
              </w:rPr>
            </w:pPr>
          </w:p>
        </w:tc>
        <w:tc>
          <w:tcPr>
            <w:tcW w:w="1078" w:type="pct"/>
            <w:vMerge/>
            <w:shd w:val="clear" w:color="auto" w:fill="A6A6A6" w:themeFill="background1" w:themeFillShade="A6"/>
            <w:vAlign w:val="center"/>
            <w:hideMark/>
          </w:tcPr>
          <w:p w:rsidRPr="00CE699F" w:rsidR="00DB1E08" w:rsidP="00CE699F" w:rsidRDefault="00DB1E08" w14:paraId="158EC5E2" w14:textId="77777777">
            <w:pPr>
              <w:spacing w:after="0" w:line="240" w:lineRule="auto"/>
              <w:jc w:val="center"/>
              <w:rPr>
                <w:rFonts w:ascii="Verdana" w:hAnsi="Verdana" w:eastAsia="Times New Roman" w:cs="Times New Roman"/>
                <w:b/>
                <w:bCs/>
                <w:color w:val="000000"/>
                <w:sz w:val="18"/>
                <w:szCs w:val="18"/>
                <w:lang w:eastAsia="es-CO"/>
              </w:rPr>
            </w:pPr>
          </w:p>
        </w:tc>
        <w:tc>
          <w:tcPr>
            <w:tcW w:w="1078" w:type="pct"/>
            <w:vMerge/>
            <w:shd w:val="clear" w:color="auto" w:fill="A6A6A6" w:themeFill="background1" w:themeFillShade="A6"/>
            <w:vAlign w:val="center"/>
            <w:hideMark/>
          </w:tcPr>
          <w:p w:rsidRPr="00CE699F" w:rsidR="00DB1E08" w:rsidP="00CE699F" w:rsidRDefault="00DB1E08" w14:paraId="214A274D" w14:textId="77777777">
            <w:pPr>
              <w:spacing w:after="0" w:line="240" w:lineRule="auto"/>
              <w:jc w:val="center"/>
              <w:rPr>
                <w:rFonts w:ascii="Verdana" w:hAnsi="Verdana" w:eastAsia="Times New Roman" w:cs="Times New Roman"/>
                <w:b/>
                <w:bCs/>
                <w:color w:val="000000"/>
                <w:sz w:val="18"/>
                <w:szCs w:val="18"/>
                <w:lang w:eastAsia="es-CO"/>
              </w:rPr>
            </w:pPr>
          </w:p>
        </w:tc>
        <w:tc>
          <w:tcPr>
            <w:tcW w:w="860" w:type="pct"/>
            <w:shd w:val="clear" w:color="auto" w:fill="A6A6A6" w:themeFill="background1" w:themeFillShade="A6"/>
            <w:vAlign w:val="center"/>
            <w:hideMark/>
          </w:tcPr>
          <w:p w:rsidRPr="00CE699F" w:rsidR="00DB1E08" w:rsidP="00CE699F" w:rsidRDefault="00DB1E08" w14:paraId="34D2714A"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Vigente 2023</w:t>
            </w:r>
          </w:p>
        </w:tc>
      </w:tr>
      <w:tr w:rsidRPr="00CE699F" w:rsidR="00DB1E08" w:rsidTr="0038515C" w14:paraId="5B27F0C4" w14:textId="77777777">
        <w:trPr>
          <w:trHeight w:val="300"/>
        </w:trPr>
        <w:tc>
          <w:tcPr>
            <w:tcW w:w="1125" w:type="pct"/>
            <w:shd w:val="clear" w:color="000000" w:fill="BFBFBF"/>
            <w:vAlign w:val="center"/>
            <w:hideMark/>
          </w:tcPr>
          <w:p w:rsidRPr="00CE699F" w:rsidR="00DB1E08" w:rsidP="00CE699F" w:rsidRDefault="00DB1E08" w14:paraId="27674544"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Funcionamiento</w:t>
            </w:r>
          </w:p>
        </w:tc>
        <w:tc>
          <w:tcPr>
            <w:tcW w:w="860" w:type="pct"/>
            <w:vAlign w:val="center"/>
            <w:hideMark/>
          </w:tcPr>
          <w:p w:rsidRPr="00CE699F" w:rsidR="00DB1E08" w:rsidP="00CE699F" w:rsidRDefault="00DB1E08" w14:paraId="3FD915C6"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$ 1.760.917</w:t>
            </w:r>
          </w:p>
        </w:tc>
        <w:tc>
          <w:tcPr>
            <w:tcW w:w="1078" w:type="pct"/>
            <w:vAlign w:val="center"/>
            <w:hideMark/>
          </w:tcPr>
          <w:p w:rsidRPr="00CE699F" w:rsidR="00DB1E08" w:rsidP="00CE699F" w:rsidRDefault="00DB1E08" w14:paraId="06251F21"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$ 17.884</w:t>
            </w:r>
          </w:p>
        </w:tc>
        <w:tc>
          <w:tcPr>
            <w:tcW w:w="1078" w:type="pct"/>
            <w:vAlign w:val="center"/>
            <w:hideMark/>
          </w:tcPr>
          <w:p w:rsidRPr="00CE699F" w:rsidR="00DB1E08" w:rsidP="00CE699F" w:rsidRDefault="00DB1E08" w14:paraId="5927F26E"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$ 30.873</w:t>
            </w:r>
          </w:p>
        </w:tc>
        <w:tc>
          <w:tcPr>
            <w:tcW w:w="860" w:type="pct"/>
            <w:vAlign w:val="center"/>
            <w:hideMark/>
          </w:tcPr>
          <w:p w:rsidRPr="00CE699F" w:rsidR="00DB1E08" w:rsidP="00CE699F" w:rsidRDefault="00DB1E08" w14:paraId="6C8C3DB3"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$ 1.773.906</w:t>
            </w:r>
          </w:p>
        </w:tc>
      </w:tr>
      <w:tr w:rsidRPr="00CE699F" w:rsidR="00DB1E08" w:rsidTr="0038515C" w14:paraId="1FB74831" w14:textId="77777777">
        <w:trPr>
          <w:trHeight w:val="470"/>
        </w:trPr>
        <w:tc>
          <w:tcPr>
            <w:tcW w:w="1125" w:type="pct"/>
            <w:vAlign w:val="center"/>
            <w:hideMark/>
          </w:tcPr>
          <w:p w:rsidRPr="00CE699F" w:rsidR="00DB1E08" w:rsidP="00CE699F" w:rsidRDefault="00DB1E08" w14:paraId="264C690B"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Gastos de Personal</w:t>
            </w:r>
          </w:p>
        </w:tc>
        <w:tc>
          <w:tcPr>
            <w:tcW w:w="860" w:type="pct"/>
            <w:vAlign w:val="center"/>
            <w:hideMark/>
          </w:tcPr>
          <w:p w:rsidRPr="00CE699F" w:rsidR="00DB1E08" w:rsidP="00CE699F" w:rsidRDefault="00DB1E08" w14:paraId="5C669CAB"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$ 199.672</w:t>
            </w:r>
          </w:p>
        </w:tc>
        <w:tc>
          <w:tcPr>
            <w:tcW w:w="1078" w:type="pct"/>
            <w:vAlign w:val="center"/>
            <w:hideMark/>
          </w:tcPr>
          <w:p w:rsidRPr="00CE699F" w:rsidR="00DB1E08" w:rsidP="00CE699F" w:rsidRDefault="00DB1E08" w14:paraId="67952582"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$ 9.649</w:t>
            </w:r>
          </w:p>
        </w:tc>
        <w:tc>
          <w:tcPr>
            <w:tcW w:w="1078" w:type="pct"/>
            <w:vAlign w:val="center"/>
            <w:hideMark/>
          </w:tcPr>
          <w:p w:rsidRPr="00CE699F" w:rsidR="00DB1E08" w:rsidP="00CE699F" w:rsidRDefault="00DB1E08" w14:paraId="5FCCE0D0"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$ 21.698</w:t>
            </w:r>
          </w:p>
        </w:tc>
        <w:tc>
          <w:tcPr>
            <w:tcW w:w="860" w:type="pct"/>
            <w:vAlign w:val="center"/>
            <w:hideMark/>
          </w:tcPr>
          <w:p w:rsidRPr="00CE699F" w:rsidR="00DB1E08" w:rsidP="00CE699F" w:rsidRDefault="00DB1E08" w14:paraId="51D97DAD"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$ 211.721</w:t>
            </w:r>
          </w:p>
        </w:tc>
      </w:tr>
      <w:tr w:rsidRPr="00CE699F" w:rsidR="00DB1E08" w:rsidTr="0038515C" w14:paraId="59672304" w14:textId="77777777">
        <w:trPr>
          <w:trHeight w:val="470"/>
        </w:trPr>
        <w:tc>
          <w:tcPr>
            <w:tcW w:w="1125" w:type="pct"/>
            <w:vAlign w:val="center"/>
            <w:hideMark/>
          </w:tcPr>
          <w:p w:rsidRPr="00CE699F" w:rsidR="00DB1E08" w:rsidP="00CE699F" w:rsidRDefault="00DB1E08" w14:paraId="55593A52"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Adquisición de bienes y servicios</w:t>
            </w:r>
          </w:p>
        </w:tc>
        <w:tc>
          <w:tcPr>
            <w:tcW w:w="860" w:type="pct"/>
            <w:vAlign w:val="center"/>
            <w:hideMark/>
          </w:tcPr>
          <w:p w:rsidRPr="00CE699F" w:rsidR="00DB1E08" w:rsidP="00CE699F" w:rsidRDefault="00DB1E08" w14:paraId="5B1F304F"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$ 66.461</w:t>
            </w:r>
          </w:p>
        </w:tc>
        <w:tc>
          <w:tcPr>
            <w:tcW w:w="1078" w:type="pct"/>
            <w:vAlign w:val="center"/>
            <w:hideMark/>
          </w:tcPr>
          <w:p w:rsidRPr="00CE699F" w:rsidR="00DB1E08" w:rsidP="00CE699F" w:rsidRDefault="00DB1E08" w14:paraId="568D1C57"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$ 43</w:t>
            </w:r>
          </w:p>
        </w:tc>
        <w:tc>
          <w:tcPr>
            <w:tcW w:w="1078" w:type="pct"/>
            <w:vAlign w:val="center"/>
            <w:hideMark/>
          </w:tcPr>
          <w:p w:rsidRPr="00CE699F" w:rsidR="00DB1E08" w:rsidP="00CE699F" w:rsidRDefault="00DB1E08" w14:paraId="7E85270B"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$ 7.793</w:t>
            </w:r>
          </w:p>
        </w:tc>
        <w:tc>
          <w:tcPr>
            <w:tcW w:w="860" w:type="pct"/>
            <w:vAlign w:val="center"/>
            <w:hideMark/>
          </w:tcPr>
          <w:p w:rsidRPr="00CE699F" w:rsidR="00DB1E08" w:rsidP="00CE699F" w:rsidRDefault="00DB1E08" w14:paraId="5537D159"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$ 74.210</w:t>
            </w:r>
          </w:p>
        </w:tc>
      </w:tr>
      <w:tr w:rsidRPr="00CE699F" w:rsidR="00DB1E08" w:rsidTr="0038515C" w14:paraId="66C72D97" w14:textId="77777777">
        <w:trPr>
          <w:trHeight w:val="470"/>
        </w:trPr>
        <w:tc>
          <w:tcPr>
            <w:tcW w:w="1125" w:type="pct"/>
            <w:vAlign w:val="center"/>
            <w:hideMark/>
          </w:tcPr>
          <w:p w:rsidRPr="00CE699F" w:rsidR="00DB1E08" w:rsidP="00CE699F" w:rsidRDefault="00DB1E08" w14:paraId="64B72891"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Transferencias corrientes</w:t>
            </w:r>
          </w:p>
        </w:tc>
        <w:tc>
          <w:tcPr>
            <w:tcW w:w="860" w:type="pct"/>
            <w:vAlign w:val="center"/>
            <w:hideMark/>
          </w:tcPr>
          <w:p w:rsidRPr="00CE699F" w:rsidR="00DB1E08" w:rsidP="00CE699F" w:rsidRDefault="00DB1E08" w14:paraId="619C33E4"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$ 1.413.422</w:t>
            </w:r>
          </w:p>
        </w:tc>
        <w:tc>
          <w:tcPr>
            <w:tcW w:w="1078" w:type="pct"/>
            <w:vAlign w:val="center"/>
            <w:hideMark/>
          </w:tcPr>
          <w:p w:rsidRPr="00CE699F" w:rsidR="00DB1E08" w:rsidP="00CE699F" w:rsidRDefault="00DB1E08" w14:paraId="407F9D47"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$ 5.278</w:t>
            </w:r>
          </w:p>
        </w:tc>
        <w:tc>
          <w:tcPr>
            <w:tcW w:w="1078" w:type="pct"/>
            <w:vAlign w:val="center"/>
            <w:hideMark/>
          </w:tcPr>
          <w:p w:rsidRPr="00CE699F" w:rsidR="00DB1E08" w:rsidP="00CE699F" w:rsidRDefault="00DB1E08" w14:paraId="7AC17266"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$ 876</w:t>
            </w:r>
          </w:p>
        </w:tc>
        <w:tc>
          <w:tcPr>
            <w:tcW w:w="860" w:type="pct"/>
            <w:vAlign w:val="center"/>
            <w:hideMark/>
          </w:tcPr>
          <w:p w:rsidRPr="00CE699F" w:rsidR="00DB1E08" w:rsidP="00CE699F" w:rsidRDefault="00DB1E08" w14:paraId="6A4EA970"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$ 1.409.020</w:t>
            </w:r>
          </w:p>
        </w:tc>
      </w:tr>
      <w:tr w:rsidRPr="00CE699F" w:rsidR="00DB1E08" w:rsidTr="0038515C" w14:paraId="5657DE23" w14:textId="77777777">
        <w:trPr>
          <w:trHeight w:val="700"/>
        </w:trPr>
        <w:tc>
          <w:tcPr>
            <w:tcW w:w="1125" w:type="pct"/>
            <w:vAlign w:val="center"/>
            <w:hideMark/>
          </w:tcPr>
          <w:p w:rsidRPr="00CE699F" w:rsidR="00DB1E08" w:rsidP="00CE699F" w:rsidRDefault="00DB1E08" w14:paraId="022CD605"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Gastos de Comercio y Producción</w:t>
            </w:r>
          </w:p>
        </w:tc>
        <w:tc>
          <w:tcPr>
            <w:tcW w:w="860" w:type="pct"/>
            <w:vAlign w:val="center"/>
            <w:hideMark/>
          </w:tcPr>
          <w:p w:rsidRPr="00CE699F" w:rsidR="00DB1E08" w:rsidP="00CE699F" w:rsidRDefault="00DB1E08" w14:paraId="0D1B4155"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$ 62.636</w:t>
            </w:r>
          </w:p>
        </w:tc>
        <w:tc>
          <w:tcPr>
            <w:tcW w:w="1078" w:type="pct"/>
            <w:vAlign w:val="center"/>
            <w:hideMark/>
          </w:tcPr>
          <w:p w:rsidRPr="00CE699F" w:rsidR="00DB1E08" w:rsidP="00CE699F" w:rsidRDefault="00DB1E08" w14:paraId="69A6003E"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$ 2.883</w:t>
            </w:r>
          </w:p>
        </w:tc>
        <w:tc>
          <w:tcPr>
            <w:tcW w:w="1078" w:type="pct"/>
            <w:vAlign w:val="center"/>
            <w:hideMark/>
          </w:tcPr>
          <w:p w:rsidRPr="00CE699F" w:rsidR="00DB1E08" w:rsidP="00CE699F" w:rsidRDefault="00DB1E08" w14:paraId="20643B5C"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$ 387</w:t>
            </w:r>
          </w:p>
        </w:tc>
        <w:tc>
          <w:tcPr>
            <w:tcW w:w="860" w:type="pct"/>
            <w:vAlign w:val="center"/>
            <w:hideMark/>
          </w:tcPr>
          <w:p w:rsidRPr="00CE699F" w:rsidR="00DB1E08" w:rsidP="00CE699F" w:rsidRDefault="00DB1E08" w14:paraId="4045F1BE"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$ 60.139</w:t>
            </w:r>
          </w:p>
        </w:tc>
      </w:tr>
      <w:tr w:rsidRPr="00CE699F" w:rsidR="00DB1E08" w:rsidTr="0038515C" w14:paraId="49859B2B" w14:textId="77777777">
        <w:trPr>
          <w:trHeight w:val="930"/>
        </w:trPr>
        <w:tc>
          <w:tcPr>
            <w:tcW w:w="1125" w:type="pct"/>
            <w:vAlign w:val="center"/>
            <w:hideMark/>
          </w:tcPr>
          <w:p w:rsidRPr="00CE699F" w:rsidR="00DB1E08" w:rsidP="00CE699F" w:rsidRDefault="00DB1E08" w14:paraId="03F1D5EF"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Gastos por tributos, multas sanciones e intereses</w:t>
            </w:r>
          </w:p>
        </w:tc>
        <w:tc>
          <w:tcPr>
            <w:tcW w:w="860" w:type="pct"/>
            <w:vAlign w:val="center"/>
            <w:hideMark/>
          </w:tcPr>
          <w:p w:rsidRPr="00CE699F" w:rsidR="00DB1E08" w:rsidP="00CE699F" w:rsidRDefault="00DB1E08" w14:paraId="6FA8F6E8"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$ 18.727</w:t>
            </w:r>
          </w:p>
        </w:tc>
        <w:tc>
          <w:tcPr>
            <w:tcW w:w="1078" w:type="pct"/>
            <w:vAlign w:val="center"/>
            <w:hideMark/>
          </w:tcPr>
          <w:p w:rsidRPr="00CE699F" w:rsidR="00DB1E08" w:rsidP="00CE699F" w:rsidRDefault="00DB1E08" w14:paraId="40150E41"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$ 30</w:t>
            </w:r>
          </w:p>
        </w:tc>
        <w:tc>
          <w:tcPr>
            <w:tcW w:w="1078" w:type="pct"/>
            <w:vAlign w:val="center"/>
            <w:hideMark/>
          </w:tcPr>
          <w:p w:rsidRPr="00CE699F" w:rsidR="00DB1E08" w:rsidP="00CE699F" w:rsidRDefault="00DB1E08" w14:paraId="02D0A3B7"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$ 119</w:t>
            </w:r>
          </w:p>
        </w:tc>
        <w:tc>
          <w:tcPr>
            <w:tcW w:w="860" w:type="pct"/>
            <w:vAlign w:val="center"/>
            <w:hideMark/>
          </w:tcPr>
          <w:p w:rsidRPr="00CE699F" w:rsidR="00DB1E08" w:rsidP="00CE699F" w:rsidRDefault="00DB1E08" w14:paraId="19255DA1"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$ 18.816</w:t>
            </w:r>
          </w:p>
        </w:tc>
      </w:tr>
      <w:tr w:rsidRPr="00CE699F" w:rsidR="00DB1E08" w:rsidTr="0038515C" w14:paraId="126B44F1" w14:textId="77777777">
        <w:trPr>
          <w:trHeight w:val="470"/>
        </w:trPr>
        <w:tc>
          <w:tcPr>
            <w:tcW w:w="1125" w:type="pct"/>
            <w:shd w:val="clear" w:color="000000" w:fill="BFBFBF"/>
            <w:vAlign w:val="center"/>
            <w:hideMark/>
          </w:tcPr>
          <w:p w:rsidRPr="00CE699F" w:rsidR="00DB1E08" w:rsidP="00CE699F" w:rsidRDefault="00DB1E08" w14:paraId="259E9B83"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Servicio a la Deuda</w:t>
            </w:r>
          </w:p>
        </w:tc>
        <w:tc>
          <w:tcPr>
            <w:tcW w:w="860" w:type="pct"/>
            <w:vAlign w:val="center"/>
            <w:hideMark/>
          </w:tcPr>
          <w:p w:rsidRPr="00CE699F" w:rsidR="00DB1E08" w:rsidP="00CE699F" w:rsidRDefault="00DB1E08" w14:paraId="50C0B0BA"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$ 24.833</w:t>
            </w:r>
          </w:p>
        </w:tc>
        <w:tc>
          <w:tcPr>
            <w:tcW w:w="1078" w:type="pct"/>
            <w:vAlign w:val="center"/>
            <w:hideMark/>
          </w:tcPr>
          <w:p w:rsidRPr="00CE699F" w:rsidR="00DB1E08" w:rsidP="00CE699F" w:rsidRDefault="00DB1E08" w14:paraId="0B48BBFF"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0</w:t>
            </w:r>
          </w:p>
        </w:tc>
        <w:tc>
          <w:tcPr>
            <w:tcW w:w="1078" w:type="pct"/>
            <w:vAlign w:val="center"/>
            <w:hideMark/>
          </w:tcPr>
          <w:p w:rsidRPr="00CE699F" w:rsidR="00DB1E08" w:rsidP="00CE699F" w:rsidRDefault="00DB1E08" w14:paraId="0060D2BF"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0</w:t>
            </w:r>
          </w:p>
        </w:tc>
        <w:tc>
          <w:tcPr>
            <w:tcW w:w="860" w:type="pct"/>
            <w:vAlign w:val="center"/>
            <w:hideMark/>
          </w:tcPr>
          <w:p w:rsidRPr="00CE699F" w:rsidR="00DB1E08" w:rsidP="00CE699F" w:rsidRDefault="00DB1E08" w14:paraId="1D81AA34"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$ 24.833</w:t>
            </w:r>
          </w:p>
        </w:tc>
      </w:tr>
      <w:tr w:rsidRPr="00CE699F" w:rsidR="00DB1E08" w:rsidTr="0038515C" w14:paraId="1612A8E3" w14:textId="77777777">
        <w:trPr>
          <w:trHeight w:val="470"/>
        </w:trPr>
        <w:tc>
          <w:tcPr>
            <w:tcW w:w="1125" w:type="pct"/>
            <w:vAlign w:val="center"/>
            <w:hideMark/>
          </w:tcPr>
          <w:p w:rsidRPr="00CE699F" w:rsidR="00DB1E08" w:rsidP="00CE699F" w:rsidRDefault="00DB1E08" w14:paraId="38408E52"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Otras Cuentas Por Pagar</w:t>
            </w:r>
          </w:p>
        </w:tc>
        <w:tc>
          <w:tcPr>
            <w:tcW w:w="860" w:type="pct"/>
            <w:vAlign w:val="center"/>
            <w:hideMark/>
          </w:tcPr>
          <w:p w:rsidRPr="00CE699F" w:rsidR="00DB1E08" w:rsidP="00CE699F" w:rsidRDefault="00DB1E08" w14:paraId="1FA09F2E"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$ 6.581</w:t>
            </w:r>
          </w:p>
        </w:tc>
        <w:tc>
          <w:tcPr>
            <w:tcW w:w="1078" w:type="pct"/>
            <w:vAlign w:val="center"/>
            <w:hideMark/>
          </w:tcPr>
          <w:p w:rsidRPr="00CE699F" w:rsidR="00DB1E08" w:rsidP="00CE699F" w:rsidRDefault="00DB1E08" w14:paraId="700774CF"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0</w:t>
            </w:r>
          </w:p>
        </w:tc>
        <w:tc>
          <w:tcPr>
            <w:tcW w:w="1078" w:type="pct"/>
            <w:vAlign w:val="center"/>
            <w:hideMark/>
          </w:tcPr>
          <w:p w:rsidRPr="00CE699F" w:rsidR="00DB1E08" w:rsidP="00CE699F" w:rsidRDefault="00DB1E08" w14:paraId="691925E1"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0</w:t>
            </w:r>
          </w:p>
        </w:tc>
        <w:tc>
          <w:tcPr>
            <w:tcW w:w="860" w:type="pct"/>
            <w:vAlign w:val="center"/>
            <w:hideMark/>
          </w:tcPr>
          <w:p w:rsidRPr="00CE699F" w:rsidR="00DB1E08" w:rsidP="00CE699F" w:rsidRDefault="00DB1E08" w14:paraId="04CF0C2C"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$ 6.581</w:t>
            </w:r>
          </w:p>
        </w:tc>
      </w:tr>
      <w:tr w:rsidRPr="00CE699F" w:rsidR="00DB1E08" w:rsidTr="0038515C" w14:paraId="268D85B5" w14:textId="77777777">
        <w:trPr>
          <w:trHeight w:val="470"/>
        </w:trPr>
        <w:tc>
          <w:tcPr>
            <w:tcW w:w="1125" w:type="pct"/>
            <w:vAlign w:val="center"/>
            <w:hideMark/>
          </w:tcPr>
          <w:p w:rsidRPr="00CE699F" w:rsidR="00DB1E08" w:rsidP="00CE699F" w:rsidRDefault="00DB1E08" w14:paraId="64E5C914"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Aportes al Fondo de Contingencias</w:t>
            </w:r>
          </w:p>
        </w:tc>
        <w:tc>
          <w:tcPr>
            <w:tcW w:w="860" w:type="pct"/>
            <w:vAlign w:val="center"/>
            <w:hideMark/>
          </w:tcPr>
          <w:p w:rsidRPr="00CE699F" w:rsidR="00DB1E08" w:rsidP="00CE699F" w:rsidRDefault="00DB1E08" w14:paraId="5E600271"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$ 18.252</w:t>
            </w:r>
          </w:p>
        </w:tc>
        <w:tc>
          <w:tcPr>
            <w:tcW w:w="1078" w:type="pct"/>
            <w:vAlign w:val="center"/>
            <w:hideMark/>
          </w:tcPr>
          <w:p w:rsidRPr="00CE699F" w:rsidR="00DB1E08" w:rsidP="00CE699F" w:rsidRDefault="00DB1E08" w14:paraId="244AA4C2"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0</w:t>
            </w:r>
          </w:p>
        </w:tc>
        <w:tc>
          <w:tcPr>
            <w:tcW w:w="1078" w:type="pct"/>
            <w:vAlign w:val="center"/>
            <w:hideMark/>
          </w:tcPr>
          <w:p w:rsidRPr="00CE699F" w:rsidR="00DB1E08" w:rsidP="00CE699F" w:rsidRDefault="00DB1E08" w14:paraId="5E9F7C0B"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0</w:t>
            </w:r>
          </w:p>
        </w:tc>
        <w:tc>
          <w:tcPr>
            <w:tcW w:w="860" w:type="pct"/>
            <w:vAlign w:val="center"/>
            <w:hideMark/>
          </w:tcPr>
          <w:p w:rsidRPr="00CE699F" w:rsidR="00DB1E08" w:rsidP="00CE699F" w:rsidRDefault="00DB1E08" w14:paraId="27669C79"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$ 18.252</w:t>
            </w:r>
          </w:p>
        </w:tc>
      </w:tr>
      <w:tr w:rsidRPr="00CE699F" w:rsidR="00DB1E08" w:rsidTr="0038515C" w14:paraId="0318A4E5" w14:textId="77777777">
        <w:trPr>
          <w:trHeight w:val="300"/>
        </w:trPr>
        <w:tc>
          <w:tcPr>
            <w:tcW w:w="1125" w:type="pct"/>
            <w:shd w:val="clear" w:color="000000" w:fill="BFBFBF"/>
            <w:vAlign w:val="center"/>
            <w:hideMark/>
          </w:tcPr>
          <w:p w:rsidRPr="00CE699F" w:rsidR="00DB1E08" w:rsidP="00CE699F" w:rsidRDefault="00DB1E08" w14:paraId="1E4F29A0"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Inversión</w:t>
            </w:r>
          </w:p>
        </w:tc>
        <w:tc>
          <w:tcPr>
            <w:tcW w:w="860" w:type="pct"/>
            <w:vAlign w:val="center"/>
            <w:hideMark/>
          </w:tcPr>
          <w:p w:rsidRPr="00CE699F" w:rsidR="00DB1E08" w:rsidP="00CE699F" w:rsidRDefault="00DB1E08" w14:paraId="5DFCB3CB"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$ 5.844.586</w:t>
            </w:r>
          </w:p>
        </w:tc>
        <w:tc>
          <w:tcPr>
            <w:tcW w:w="1078" w:type="pct"/>
            <w:vAlign w:val="center"/>
            <w:hideMark/>
          </w:tcPr>
          <w:p w:rsidRPr="00CE699F" w:rsidR="00DB1E08" w:rsidP="00CE699F" w:rsidRDefault="00DB1E08" w14:paraId="428A5653"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$ 199.829</w:t>
            </w:r>
          </w:p>
        </w:tc>
        <w:tc>
          <w:tcPr>
            <w:tcW w:w="1078" w:type="pct"/>
            <w:vAlign w:val="center"/>
            <w:hideMark/>
          </w:tcPr>
          <w:p w:rsidRPr="00CE699F" w:rsidR="00DB1E08" w:rsidP="00CE699F" w:rsidRDefault="00DB1E08" w14:paraId="501E975A"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$ 1.642.522</w:t>
            </w:r>
          </w:p>
        </w:tc>
        <w:tc>
          <w:tcPr>
            <w:tcW w:w="860" w:type="pct"/>
            <w:vAlign w:val="center"/>
            <w:hideMark/>
          </w:tcPr>
          <w:p w:rsidRPr="00CE699F" w:rsidR="00DB1E08" w:rsidP="00CE699F" w:rsidRDefault="00DB1E08" w14:paraId="40A1326F"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$ 7.287.278</w:t>
            </w:r>
          </w:p>
        </w:tc>
      </w:tr>
      <w:tr w:rsidRPr="00CE699F" w:rsidR="00DB1E08" w:rsidTr="0038515C" w14:paraId="70BFA1E6" w14:textId="77777777">
        <w:trPr>
          <w:trHeight w:val="300"/>
        </w:trPr>
        <w:tc>
          <w:tcPr>
            <w:tcW w:w="1125" w:type="pct"/>
            <w:shd w:val="clear" w:color="000000" w:fill="BFBFBF"/>
            <w:vAlign w:val="center"/>
            <w:hideMark/>
          </w:tcPr>
          <w:p w:rsidRPr="00CE699F" w:rsidR="00DB1E08" w:rsidP="00CE699F" w:rsidRDefault="00DB1E08" w14:paraId="637A8D20"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Total, Sector</w:t>
            </w:r>
          </w:p>
        </w:tc>
        <w:tc>
          <w:tcPr>
            <w:tcW w:w="860" w:type="pct"/>
            <w:shd w:val="clear" w:color="000000" w:fill="BFBFBF"/>
            <w:vAlign w:val="center"/>
            <w:hideMark/>
          </w:tcPr>
          <w:p w:rsidRPr="00CE699F" w:rsidR="00DB1E08" w:rsidP="00CE699F" w:rsidRDefault="00DB1E08" w14:paraId="6F84FDB5"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$ 7.630.336</w:t>
            </w:r>
          </w:p>
        </w:tc>
        <w:tc>
          <w:tcPr>
            <w:tcW w:w="1078" w:type="pct"/>
            <w:shd w:val="clear" w:color="000000" w:fill="BFBFBF"/>
            <w:vAlign w:val="center"/>
            <w:hideMark/>
          </w:tcPr>
          <w:p w:rsidRPr="00CE699F" w:rsidR="00DB1E08" w:rsidP="00CE699F" w:rsidRDefault="00DB1E08" w14:paraId="5C060DFA"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$ 217.713</w:t>
            </w:r>
          </w:p>
        </w:tc>
        <w:tc>
          <w:tcPr>
            <w:tcW w:w="1078" w:type="pct"/>
            <w:shd w:val="clear" w:color="000000" w:fill="BFBFBF"/>
            <w:vAlign w:val="center"/>
            <w:hideMark/>
          </w:tcPr>
          <w:p w:rsidRPr="00CE699F" w:rsidR="00DB1E08" w:rsidP="00CE699F" w:rsidRDefault="00DB1E08" w14:paraId="6F530829"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$ 1.673.395</w:t>
            </w:r>
          </w:p>
        </w:tc>
        <w:tc>
          <w:tcPr>
            <w:tcW w:w="860" w:type="pct"/>
            <w:shd w:val="clear" w:color="000000" w:fill="BFBFBF"/>
            <w:vAlign w:val="center"/>
            <w:hideMark/>
          </w:tcPr>
          <w:p w:rsidRPr="00CE699F" w:rsidR="00DB1E08" w:rsidP="00CE699F" w:rsidRDefault="00DB1E08" w14:paraId="5F6CECA7"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$ 9.086.017</w:t>
            </w:r>
          </w:p>
        </w:tc>
      </w:tr>
    </w:tbl>
    <w:p w:rsidR="00DB1E08" w:rsidP="0038515C" w:rsidRDefault="00DB1E08" w14:paraId="02B2EF97" w14:textId="5A1BBC81">
      <w:pPr>
        <w:pStyle w:val="Fuente"/>
        <w:spacing w:after="0"/>
        <w:ind w:left="720"/>
        <w:rPr>
          <w:rFonts w:ascii="Verdana" w:hAnsi="Verdana"/>
        </w:rPr>
      </w:pPr>
      <w:r w:rsidRPr="30CF4445" w:rsidR="6B5B0B4F">
        <w:rPr>
          <w:rFonts w:ascii="Verdana" w:hAnsi="Verdana"/>
        </w:rPr>
        <w:t>Fuente: Elaboración propia del Grupo de Programación y Gestión Estratégica de</w:t>
      </w:r>
      <w:r w:rsidRPr="30CF4445" w:rsidR="23697EFE">
        <w:rPr>
          <w:rFonts w:ascii="Verdana" w:hAnsi="Verdana"/>
        </w:rPr>
        <w:t xml:space="preserve"> </w:t>
      </w:r>
      <w:r w:rsidRPr="30CF4445" w:rsidR="6B5B0B4F">
        <w:rPr>
          <w:rFonts w:ascii="Verdana" w:hAnsi="Verdana"/>
        </w:rPr>
        <w:t>Proyectos con información del SIIF Nación del MinHacienda-Corte a 31 de diciembre 2023</w:t>
      </w:r>
    </w:p>
    <w:p w:rsidRPr="0038515C" w:rsidR="0038515C" w:rsidP="0038515C" w:rsidRDefault="0038515C" w14:paraId="259E3139" w14:textId="77777777">
      <w:pPr>
        <w:pStyle w:val="Fuente"/>
        <w:spacing w:after="0" w:line="360" w:lineRule="auto"/>
        <w:ind w:left="720"/>
        <w:rPr>
          <w:rFonts w:ascii="Verdana" w:hAnsi="Verdana"/>
        </w:rPr>
      </w:pPr>
    </w:p>
    <w:p w:rsidRPr="00CE699F" w:rsidR="0061080D" w:rsidP="00CE699F" w:rsidRDefault="00CE699F" w14:paraId="40D3287B" w14:textId="77777777">
      <w:pPr>
        <w:pStyle w:val="Descripcin"/>
        <w:spacing w:after="0"/>
        <w:ind w:left="720"/>
        <w:jc w:val="center"/>
        <w:rPr>
          <w:rFonts w:ascii="Verdana" w:hAnsi="Verdana"/>
          <w:i w:val="0"/>
          <w:iCs w:val="0"/>
          <w:color w:val="auto"/>
        </w:rPr>
      </w:pPr>
      <w:r w:rsidRPr="00CE699F">
        <w:rPr>
          <w:rFonts w:ascii="Verdana" w:hAnsi="Verdana"/>
          <w:i w:val="0"/>
          <w:iCs w:val="0"/>
          <w:color w:val="auto"/>
        </w:rPr>
        <w:t>T</w:t>
      </w:r>
      <w:r w:rsidRPr="00CE699F" w:rsidR="00DB1E08">
        <w:rPr>
          <w:rFonts w:ascii="Verdana" w:hAnsi="Verdana"/>
          <w:i w:val="0"/>
          <w:iCs w:val="0"/>
          <w:color w:val="auto"/>
        </w:rPr>
        <w:t>abla</w:t>
      </w:r>
      <w:r w:rsidR="0038515C">
        <w:rPr>
          <w:rFonts w:ascii="Verdana" w:hAnsi="Verdana"/>
          <w:i w:val="0"/>
          <w:iCs w:val="0"/>
          <w:color w:val="auto"/>
        </w:rPr>
        <w:t xml:space="preserve"> No. 30</w:t>
      </w:r>
      <w:r w:rsidRPr="00CE699F">
        <w:rPr>
          <w:rFonts w:ascii="Verdana" w:hAnsi="Verdana"/>
          <w:i w:val="0"/>
          <w:iCs w:val="0"/>
          <w:color w:val="auto"/>
        </w:rPr>
        <w:t>. Presupuesto Asignado Vigencia 2024</w:t>
      </w: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1987"/>
        <w:gridCol w:w="1518"/>
        <w:gridCol w:w="1903"/>
        <w:gridCol w:w="1903"/>
        <w:gridCol w:w="1517"/>
      </w:tblGrid>
      <w:tr w:rsidRPr="00CE699F" w:rsidR="00DB1E08" w:rsidTr="0038515C" w14:paraId="0F9058C9" w14:textId="77777777">
        <w:trPr>
          <w:trHeight w:val="450"/>
        </w:trPr>
        <w:tc>
          <w:tcPr>
            <w:tcW w:w="1125" w:type="pct"/>
            <w:vMerge w:val="restart"/>
            <w:shd w:val="clear" w:color="auto" w:fill="A6A6A6" w:themeFill="background1" w:themeFillShade="A6"/>
            <w:vAlign w:val="center"/>
            <w:hideMark/>
          </w:tcPr>
          <w:p w:rsidRPr="00CE699F" w:rsidR="00DB1E08" w:rsidP="00CE699F" w:rsidRDefault="00DB1E08" w14:paraId="7FC4E02E"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Concepto</w:t>
            </w:r>
          </w:p>
        </w:tc>
        <w:tc>
          <w:tcPr>
            <w:tcW w:w="860" w:type="pct"/>
            <w:vMerge w:val="restart"/>
            <w:shd w:val="clear" w:color="auto" w:fill="A6A6A6" w:themeFill="background1" w:themeFillShade="A6"/>
            <w:vAlign w:val="center"/>
            <w:hideMark/>
          </w:tcPr>
          <w:p w:rsidRPr="00CE699F" w:rsidR="00DB1E08" w:rsidP="00CE699F" w:rsidRDefault="00DB1E08" w14:paraId="3ED93B53"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Apropiación Inicial 2024</w:t>
            </w:r>
          </w:p>
        </w:tc>
        <w:tc>
          <w:tcPr>
            <w:tcW w:w="1078" w:type="pct"/>
            <w:vMerge w:val="restart"/>
            <w:shd w:val="clear" w:color="auto" w:fill="A6A6A6" w:themeFill="background1" w:themeFillShade="A6"/>
            <w:vAlign w:val="center"/>
            <w:hideMark/>
          </w:tcPr>
          <w:p w:rsidRPr="00CE699F" w:rsidR="00DB1E08" w:rsidP="00CE699F" w:rsidRDefault="00DB1E08" w14:paraId="2EC5A74F"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Traslados Presupuestales por Reducción</w:t>
            </w:r>
          </w:p>
        </w:tc>
        <w:tc>
          <w:tcPr>
            <w:tcW w:w="1078" w:type="pct"/>
            <w:vMerge w:val="restart"/>
            <w:shd w:val="clear" w:color="auto" w:fill="A6A6A6" w:themeFill="background1" w:themeFillShade="A6"/>
            <w:vAlign w:val="center"/>
            <w:hideMark/>
          </w:tcPr>
          <w:p w:rsidRPr="00CE699F" w:rsidR="00DB1E08" w:rsidP="00CE699F" w:rsidRDefault="00DB1E08" w14:paraId="6FB05877"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Traslados Presupuestales por Adición</w:t>
            </w:r>
          </w:p>
        </w:tc>
        <w:tc>
          <w:tcPr>
            <w:tcW w:w="859" w:type="pct"/>
            <w:shd w:val="clear" w:color="auto" w:fill="A6A6A6" w:themeFill="background1" w:themeFillShade="A6"/>
            <w:vAlign w:val="center"/>
            <w:hideMark/>
          </w:tcPr>
          <w:p w:rsidRPr="00CE699F" w:rsidR="00DB1E08" w:rsidP="00CE699F" w:rsidRDefault="00DB1E08" w14:paraId="5B3EB41B"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Apropiación</w:t>
            </w:r>
          </w:p>
        </w:tc>
      </w:tr>
      <w:tr w:rsidRPr="00CE699F" w:rsidR="00DB1E08" w:rsidTr="0038515C" w14:paraId="16619888" w14:textId="77777777">
        <w:trPr>
          <w:trHeight w:val="470"/>
        </w:trPr>
        <w:tc>
          <w:tcPr>
            <w:tcW w:w="1125" w:type="pct"/>
            <w:vMerge/>
            <w:shd w:val="clear" w:color="auto" w:fill="A6A6A6" w:themeFill="background1" w:themeFillShade="A6"/>
            <w:vAlign w:val="center"/>
            <w:hideMark/>
          </w:tcPr>
          <w:p w:rsidRPr="00CE699F" w:rsidR="00DB1E08" w:rsidP="00CE699F" w:rsidRDefault="00DB1E08" w14:paraId="2FAADCDB" w14:textId="77777777">
            <w:pPr>
              <w:spacing w:after="0" w:line="240" w:lineRule="auto"/>
              <w:jc w:val="center"/>
              <w:rPr>
                <w:rFonts w:ascii="Verdana" w:hAnsi="Verdana" w:eastAsia="Times New Roman" w:cs="Times New Roman"/>
                <w:b/>
                <w:bCs/>
                <w:color w:val="000000"/>
                <w:sz w:val="18"/>
                <w:szCs w:val="18"/>
                <w:lang w:eastAsia="es-CO"/>
              </w:rPr>
            </w:pPr>
          </w:p>
        </w:tc>
        <w:tc>
          <w:tcPr>
            <w:tcW w:w="860" w:type="pct"/>
            <w:vMerge/>
            <w:shd w:val="clear" w:color="auto" w:fill="A6A6A6" w:themeFill="background1" w:themeFillShade="A6"/>
            <w:vAlign w:val="center"/>
            <w:hideMark/>
          </w:tcPr>
          <w:p w:rsidRPr="00CE699F" w:rsidR="00DB1E08" w:rsidP="00CE699F" w:rsidRDefault="00DB1E08" w14:paraId="48E77C20" w14:textId="77777777">
            <w:pPr>
              <w:spacing w:after="0" w:line="240" w:lineRule="auto"/>
              <w:jc w:val="center"/>
              <w:rPr>
                <w:rFonts w:ascii="Verdana" w:hAnsi="Verdana" w:eastAsia="Times New Roman" w:cs="Times New Roman"/>
                <w:b/>
                <w:bCs/>
                <w:color w:val="000000"/>
                <w:sz w:val="18"/>
                <w:szCs w:val="18"/>
                <w:lang w:eastAsia="es-CO"/>
              </w:rPr>
            </w:pPr>
          </w:p>
        </w:tc>
        <w:tc>
          <w:tcPr>
            <w:tcW w:w="1078" w:type="pct"/>
            <w:vMerge/>
            <w:shd w:val="clear" w:color="auto" w:fill="A6A6A6" w:themeFill="background1" w:themeFillShade="A6"/>
            <w:vAlign w:val="center"/>
            <w:hideMark/>
          </w:tcPr>
          <w:p w:rsidRPr="00CE699F" w:rsidR="00DB1E08" w:rsidP="00CE699F" w:rsidRDefault="00DB1E08" w14:paraId="7391A4CC" w14:textId="77777777">
            <w:pPr>
              <w:spacing w:after="0" w:line="240" w:lineRule="auto"/>
              <w:jc w:val="center"/>
              <w:rPr>
                <w:rFonts w:ascii="Verdana" w:hAnsi="Verdana" w:eastAsia="Times New Roman" w:cs="Times New Roman"/>
                <w:b/>
                <w:bCs/>
                <w:color w:val="000000"/>
                <w:sz w:val="18"/>
                <w:szCs w:val="18"/>
                <w:lang w:eastAsia="es-CO"/>
              </w:rPr>
            </w:pPr>
          </w:p>
        </w:tc>
        <w:tc>
          <w:tcPr>
            <w:tcW w:w="1078" w:type="pct"/>
            <w:vMerge/>
            <w:shd w:val="clear" w:color="auto" w:fill="A6A6A6" w:themeFill="background1" w:themeFillShade="A6"/>
            <w:vAlign w:val="center"/>
            <w:hideMark/>
          </w:tcPr>
          <w:p w:rsidRPr="00CE699F" w:rsidR="00DB1E08" w:rsidP="00CE699F" w:rsidRDefault="00DB1E08" w14:paraId="356C29C2" w14:textId="77777777">
            <w:pPr>
              <w:spacing w:after="0" w:line="240" w:lineRule="auto"/>
              <w:jc w:val="center"/>
              <w:rPr>
                <w:rFonts w:ascii="Verdana" w:hAnsi="Verdana" w:eastAsia="Times New Roman" w:cs="Times New Roman"/>
                <w:b/>
                <w:bCs/>
                <w:color w:val="000000"/>
                <w:sz w:val="18"/>
                <w:szCs w:val="18"/>
                <w:lang w:eastAsia="es-CO"/>
              </w:rPr>
            </w:pPr>
          </w:p>
        </w:tc>
        <w:tc>
          <w:tcPr>
            <w:tcW w:w="859" w:type="pct"/>
            <w:shd w:val="clear" w:color="auto" w:fill="A6A6A6" w:themeFill="background1" w:themeFillShade="A6"/>
            <w:vAlign w:val="center"/>
            <w:hideMark/>
          </w:tcPr>
          <w:p w:rsidRPr="00CE699F" w:rsidR="00DB1E08" w:rsidP="00CE699F" w:rsidRDefault="00DB1E08" w14:paraId="118AD6DD"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Vigente 2024</w:t>
            </w:r>
          </w:p>
        </w:tc>
      </w:tr>
      <w:tr w:rsidRPr="00CE699F" w:rsidR="00DB1E08" w:rsidTr="0038515C" w14:paraId="74F3545B" w14:textId="77777777">
        <w:trPr>
          <w:trHeight w:val="300"/>
        </w:trPr>
        <w:tc>
          <w:tcPr>
            <w:tcW w:w="1125" w:type="pct"/>
            <w:shd w:val="clear" w:color="000000" w:fill="BFBFBF"/>
            <w:vAlign w:val="center"/>
            <w:hideMark/>
          </w:tcPr>
          <w:p w:rsidRPr="00CE699F" w:rsidR="00DB1E08" w:rsidP="00CE699F" w:rsidRDefault="00DB1E08" w14:paraId="39254E62"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Funcionamiento</w:t>
            </w:r>
          </w:p>
        </w:tc>
        <w:tc>
          <w:tcPr>
            <w:tcW w:w="860" w:type="pct"/>
            <w:vAlign w:val="center"/>
            <w:hideMark/>
          </w:tcPr>
          <w:p w:rsidRPr="00CE699F" w:rsidR="00DB1E08" w:rsidP="00CE699F" w:rsidRDefault="00DB1E08" w14:paraId="673CC92F"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$ 4.511.497</w:t>
            </w:r>
          </w:p>
        </w:tc>
        <w:tc>
          <w:tcPr>
            <w:tcW w:w="1078" w:type="pct"/>
            <w:vAlign w:val="center"/>
            <w:hideMark/>
          </w:tcPr>
          <w:p w:rsidRPr="00CE699F" w:rsidR="00DB1E08" w:rsidP="00CE699F" w:rsidRDefault="00DB1E08" w14:paraId="21FF0A22"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$ 40.248</w:t>
            </w:r>
          </w:p>
        </w:tc>
        <w:tc>
          <w:tcPr>
            <w:tcW w:w="1078" w:type="pct"/>
            <w:vAlign w:val="center"/>
            <w:hideMark/>
          </w:tcPr>
          <w:p w:rsidRPr="00CE699F" w:rsidR="00DB1E08" w:rsidP="00CE699F" w:rsidRDefault="00DB1E08" w14:paraId="50349012"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$ 25.560</w:t>
            </w:r>
          </w:p>
        </w:tc>
        <w:tc>
          <w:tcPr>
            <w:tcW w:w="859" w:type="pct"/>
            <w:vAlign w:val="center"/>
            <w:hideMark/>
          </w:tcPr>
          <w:p w:rsidRPr="00CE699F" w:rsidR="00DB1E08" w:rsidP="00CE699F" w:rsidRDefault="00DB1E08" w14:paraId="0B87D497"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$ 4.496.809</w:t>
            </w:r>
          </w:p>
        </w:tc>
      </w:tr>
      <w:tr w:rsidRPr="00CE699F" w:rsidR="00DB1E08" w:rsidTr="0038515C" w14:paraId="7AD9C7BA" w14:textId="77777777">
        <w:trPr>
          <w:trHeight w:val="470"/>
        </w:trPr>
        <w:tc>
          <w:tcPr>
            <w:tcW w:w="1125" w:type="pct"/>
            <w:vAlign w:val="center"/>
            <w:hideMark/>
          </w:tcPr>
          <w:p w:rsidRPr="00CE699F" w:rsidR="00DB1E08" w:rsidP="00CE699F" w:rsidRDefault="00DB1E08" w14:paraId="35F82D68"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Gastos de Personal</w:t>
            </w:r>
          </w:p>
        </w:tc>
        <w:tc>
          <w:tcPr>
            <w:tcW w:w="860" w:type="pct"/>
            <w:vAlign w:val="center"/>
            <w:hideMark/>
          </w:tcPr>
          <w:p w:rsidRPr="00CE699F" w:rsidR="00DB1E08" w:rsidP="00CE699F" w:rsidRDefault="00DB1E08" w14:paraId="0CF2BC7C"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$ 232.849</w:t>
            </w:r>
          </w:p>
        </w:tc>
        <w:tc>
          <w:tcPr>
            <w:tcW w:w="1078" w:type="pct"/>
            <w:vAlign w:val="center"/>
            <w:hideMark/>
          </w:tcPr>
          <w:p w:rsidRPr="00CE699F" w:rsidR="00DB1E08" w:rsidP="00CE699F" w:rsidRDefault="00DB1E08" w14:paraId="5735A262"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$ 4.933</w:t>
            </w:r>
          </w:p>
        </w:tc>
        <w:tc>
          <w:tcPr>
            <w:tcW w:w="1078" w:type="pct"/>
            <w:vAlign w:val="center"/>
            <w:hideMark/>
          </w:tcPr>
          <w:p w:rsidRPr="00CE699F" w:rsidR="00DB1E08" w:rsidP="00CE699F" w:rsidRDefault="00DB1E08" w14:paraId="3FA3726D"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$ 11.854</w:t>
            </w:r>
          </w:p>
        </w:tc>
        <w:tc>
          <w:tcPr>
            <w:tcW w:w="859" w:type="pct"/>
            <w:vAlign w:val="center"/>
            <w:hideMark/>
          </w:tcPr>
          <w:p w:rsidRPr="00CE699F" w:rsidR="00DB1E08" w:rsidP="00CE699F" w:rsidRDefault="00DB1E08" w14:paraId="7C699DDB"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$ 239.769</w:t>
            </w:r>
          </w:p>
        </w:tc>
      </w:tr>
      <w:tr w:rsidRPr="00CE699F" w:rsidR="00DB1E08" w:rsidTr="0038515C" w14:paraId="6897487B" w14:textId="77777777">
        <w:trPr>
          <w:trHeight w:val="470"/>
        </w:trPr>
        <w:tc>
          <w:tcPr>
            <w:tcW w:w="1125" w:type="pct"/>
            <w:vAlign w:val="center"/>
            <w:hideMark/>
          </w:tcPr>
          <w:p w:rsidRPr="00CE699F" w:rsidR="00DB1E08" w:rsidP="00CE699F" w:rsidRDefault="00DB1E08" w14:paraId="0FD01D70"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Adquisición de bienes y servicios</w:t>
            </w:r>
          </w:p>
        </w:tc>
        <w:tc>
          <w:tcPr>
            <w:tcW w:w="860" w:type="pct"/>
            <w:vAlign w:val="center"/>
            <w:hideMark/>
          </w:tcPr>
          <w:p w:rsidRPr="00CE699F" w:rsidR="00DB1E08" w:rsidP="00CE699F" w:rsidRDefault="00DB1E08" w14:paraId="3E0616B2"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$ 89.918</w:t>
            </w:r>
          </w:p>
        </w:tc>
        <w:tc>
          <w:tcPr>
            <w:tcW w:w="1078" w:type="pct"/>
            <w:vAlign w:val="center"/>
            <w:hideMark/>
          </w:tcPr>
          <w:p w:rsidRPr="00CE699F" w:rsidR="00DB1E08" w:rsidP="00CE699F" w:rsidRDefault="00DB1E08" w14:paraId="0AA18FAC"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$ 3.301</w:t>
            </w:r>
          </w:p>
        </w:tc>
        <w:tc>
          <w:tcPr>
            <w:tcW w:w="1078" w:type="pct"/>
            <w:vAlign w:val="center"/>
            <w:hideMark/>
          </w:tcPr>
          <w:p w:rsidRPr="00CE699F" w:rsidR="00DB1E08" w:rsidP="00CE699F" w:rsidRDefault="00DB1E08" w14:paraId="73116743"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$ 2.165</w:t>
            </w:r>
          </w:p>
        </w:tc>
        <w:tc>
          <w:tcPr>
            <w:tcW w:w="859" w:type="pct"/>
            <w:vAlign w:val="center"/>
            <w:hideMark/>
          </w:tcPr>
          <w:p w:rsidRPr="00CE699F" w:rsidR="00DB1E08" w:rsidP="00CE699F" w:rsidRDefault="00DB1E08" w14:paraId="7DB374DD"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$ 88.781</w:t>
            </w:r>
          </w:p>
        </w:tc>
      </w:tr>
      <w:tr w:rsidRPr="00CE699F" w:rsidR="00DB1E08" w:rsidTr="0038515C" w14:paraId="2E7165B8" w14:textId="77777777">
        <w:trPr>
          <w:trHeight w:val="470"/>
        </w:trPr>
        <w:tc>
          <w:tcPr>
            <w:tcW w:w="1125" w:type="pct"/>
            <w:vAlign w:val="center"/>
            <w:hideMark/>
          </w:tcPr>
          <w:p w:rsidRPr="00CE699F" w:rsidR="00DB1E08" w:rsidP="00CE699F" w:rsidRDefault="00DB1E08" w14:paraId="0EC47CD0"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Transferencias corrientes</w:t>
            </w:r>
          </w:p>
        </w:tc>
        <w:tc>
          <w:tcPr>
            <w:tcW w:w="860" w:type="pct"/>
            <w:vAlign w:val="center"/>
            <w:hideMark/>
          </w:tcPr>
          <w:p w:rsidRPr="00CE699F" w:rsidR="00DB1E08" w:rsidP="00CE699F" w:rsidRDefault="00DB1E08" w14:paraId="22F50125"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$ 4.094.215</w:t>
            </w:r>
          </w:p>
        </w:tc>
        <w:tc>
          <w:tcPr>
            <w:tcW w:w="1078" w:type="pct"/>
            <w:vAlign w:val="center"/>
            <w:hideMark/>
          </w:tcPr>
          <w:p w:rsidRPr="00CE699F" w:rsidR="00DB1E08" w:rsidP="00CE699F" w:rsidRDefault="00DB1E08" w14:paraId="2C39AA28"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$ 28.237</w:t>
            </w:r>
          </w:p>
        </w:tc>
        <w:tc>
          <w:tcPr>
            <w:tcW w:w="1078" w:type="pct"/>
            <w:vAlign w:val="center"/>
            <w:hideMark/>
          </w:tcPr>
          <w:p w:rsidRPr="00CE699F" w:rsidR="00DB1E08" w:rsidP="00CE699F" w:rsidRDefault="00DB1E08" w14:paraId="3B417F79"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$ 8.619</w:t>
            </w:r>
          </w:p>
        </w:tc>
        <w:tc>
          <w:tcPr>
            <w:tcW w:w="859" w:type="pct"/>
            <w:vAlign w:val="center"/>
            <w:hideMark/>
          </w:tcPr>
          <w:p w:rsidRPr="00CE699F" w:rsidR="00DB1E08" w:rsidP="00CE699F" w:rsidRDefault="00DB1E08" w14:paraId="5AC40E9C"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$ 4.074.598</w:t>
            </w:r>
          </w:p>
        </w:tc>
      </w:tr>
      <w:tr w:rsidRPr="00CE699F" w:rsidR="00DB1E08" w:rsidTr="0038515C" w14:paraId="7C942AA3" w14:textId="77777777">
        <w:trPr>
          <w:trHeight w:val="700"/>
        </w:trPr>
        <w:tc>
          <w:tcPr>
            <w:tcW w:w="1125" w:type="pct"/>
            <w:vAlign w:val="center"/>
            <w:hideMark/>
          </w:tcPr>
          <w:p w:rsidRPr="00CE699F" w:rsidR="00DB1E08" w:rsidP="00CE699F" w:rsidRDefault="00DB1E08" w14:paraId="4F57FEA9"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Gastos de Comercio y Producción</w:t>
            </w:r>
          </w:p>
        </w:tc>
        <w:tc>
          <w:tcPr>
            <w:tcW w:w="860" w:type="pct"/>
            <w:vAlign w:val="center"/>
            <w:hideMark/>
          </w:tcPr>
          <w:p w:rsidRPr="00CE699F" w:rsidR="00DB1E08" w:rsidP="00CE699F" w:rsidRDefault="00DB1E08" w14:paraId="7DD189C9"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$ 70.499</w:t>
            </w:r>
          </w:p>
        </w:tc>
        <w:tc>
          <w:tcPr>
            <w:tcW w:w="1078" w:type="pct"/>
            <w:vAlign w:val="center"/>
            <w:hideMark/>
          </w:tcPr>
          <w:p w:rsidRPr="00CE699F" w:rsidR="00DB1E08" w:rsidP="00CE699F" w:rsidRDefault="00DB1E08" w14:paraId="6A9FCF8A"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$ 2.480</w:t>
            </w:r>
          </w:p>
        </w:tc>
        <w:tc>
          <w:tcPr>
            <w:tcW w:w="1078" w:type="pct"/>
            <w:vAlign w:val="center"/>
            <w:hideMark/>
          </w:tcPr>
          <w:p w:rsidRPr="00CE699F" w:rsidR="00DB1E08" w:rsidP="00CE699F" w:rsidRDefault="00DB1E08" w14:paraId="0FE9D427"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0</w:t>
            </w:r>
          </w:p>
        </w:tc>
        <w:tc>
          <w:tcPr>
            <w:tcW w:w="859" w:type="pct"/>
            <w:vAlign w:val="center"/>
            <w:hideMark/>
          </w:tcPr>
          <w:p w:rsidRPr="00CE699F" w:rsidR="00DB1E08" w:rsidP="00CE699F" w:rsidRDefault="00DB1E08" w14:paraId="187C88AE"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$ 68.019</w:t>
            </w:r>
          </w:p>
        </w:tc>
      </w:tr>
      <w:tr w:rsidRPr="00CE699F" w:rsidR="00DB1E08" w:rsidTr="0038515C" w14:paraId="474A0F18" w14:textId="77777777">
        <w:trPr>
          <w:trHeight w:val="930"/>
        </w:trPr>
        <w:tc>
          <w:tcPr>
            <w:tcW w:w="1125" w:type="pct"/>
            <w:vAlign w:val="center"/>
            <w:hideMark/>
          </w:tcPr>
          <w:p w:rsidRPr="00CE699F" w:rsidR="00DB1E08" w:rsidP="00CE699F" w:rsidRDefault="00DB1E08" w14:paraId="5B34AE97"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Gastos por tributos, multas sanciones e intereses</w:t>
            </w:r>
          </w:p>
        </w:tc>
        <w:tc>
          <w:tcPr>
            <w:tcW w:w="860" w:type="pct"/>
            <w:vAlign w:val="center"/>
            <w:hideMark/>
          </w:tcPr>
          <w:p w:rsidRPr="00CE699F" w:rsidR="00DB1E08" w:rsidP="00CE699F" w:rsidRDefault="00DB1E08" w14:paraId="0F1ACEF8"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$ 24.016</w:t>
            </w:r>
          </w:p>
        </w:tc>
        <w:tc>
          <w:tcPr>
            <w:tcW w:w="1078" w:type="pct"/>
            <w:vAlign w:val="center"/>
            <w:hideMark/>
          </w:tcPr>
          <w:p w:rsidRPr="00CE699F" w:rsidR="00DB1E08" w:rsidP="00CE699F" w:rsidRDefault="00DB1E08" w14:paraId="1282BA17"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$ 1.297</w:t>
            </w:r>
          </w:p>
        </w:tc>
        <w:tc>
          <w:tcPr>
            <w:tcW w:w="1078" w:type="pct"/>
            <w:vAlign w:val="center"/>
            <w:hideMark/>
          </w:tcPr>
          <w:p w:rsidRPr="00CE699F" w:rsidR="00DB1E08" w:rsidP="00CE699F" w:rsidRDefault="00DB1E08" w14:paraId="3C29CE76"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$ 2.923</w:t>
            </w:r>
          </w:p>
        </w:tc>
        <w:tc>
          <w:tcPr>
            <w:tcW w:w="859" w:type="pct"/>
            <w:vAlign w:val="center"/>
            <w:hideMark/>
          </w:tcPr>
          <w:p w:rsidRPr="00CE699F" w:rsidR="00DB1E08" w:rsidP="00CE699F" w:rsidRDefault="00DB1E08" w14:paraId="2AE250FF"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$ 25.642</w:t>
            </w:r>
          </w:p>
        </w:tc>
      </w:tr>
      <w:tr w:rsidRPr="00CE699F" w:rsidR="00DB1E08" w:rsidTr="0038515C" w14:paraId="6C538087" w14:textId="77777777">
        <w:trPr>
          <w:trHeight w:val="470"/>
        </w:trPr>
        <w:tc>
          <w:tcPr>
            <w:tcW w:w="1125" w:type="pct"/>
            <w:shd w:val="clear" w:color="000000" w:fill="BFBFBF"/>
            <w:vAlign w:val="center"/>
            <w:hideMark/>
          </w:tcPr>
          <w:p w:rsidRPr="00CE699F" w:rsidR="00DB1E08" w:rsidP="00CE699F" w:rsidRDefault="00DB1E08" w14:paraId="7F31D7FE"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Servicio a la Deuda</w:t>
            </w:r>
          </w:p>
        </w:tc>
        <w:tc>
          <w:tcPr>
            <w:tcW w:w="860" w:type="pct"/>
            <w:vAlign w:val="center"/>
            <w:hideMark/>
          </w:tcPr>
          <w:p w:rsidRPr="00CE699F" w:rsidR="00DB1E08" w:rsidP="00CE699F" w:rsidRDefault="00DB1E08" w14:paraId="36382808"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$ 3.460</w:t>
            </w:r>
          </w:p>
        </w:tc>
        <w:tc>
          <w:tcPr>
            <w:tcW w:w="1078" w:type="pct"/>
            <w:vAlign w:val="center"/>
            <w:hideMark/>
          </w:tcPr>
          <w:p w:rsidRPr="00CE699F" w:rsidR="00DB1E08" w:rsidP="00CE699F" w:rsidRDefault="00DB1E08" w14:paraId="23647F05"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0</w:t>
            </w:r>
          </w:p>
        </w:tc>
        <w:tc>
          <w:tcPr>
            <w:tcW w:w="1078" w:type="pct"/>
            <w:vAlign w:val="center"/>
            <w:hideMark/>
          </w:tcPr>
          <w:p w:rsidRPr="00CE699F" w:rsidR="00DB1E08" w:rsidP="00CE699F" w:rsidRDefault="00DB1E08" w14:paraId="61699A90"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0</w:t>
            </w:r>
          </w:p>
        </w:tc>
        <w:tc>
          <w:tcPr>
            <w:tcW w:w="859" w:type="pct"/>
            <w:vAlign w:val="center"/>
            <w:hideMark/>
          </w:tcPr>
          <w:p w:rsidRPr="00CE699F" w:rsidR="00DB1E08" w:rsidP="00CE699F" w:rsidRDefault="00DB1E08" w14:paraId="2B5B658C"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$ 3.460</w:t>
            </w:r>
          </w:p>
        </w:tc>
      </w:tr>
      <w:tr w:rsidRPr="00CE699F" w:rsidR="00DB1E08" w:rsidTr="0038515C" w14:paraId="10A49371" w14:textId="77777777">
        <w:trPr>
          <w:trHeight w:val="470"/>
        </w:trPr>
        <w:tc>
          <w:tcPr>
            <w:tcW w:w="1125" w:type="pct"/>
            <w:vAlign w:val="center"/>
            <w:hideMark/>
          </w:tcPr>
          <w:p w:rsidRPr="00CE699F" w:rsidR="00DB1E08" w:rsidP="00CE699F" w:rsidRDefault="00DB1E08" w14:paraId="5A769E9F"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Otras Cuentas Por Pagar</w:t>
            </w:r>
          </w:p>
        </w:tc>
        <w:tc>
          <w:tcPr>
            <w:tcW w:w="860" w:type="pct"/>
            <w:vAlign w:val="center"/>
            <w:hideMark/>
          </w:tcPr>
          <w:p w:rsidRPr="00CE699F" w:rsidR="00DB1E08" w:rsidP="00CE699F" w:rsidRDefault="00DB1E08" w14:paraId="13B0230A"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$ 3.460</w:t>
            </w:r>
          </w:p>
        </w:tc>
        <w:tc>
          <w:tcPr>
            <w:tcW w:w="1078" w:type="pct"/>
            <w:vAlign w:val="center"/>
            <w:hideMark/>
          </w:tcPr>
          <w:p w:rsidRPr="00CE699F" w:rsidR="00DB1E08" w:rsidP="00CE699F" w:rsidRDefault="00DB1E08" w14:paraId="673CF1F9"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0</w:t>
            </w:r>
          </w:p>
        </w:tc>
        <w:tc>
          <w:tcPr>
            <w:tcW w:w="1078" w:type="pct"/>
            <w:vAlign w:val="center"/>
            <w:hideMark/>
          </w:tcPr>
          <w:p w:rsidRPr="00CE699F" w:rsidR="00DB1E08" w:rsidP="00CE699F" w:rsidRDefault="00DB1E08" w14:paraId="281BD844"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0</w:t>
            </w:r>
          </w:p>
        </w:tc>
        <w:tc>
          <w:tcPr>
            <w:tcW w:w="859" w:type="pct"/>
            <w:vAlign w:val="center"/>
            <w:hideMark/>
          </w:tcPr>
          <w:p w:rsidRPr="00CE699F" w:rsidR="00DB1E08" w:rsidP="00CE699F" w:rsidRDefault="00DB1E08" w14:paraId="4F447761"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$ 3.460</w:t>
            </w:r>
          </w:p>
        </w:tc>
      </w:tr>
      <w:tr w:rsidRPr="00CE699F" w:rsidR="00DB1E08" w:rsidTr="0038515C" w14:paraId="57382244" w14:textId="77777777">
        <w:trPr>
          <w:trHeight w:val="470"/>
        </w:trPr>
        <w:tc>
          <w:tcPr>
            <w:tcW w:w="1125" w:type="pct"/>
            <w:vAlign w:val="center"/>
            <w:hideMark/>
          </w:tcPr>
          <w:p w:rsidRPr="00CE699F" w:rsidR="00DB1E08" w:rsidP="00CE699F" w:rsidRDefault="00DB1E08" w14:paraId="14B9094E"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Aportes al Fondo de Contingencias</w:t>
            </w:r>
          </w:p>
        </w:tc>
        <w:tc>
          <w:tcPr>
            <w:tcW w:w="860" w:type="pct"/>
            <w:vAlign w:val="center"/>
            <w:hideMark/>
          </w:tcPr>
          <w:p w:rsidRPr="00CE699F" w:rsidR="00DB1E08" w:rsidP="00CE699F" w:rsidRDefault="00DB1E08" w14:paraId="19A6B21B"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0</w:t>
            </w:r>
          </w:p>
        </w:tc>
        <w:tc>
          <w:tcPr>
            <w:tcW w:w="1078" w:type="pct"/>
            <w:vAlign w:val="center"/>
            <w:hideMark/>
          </w:tcPr>
          <w:p w:rsidRPr="00CE699F" w:rsidR="00DB1E08" w:rsidP="00CE699F" w:rsidRDefault="00DB1E08" w14:paraId="2B0B7533"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0</w:t>
            </w:r>
          </w:p>
        </w:tc>
        <w:tc>
          <w:tcPr>
            <w:tcW w:w="1078" w:type="pct"/>
            <w:vAlign w:val="center"/>
            <w:hideMark/>
          </w:tcPr>
          <w:p w:rsidRPr="00CE699F" w:rsidR="00DB1E08" w:rsidP="00CE699F" w:rsidRDefault="00DB1E08" w14:paraId="719BF2A0"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0</w:t>
            </w:r>
          </w:p>
        </w:tc>
        <w:tc>
          <w:tcPr>
            <w:tcW w:w="859" w:type="pct"/>
            <w:vAlign w:val="center"/>
            <w:hideMark/>
          </w:tcPr>
          <w:p w:rsidRPr="00CE699F" w:rsidR="00DB1E08" w:rsidP="00CE699F" w:rsidRDefault="00DB1E08" w14:paraId="06B7E0CF"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0</w:t>
            </w:r>
          </w:p>
        </w:tc>
      </w:tr>
      <w:tr w:rsidRPr="00CE699F" w:rsidR="00DB1E08" w:rsidTr="0038515C" w14:paraId="7C9DF4C7" w14:textId="77777777">
        <w:trPr>
          <w:trHeight w:val="300"/>
        </w:trPr>
        <w:tc>
          <w:tcPr>
            <w:tcW w:w="1125" w:type="pct"/>
            <w:shd w:val="clear" w:color="000000" w:fill="BFBFBF"/>
            <w:vAlign w:val="center"/>
            <w:hideMark/>
          </w:tcPr>
          <w:p w:rsidRPr="00CE699F" w:rsidR="00DB1E08" w:rsidP="00CE699F" w:rsidRDefault="00DB1E08" w14:paraId="1F8765F8"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Inversión</w:t>
            </w:r>
          </w:p>
        </w:tc>
        <w:tc>
          <w:tcPr>
            <w:tcW w:w="860" w:type="pct"/>
            <w:vAlign w:val="center"/>
            <w:hideMark/>
          </w:tcPr>
          <w:p w:rsidRPr="00CE699F" w:rsidR="00DB1E08" w:rsidP="00CE699F" w:rsidRDefault="00DB1E08" w14:paraId="285F97B6"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$ 8.053.438</w:t>
            </w:r>
          </w:p>
        </w:tc>
        <w:tc>
          <w:tcPr>
            <w:tcW w:w="1078" w:type="pct"/>
            <w:vAlign w:val="center"/>
            <w:hideMark/>
          </w:tcPr>
          <w:p w:rsidRPr="00CE699F" w:rsidR="00DB1E08" w:rsidP="00CE699F" w:rsidRDefault="00DB1E08" w14:paraId="764BF8EE"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$ 750.111</w:t>
            </w:r>
          </w:p>
        </w:tc>
        <w:tc>
          <w:tcPr>
            <w:tcW w:w="1078" w:type="pct"/>
            <w:vAlign w:val="center"/>
            <w:hideMark/>
          </w:tcPr>
          <w:p w:rsidRPr="00CE699F" w:rsidR="00DB1E08" w:rsidP="00CE699F" w:rsidRDefault="00DB1E08" w14:paraId="5B99BE2B"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sz w:val="18"/>
                <w:szCs w:val="18"/>
                <w:lang w:eastAsia="es-CO"/>
              </w:rPr>
              <w:t>$ 220.994</w:t>
            </w:r>
          </w:p>
        </w:tc>
        <w:tc>
          <w:tcPr>
            <w:tcW w:w="859" w:type="pct"/>
            <w:vAlign w:val="center"/>
            <w:hideMark/>
          </w:tcPr>
          <w:p w:rsidRPr="00CE699F" w:rsidR="00DB1E08" w:rsidP="00CE699F" w:rsidRDefault="00DB1E08" w14:paraId="34214D44"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$ 7.525.703</w:t>
            </w:r>
          </w:p>
        </w:tc>
      </w:tr>
      <w:tr w:rsidRPr="00CE699F" w:rsidR="00DB1E08" w:rsidTr="0038515C" w14:paraId="250249C3" w14:textId="77777777">
        <w:trPr>
          <w:trHeight w:val="300"/>
        </w:trPr>
        <w:tc>
          <w:tcPr>
            <w:tcW w:w="1125" w:type="pct"/>
            <w:shd w:val="clear" w:color="000000" w:fill="BFBFBF"/>
            <w:vAlign w:val="center"/>
            <w:hideMark/>
          </w:tcPr>
          <w:p w:rsidRPr="00CE699F" w:rsidR="00DB1E08" w:rsidP="00CE699F" w:rsidRDefault="00DB1E08" w14:paraId="52C476A5"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Total, Sector</w:t>
            </w:r>
          </w:p>
        </w:tc>
        <w:tc>
          <w:tcPr>
            <w:tcW w:w="860" w:type="pct"/>
            <w:shd w:val="clear" w:color="000000" w:fill="BFBFBF"/>
            <w:vAlign w:val="center"/>
            <w:hideMark/>
          </w:tcPr>
          <w:p w:rsidRPr="00CE699F" w:rsidR="00DB1E08" w:rsidP="00CE699F" w:rsidRDefault="00DB1E08" w14:paraId="560877A0"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$12.568.394</w:t>
            </w:r>
          </w:p>
        </w:tc>
        <w:tc>
          <w:tcPr>
            <w:tcW w:w="1078" w:type="pct"/>
            <w:shd w:val="clear" w:color="000000" w:fill="BFBFBF"/>
            <w:vAlign w:val="center"/>
            <w:hideMark/>
          </w:tcPr>
          <w:p w:rsidRPr="00CE699F" w:rsidR="00DB1E08" w:rsidP="00CE699F" w:rsidRDefault="00DB1E08" w14:paraId="1DE20D3E"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$ 790.360</w:t>
            </w:r>
          </w:p>
        </w:tc>
        <w:tc>
          <w:tcPr>
            <w:tcW w:w="1078" w:type="pct"/>
            <w:shd w:val="clear" w:color="000000" w:fill="BFBFBF"/>
            <w:vAlign w:val="center"/>
            <w:hideMark/>
          </w:tcPr>
          <w:p w:rsidRPr="00CE699F" w:rsidR="00DB1E08" w:rsidP="00CE699F" w:rsidRDefault="00DB1E08" w14:paraId="0422CE61"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$ 246.554</w:t>
            </w:r>
          </w:p>
        </w:tc>
        <w:tc>
          <w:tcPr>
            <w:tcW w:w="859" w:type="pct"/>
            <w:shd w:val="clear" w:color="000000" w:fill="BFBFBF"/>
            <w:vAlign w:val="center"/>
            <w:hideMark/>
          </w:tcPr>
          <w:p w:rsidRPr="00CE699F" w:rsidR="00DB1E08" w:rsidP="00CE699F" w:rsidRDefault="00DB1E08" w14:paraId="46542452"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$12.025.972</w:t>
            </w:r>
          </w:p>
        </w:tc>
      </w:tr>
    </w:tbl>
    <w:p w:rsidRPr="00CE699F" w:rsidR="00DB1E08" w:rsidP="00CE699F" w:rsidRDefault="00DB1E08" w14:paraId="63D48DDD" w14:textId="4AC669D6">
      <w:pPr>
        <w:pStyle w:val="Fuente"/>
        <w:spacing w:after="0"/>
        <w:ind w:left="720"/>
        <w:rPr>
          <w:rFonts w:ascii="Verdana" w:hAnsi="Verdana"/>
        </w:rPr>
      </w:pPr>
      <w:r w:rsidRPr="30CF4445" w:rsidR="6B5B0B4F">
        <w:rPr>
          <w:rFonts w:ascii="Verdana" w:hAnsi="Verdana"/>
        </w:rPr>
        <w:t>Fuente: Elaboración propia del Grupo de Programación y Gestión Estratégica de</w:t>
      </w:r>
      <w:r w:rsidRPr="30CF4445" w:rsidR="23697EFE">
        <w:rPr>
          <w:rFonts w:ascii="Verdana" w:hAnsi="Verdana"/>
        </w:rPr>
        <w:t xml:space="preserve"> </w:t>
      </w:r>
      <w:r w:rsidRPr="30CF4445" w:rsidR="6B5B0B4F">
        <w:rPr>
          <w:rFonts w:ascii="Verdana" w:hAnsi="Verdana"/>
        </w:rPr>
        <w:t>Proyectos con información del SIIF Nación del MinHacienda. - Corte a 31 de diciembre 2024</w:t>
      </w:r>
    </w:p>
    <w:p w:rsidRPr="0038515C" w:rsidR="00CE699F" w:rsidP="0038515C" w:rsidRDefault="00CE699F" w14:paraId="6C5330D2" w14:textId="77777777">
      <w:pPr>
        <w:pStyle w:val="Descripcin"/>
        <w:spacing w:after="0" w:line="360" w:lineRule="auto"/>
        <w:rPr>
          <w:rFonts w:ascii="Verdana" w:hAnsi="Verdana"/>
          <w:i w:val="0"/>
          <w:iCs w:val="0"/>
        </w:rPr>
      </w:pPr>
    </w:p>
    <w:p w:rsidR="00CE699F" w:rsidP="00CE699F" w:rsidRDefault="00CE699F" w14:paraId="4E84EAD0" w14:textId="77777777">
      <w:pPr>
        <w:pStyle w:val="Descripcin"/>
        <w:spacing w:after="0"/>
        <w:jc w:val="center"/>
        <w:rPr>
          <w:rFonts w:ascii="Verdana" w:hAnsi="Verdana"/>
          <w:i w:val="0"/>
          <w:iCs w:val="0"/>
          <w:color w:val="auto"/>
        </w:rPr>
      </w:pPr>
      <w:r w:rsidRPr="00CE699F">
        <w:rPr>
          <w:rFonts w:ascii="Verdana" w:hAnsi="Verdana"/>
          <w:i w:val="0"/>
          <w:iCs w:val="0"/>
          <w:color w:val="auto"/>
        </w:rPr>
        <w:t>Tabla</w:t>
      </w:r>
      <w:r w:rsidR="0038515C">
        <w:rPr>
          <w:rFonts w:ascii="Verdana" w:hAnsi="Verdana"/>
          <w:i w:val="0"/>
          <w:iCs w:val="0"/>
          <w:color w:val="auto"/>
        </w:rPr>
        <w:t xml:space="preserve"> No. 31</w:t>
      </w:r>
      <w:r w:rsidRPr="00CE699F">
        <w:rPr>
          <w:rFonts w:ascii="Verdana" w:hAnsi="Verdana"/>
          <w:i w:val="0"/>
          <w:iCs w:val="0"/>
          <w:color w:val="auto"/>
        </w:rPr>
        <w:t>. Presupuesto Asignado Vigencia 2025</w:t>
      </w: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1985"/>
        <w:gridCol w:w="1520"/>
        <w:gridCol w:w="1903"/>
        <w:gridCol w:w="1903"/>
        <w:gridCol w:w="1517"/>
      </w:tblGrid>
      <w:tr w:rsidRPr="00CE699F" w:rsidR="00793FC7" w:rsidTr="30CF4445" w14:paraId="7D79E726" w14:textId="77777777">
        <w:trPr>
          <w:trHeight w:val="620"/>
        </w:trPr>
        <w:tc>
          <w:tcPr>
            <w:tcW w:w="1124" w:type="pct"/>
            <w:vMerge w:val="restart"/>
            <w:shd w:val="clear" w:color="auto" w:fill="A6A6A6" w:themeFill="background1" w:themeFillShade="A6"/>
            <w:tcMar/>
            <w:vAlign w:val="center"/>
            <w:hideMark/>
          </w:tcPr>
          <w:p w:rsidRPr="00CE699F" w:rsidR="00793FC7" w:rsidP="00CE699F" w:rsidRDefault="00793FC7" w14:paraId="5C311796"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Concepto</w:t>
            </w:r>
          </w:p>
        </w:tc>
        <w:tc>
          <w:tcPr>
            <w:tcW w:w="861" w:type="pct"/>
            <w:vMerge w:val="restart"/>
            <w:shd w:val="clear" w:color="auto" w:fill="A6A6A6" w:themeFill="background1" w:themeFillShade="A6"/>
            <w:tcMar/>
            <w:vAlign w:val="center"/>
            <w:hideMark/>
          </w:tcPr>
          <w:p w:rsidRPr="00CE699F" w:rsidR="00793FC7" w:rsidP="00CE699F" w:rsidRDefault="00793FC7" w14:paraId="6262B027"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Apropiación Inicial 2025</w:t>
            </w:r>
          </w:p>
        </w:tc>
        <w:tc>
          <w:tcPr>
            <w:tcW w:w="1078" w:type="pct"/>
            <w:vMerge w:val="restart"/>
            <w:shd w:val="clear" w:color="auto" w:fill="A6A6A6" w:themeFill="background1" w:themeFillShade="A6"/>
            <w:tcMar/>
            <w:vAlign w:val="center"/>
            <w:hideMark/>
          </w:tcPr>
          <w:p w:rsidRPr="00CE699F" w:rsidR="00793FC7" w:rsidP="00CE699F" w:rsidRDefault="00793FC7" w14:paraId="7F0CC020"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Traslados Presupuestales por Reducción</w:t>
            </w:r>
          </w:p>
        </w:tc>
        <w:tc>
          <w:tcPr>
            <w:tcW w:w="1078" w:type="pct"/>
            <w:vMerge w:val="restart"/>
            <w:shd w:val="clear" w:color="auto" w:fill="A6A6A6" w:themeFill="background1" w:themeFillShade="A6"/>
            <w:tcMar/>
            <w:vAlign w:val="center"/>
            <w:hideMark/>
          </w:tcPr>
          <w:p w:rsidRPr="00CE699F" w:rsidR="00793FC7" w:rsidP="00CE699F" w:rsidRDefault="00793FC7" w14:paraId="27338469"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Traslados Presupuestales por Adición</w:t>
            </w:r>
          </w:p>
        </w:tc>
        <w:tc>
          <w:tcPr>
            <w:tcW w:w="859" w:type="pct"/>
            <w:vMerge w:val="restart"/>
            <w:shd w:val="clear" w:color="auto" w:fill="A6A6A6" w:themeFill="background1" w:themeFillShade="A6"/>
            <w:tcMar/>
            <w:vAlign w:val="center"/>
            <w:hideMark/>
          </w:tcPr>
          <w:p w:rsidRPr="00CE699F" w:rsidR="00793FC7" w:rsidP="00CE699F" w:rsidRDefault="00793FC7" w14:paraId="7E6B827D"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Apropiación vigente 2025</w:t>
            </w:r>
          </w:p>
        </w:tc>
      </w:tr>
      <w:tr w:rsidRPr="00CE699F" w:rsidR="00793FC7" w:rsidTr="30CF4445" w14:paraId="07A513F4" w14:textId="77777777">
        <w:trPr>
          <w:trHeight w:val="450"/>
        </w:trPr>
        <w:tc>
          <w:tcPr>
            <w:tcW w:w="1124" w:type="pct"/>
            <w:vMerge/>
            <w:tcMar/>
            <w:vAlign w:val="center"/>
            <w:hideMark/>
          </w:tcPr>
          <w:p w:rsidRPr="00CE699F" w:rsidR="00793FC7" w:rsidP="00CE699F" w:rsidRDefault="00793FC7" w14:paraId="48A592D1" w14:textId="77777777">
            <w:pPr>
              <w:spacing w:after="0" w:line="240" w:lineRule="auto"/>
              <w:jc w:val="center"/>
              <w:rPr>
                <w:rFonts w:ascii="Verdana" w:hAnsi="Verdana" w:eastAsia="Times New Roman" w:cs="Times New Roman"/>
                <w:b/>
                <w:bCs/>
                <w:color w:val="000000"/>
                <w:sz w:val="18"/>
                <w:szCs w:val="18"/>
                <w:lang w:eastAsia="es-CO"/>
              </w:rPr>
            </w:pPr>
          </w:p>
        </w:tc>
        <w:tc>
          <w:tcPr>
            <w:tcW w:w="861" w:type="pct"/>
            <w:vMerge/>
            <w:tcMar/>
            <w:vAlign w:val="center"/>
            <w:hideMark/>
          </w:tcPr>
          <w:p w:rsidRPr="00CE699F" w:rsidR="00793FC7" w:rsidP="00CE699F" w:rsidRDefault="00793FC7" w14:paraId="12FE3911" w14:textId="77777777">
            <w:pPr>
              <w:spacing w:after="0" w:line="240" w:lineRule="auto"/>
              <w:jc w:val="center"/>
              <w:rPr>
                <w:rFonts w:ascii="Verdana" w:hAnsi="Verdana" w:eastAsia="Times New Roman" w:cs="Times New Roman"/>
                <w:b/>
                <w:bCs/>
                <w:color w:val="000000"/>
                <w:sz w:val="18"/>
                <w:szCs w:val="18"/>
                <w:lang w:eastAsia="es-CO"/>
              </w:rPr>
            </w:pPr>
          </w:p>
        </w:tc>
        <w:tc>
          <w:tcPr>
            <w:tcW w:w="1078" w:type="pct"/>
            <w:vMerge/>
            <w:tcMar/>
            <w:vAlign w:val="center"/>
            <w:hideMark/>
          </w:tcPr>
          <w:p w:rsidRPr="00CE699F" w:rsidR="00793FC7" w:rsidP="00CE699F" w:rsidRDefault="00793FC7" w14:paraId="3DDFEC2F" w14:textId="77777777">
            <w:pPr>
              <w:spacing w:after="0" w:line="240" w:lineRule="auto"/>
              <w:jc w:val="center"/>
              <w:rPr>
                <w:rFonts w:ascii="Verdana" w:hAnsi="Verdana" w:eastAsia="Times New Roman" w:cs="Times New Roman"/>
                <w:b/>
                <w:bCs/>
                <w:color w:val="000000"/>
                <w:sz w:val="18"/>
                <w:szCs w:val="18"/>
                <w:lang w:eastAsia="es-CO"/>
              </w:rPr>
            </w:pPr>
          </w:p>
        </w:tc>
        <w:tc>
          <w:tcPr>
            <w:tcW w:w="1078" w:type="pct"/>
            <w:vMerge/>
            <w:tcMar/>
            <w:vAlign w:val="center"/>
            <w:hideMark/>
          </w:tcPr>
          <w:p w:rsidRPr="00CE699F" w:rsidR="00793FC7" w:rsidP="00CE699F" w:rsidRDefault="00793FC7" w14:paraId="5274AAF4" w14:textId="77777777">
            <w:pPr>
              <w:spacing w:after="0" w:line="240" w:lineRule="auto"/>
              <w:jc w:val="center"/>
              <w:rPr>
                <w:rFonts w:ascii="Verdana" w:hAnsi="Verdana" w:eastAsia="Times New Roman" w:cs="Times New Roman"/>
                <w:b/>
                <w:bCs/>
                <w:color w:val="000000"/>
                <w:sz w:val="18"/>
                <w:szCs w:val="18"/>
                <w:lang w:eastAsia="es-CO"/>
              </w:rPr>
            </w:pPr>
          </w:p>
        </w:tc>
        <w:tc>
          <w:tcPr>
            <w:tcW w:w="859" w:type="pct"/>
            <w:vMerge/>
            <w:tcMar/>
            <w:vAlign w:val="center"/>
            <w:hideMark/>
          </w:tcPr>
          <w:p w:rsidRPr="00CE699F" w:rsidR="00793FC7" w:rsidP="00CE699F" w:rsidRDefault="00793FC7" w14:paraId="60CF3159" w14:textId="77777777">
            <w:pPr>
              <w:spacing w:after="0" w:line="240" w:lineRule="auto"/>
              <w:jc w:val="center"/>
              <w:rPr>
                <w:rFonts w:ascii="Verdana" w:hAnsi="Verdana" w:eastAsia="Times New Roman" w:cs="Times New Roman"/>
                <w:b/>
                <w:bCs/>
                <w:color w:val="000000"/>
                <w:sz w:val="18"/>
                <w:szCs w:val="18"/>
                <w:lang w:eastAsia="es-CO"/>
              </w:rPr>
            </w:pPr>
          </w:p>
        </w:tc>
      </w:tr>
      <w:tr w:rsidRPr="00CE699F" w:rsidR="00793FC7" w:rsidTr="30CF4445" w14:paraId="3923B0A6" w14:textId="77777777">
        <w:trPr>
          <w:trHeight w:val="300"/>
        </w:trPr>
        <w:tc>
          <w:tcPr>
            <w:tcW w:w="1124" w:type="pct"/>
            <w:shd w:val="clear" w:color="auto" w:fill="BFBFBF" w:themeFill="background1" w:themeFillShade="BF"/>
            <w:tcMar/>
            <w:vAlign w:val="center"/>
            <w:hideMark/>
          </w:tcPr>
          <w:p w:rsidRPr="00CE699F" w:rsidR="00793FC7" w:rsidP="00CE699F" w:rsidRDefault="00793FC7" w14:paraId="62FB2B57"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Funcionamiento</w:t>
            </w:r>
          </w:p>
        </w:tc>
        <w:tc>
          <w:tcPr>
            <w:tcW w:w="861" w:type="pct"/>
            <w:tcMar/>
            <w:vAlign w:val="center"/>
            <w:hideMark/>
          </w:tcPr>
          <w:p w:rsidRPr="00CE699F" w:rsidR="00793FC7" w:rsidP="00CE699F" w:rsidRDefault="00793FC7" w14:paraId="58BA8F2E"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$ 3.791.505</w:t>
            </w:r>
          </w:p>
        </w:tc>
        <w:tc>
          <w:tcPr>
            <w:tcW w:w="1078" w:type="pct"/>
            <w:tcMar/>
            <w:vAlign w:val="center"/>
            <w:hideMark/>
          </w:tcPr>
          <w:p w:rsidRPr="00CE699F" w:rsidR="00793FC7" w:rsidP="00CE699F" w:rsidRDefault="00793FC7" w14:paraId="0813CB1B"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$ 97.199</w:t>
            </w:r>
          </w:p>
        </w:tc>
        <w:tc>
          <w:tcPr>
            <w:tcW w:w="1078" w:type="pct"/>
            <w:tcMar/>
            <w:vAlign w:val="center"/>
            <w:hideMark/>
          </w:tcPr>
          <w:p w:rsidRPr="00CE699F" w:rsidR="00793FC7" w:rsidP="00CE699F" w:rsidRDefault="00793FC7" w14:paraId="7A6373CB"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$ 49.353</w:t>
            </w:r>
          </w:p>
        </w:tc>
        <w:tc>
          <w:tcPr>
            <w:tcW w:w="859" w:type="pct"/>
            <w:tcMar/>
            <w:vAlign w:val="center"/>
            <w:hideMark/>
          </w:tcPr>
          <w:p w:rsidRPr="00CE699F" w:rsidR="00793FC7" w:rsidP="00CE699F" w:rsidRDefault="00793FC7" w14:paraId="545E1A4C"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$ 3.743.658</w:t>
            </w:r>
          </w:p>
        </w:tc>
      </w:tr>
      <w:tr w:rsidRPr="00CE699F" w:rsidR="00793FC7" w:rsidTr="30CF4445" w14:paraId="3AE79D19" w14:textId="77777777">
        <w:trPr>
          <w:trHeight w:val="470"/>
        </w:trPr>
        <w:tc>
          <w:tcPr>
            <w:tcW w:w="1124" w:type="pct"/>
            <w:tcMar/>
            <w:vAlign w:val="center"/>
            <w:hideMark/>
          </w:tcPr>
          <w:p w:rsidRPr="00CE699F" w:rsidR="00793FC7" w:rsidP="00CE699F" w:rsidRDefault="00793FC7" w14:paraId="293C9E62"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Gastos de Personal</w:t>
            </w:r>
          </w:p>
        </w:tc>
        <w:tc>
          <w:tcPr>
            <w:tcW w:w="861" w:type="pct"/>
            <w:tcMar/>
            <w:vAlign w:val="center"/>
            <w:hideMark/>
          </w:tcPr>
          <w:p w:rsidRPr="00CE699F" w:rsidR="00793FC7" w:rsidP="00CE699F" w:rsidRDefault="00793FC7" w14:paraId="1594D36C"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$ 254.330</w:t>
            </w:r>
          </w:p>
        </w:tc>
        <w:tc>
          <w:tcPr>
            <w:tcW w:w="1078" w:type="pct"/>
            <w:tcMar/>
            <w:vAlign w:val="center"/>
            <w:hideMark/>
          </w:tcPr>
          <w:p w:rsidRPr="00CE699F" w:rsidR="00793FC7" w:rsidP="00CE699F" w:rsidRDefault="00793FC7" w14:paraId="097F8418"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$ 2.910</w:t>
            </w:r>
          </w:p>
        </w:tc>
        <w:tc>
          <w:tcPr>
            <w:tcW w:w="1078" w:type="pct"/>
            <w:tcMar/>
            <w:vAlign w:val="center"/>
            <w:hideMark/>
          </w:tcPr>
          <w:p w:rsidRPr="00CE699F" w:rsidR="00793FC7" w:rsidP="00CE699F" w:rsidRDefault="00793FC7" w14:paraId="7BFB467C"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$ 2.698</w:t>
            </w:r>
          </w:p>
        </w:tc>
        <w:tc>
          <w:tcPr>
            <w:tcW w:w="859" w:type="pct"/>
            <w:tcMar/>
            <w:vAlign w:val="center"/>
            <w:hideMark/>
          </w:tcPr>
          <w:p w:rsidRPr="00CE699F" w:rsidR="00793FC7" w:rsidP="00CE699F" w:rsidRDefault="00793FC7" w14:paraId="71CC04F8"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$ 254.118</w:t>
            </w:r>
          </w:p>
        </w:tc>
      </w:tr>
      <w:tr w:rsidRPr="00CE699F" w:rsidR="00793FC7" w:rsidTr="30CF4445" w14:paraId="01A57E1B" w14:textId="77777777">
        <w:trPr>
          <w:trHeight w:val="470"/>
        </w:trPr>
        <w:tc>
          <w:tcPr>
            <w:tcW w:w="1124" w:type="pct"/>
            <w:tcMar/>
            <w:vAlign w:val="center"/>
            <w:hideMark/>
          </w:tcPr>
          <w:p w:rsidRPr="00CE699F" w:rsidR="00793FC7" w:rsidP="00CE699F" w:rsidRDefault="00793FC7" w14:paraId="62829D6C"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Adquisición de bienes y servicios</w:t>
            </w:r>
          </w:p>
        </w:tc>
        <w:tc>
          <w:tcPr>
            <w:tcW w:w="861" w:type="pct"/>
            <w:tcMar/>
            <w:vAlign w:val="center"/>
            <w:hideMark/>
          </w:tcPr>
          <w:p w:rsidRPr="00CE699F" w:rsidR="00793FC7" w:rsidP="00CE699F" w:rsidRDefault="00793FC7" w14:paraId="47DE342A"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$ 96.325</w:t>
            </w:r>
          </w:p>
        </w:tc>
        <w:tc>
          <w:tcPr>
            <w:tcW w:w="1078" w:type="pct"/>
            <w:tcMar/>
            <w:vAlign w:val="center"/>
            <w:hideMark/>
          </w:tcPr>
          <w:p w:rsidRPr="00CE699F" w:rsidR="00793FC7" w:rsidP="00CE699F" w:rsidRDefault="00793FC7" w14:paraId="328419BB"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$ 6.749</w:t>
            </w:r>
          </w:p>
        </w:tc>
        <w:tc>
          <w:tcPr>
            <w:tcW w:w="1078" w:type="pct"/>
            <w:tcMar/>
            <w:vAlign w:val="center"/>
            <w:hideMark/>
          </w:tcPr>
          <w:p w:rsidRPr="00CE699F" w:rsidR="00793FC7" w:rsidP="00CE699F" w:rsidRDefault="00793FC7" w14:paraId="10DBF90C"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$ 3.791</w:t>
            </w:r>
          </w:p>
        </w:tc>
        <w:tc>
          <w:tcPr>
            <w:tcW w:w="859" w:type="pct"/>
            <w:tcMar/>
            <w:vAlign w:val="center"/>
            <w:hideMark/>
          </w:tcPr>
          <w:p w:rsidRPr="00CE699F" w:rsidR="00793FC7" w:rsidP="00CE699F" w:rsidRDefault="00793FC7" w14:paraId="61EDFA3A"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$ 93.367</w:t>
            </w:r>
          </w:p>
        </w:tc>
      </w:tr>
      <w:tr w:rsidRPr="00CE699F" w:rsidR="00793FC7" w:rsidTr="30CF4445" w14:paraId="1707DE73" w14:textId="77777777">
        <w:trPr>
          <w:trHeight w:val="470"/>
        </w:trPr>
        <w:tc>
          <w:tcPr>
            <w:tcW w:w="1124" w:type="pct"/>
            <w:tcMar/>
            <w:vAlign w:val="center"/>
            <w:hideMark/>
          </w:tcPr>
          <w:p w:rsidRPr="00CE699F" w:rsidR="00793FC7" w:rsidP="00CE699F" w:rsidRDefault="00793FC7" w14:paraId="44E38F06"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Transferencias corrientes</w:t>
            </w:r>
          </w:p>
        </w:tc>
        <w:tc>
          <w:tcPr>
            <w:tcW w:w="861" w:type="pct"/>
            <w:tcMar/>
            <w:vAlign w:val="center"/>
            <w:hideMark/>
          </w:tcPr>
          <w:p w:rsidRPr="00CE699F" w:rsidR="00793FC7" w:rsidP="00CE699F" w:rsidRDefault="00793FC7" w14:paraId="68F2C261"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$ 3.346.245</w:t>
            </w:r>
          </w:p>
        </w:tc>
        <w:tc>
          <w:tcPr>
            <w:tcW w:w="1078" w:type="pct"/>
            <w:tcMar/>
            <w:vAlign w:val="center"/>
            <w:hideMark/>
          </w:tcPr>
          <w:p w:rsidRPr="00CE699F" w:rsidR="00793FC7" w:rsidP="00CE699F" w:rsidRDefault="00793FC7" w14:paraId="4417E971"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$ 86.396</w:t>
            </w:r>
          </w:p>
        </w:tc>
        <w:tc>
          <w:tcPr>
            <w:tcW w:w="1078" w:type="pct"/>
            <w:tcMar/>
            <w:vAlign w:val="center"/>
            <w:hideMark/>
          </w:tcPr>
          <w:p w:rsidRPr="00CE699F" w:rsidR="00793FC7" w:rsidP="00CE699F" w:rsidRDefault="00793FC7" w14:paraId="64636499"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$ 31.244</w:t>
            </w:r>
          </w:p>
        </w:tc>
        <w:tc>
          <w:tcPr>
            <w:tcW w:w="859" w:type="pct"/>
            <w:tcMar/>
            <w:vAlign w:val="center"/>
            <w:hideMark/>
          </w:tcPr>
          <w:p w:rsidRPr="00CE699F" w:rsidR="00793FC7" w:rsidP="00CE699F" w:rsidRDefault="00793FC7" w14:paraId="54172589"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$ 3.291.092</w:t>
            </w:r>
          </w:p>
        </w:tc>
      </w:tr>
      <w:tr w:rsidRPr="00CE699F" w:rsidR="00793FC7" w:rsidTr="30CF4445" w14:paraId="551CC5D0" w14:textId="77777777">
        <w:trPr>
          <w:trHeight w:val="700"/>
        </w:trPr>
        <w:tc>
          <w:tcPr>
            <w:tcW w:w="1124" w:type="pct"/>
            <w:tcMar/>
            <w:vAlign w:val="center"/>
            <w:hideMark/>
          </w:tcPr>
          <w:p w:rsidRPr="00CE699F" w:rsidR="00793FC7" w:rsidP="00CE699F" w:rsidRDefault="00793FC7" w14:paraId="23EDA7EA" w14:textId="1A565A7F">
            <w:pPr>
              <w:spacing w:after="0" w:line="240" w:lineRule="auto"/>
              <w:jc w:val="center"/>
              <w:rPr>
                <w:rFonts w:ascii="Verdana" w:hAnsi="Verdana" w:eastAsia="Times New Roman" w:cs="Times New Roman"/>
                <w:color w:val="000000"/>
                <w:sz w:val="18"/>
                <w:szCs w:val="18"/>
                <w:lang w:eastAsia="es-CO"/>
              </w:rPr>
            </w:pPr>
            <w:r w:rsidRPr="30CF4445" w:rsidR="4C046B6C">
              <w:rPr>
                <w:rFonts w:ascii="Verdana" w:hAnsi="Verdana" w:eastAsia="Times New Roman" w:cs="Times New Roman"/>
                <w:color w:val="000000" w:themeColor="text1" w:themeTint="FF" w:themeShade="FF"/>
                <w:sz w:val="18"/>
                <w:szCs w:val="18"/>
                <w:lang w:eastAsia="es-CO"/>
              </w:rPr>
              <w:t>Gastos de Comercio</w:t>
            </w:r>
            <w:r w:rsidRPr="30CF4445" w:rsidR="5CA20F04">
              <w:rPr>
                <w:rFonts w:ascii="Verdana" w:hAnsi="Verdana" w:eastAsia="Times New Roman" w:cs="Times New Roman"/>
                <w:color w:val="000000" w:themeColor="text1" w:themeTint="FF" w:themeShade="FF"/>
                <w:sz w:val="18"/>
                <w:szCs w:val="18"/>
                <w:lang w:eastAsia="es-CO"/>
              </w:rPr>
              <w:t xml:space="preserve"> </w:t>
            </w:r>
            <w:r w:rsidRPr="30CF4445" w:rsidR="4C046B6C">
              <w:rPr>
                <w:rFonts w:ascii="Verdana" w:hAnsi="Verdana" w:eastAsia="Times New Roman" w:cs="Times New Roman"/>
                <w:color w:val="000000" w:themeColor="text1" w:themeTint="FF" w:themeShade="FF"/>
                <w:sz w:val="18"/>
                <w:szCs w:val="18"/>
                <w:lang w:eastAsia="es-CO"/>
              </w:rPr>
              <w:t>y Producción</w:t>
            </w:r>
          </w:p>
        </w:tc>
        <w:tc>
          <w:tcPr>
            <w:tcW w:w="861" w:type="pct"/>
            <w:tcMar/>
            <w:vAlign w:val="center"/>
            <w:hideMark/>
          </w:tcPr>
          <w:p w:rsidRPr="00CE699F" w:rsidR="00793FC7" w:rsidP="00CE699F" w:rsidRDefault="00793FC7" w14:paraId="6F4F7015"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$ 71.202</w:t>
            </w:r>
          </w:p>
        </w:tc>
        <w:tc>
          <w:tcPr>
            <w:tcW w:w="1078" w:type="pct"/>
            <w:tcMar/>
            <w:vAlign w:val="center"/>
            <w:hideMark/>
          </w:tcPr>
          <w:p w:rsidRPr="00CE699F" w:rsidR="00793FC7" w:rsidP="00CE699F" w:rsidRDefault="00793FC7" w14:paraId="558BB8AF"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$ 1.143</w:t>
            </w:r>
          </w:p>
        </w:tc>
        <w:tc>
          <w:tcPr>
            <w:tcW w:w="1078" w:type="pct"/>
            <w:tcMar/>
            <w:vAlign w:val="center"/>
            <w:hideMark/>
          </w:tcPr>
          <w:p w:rsidRPr="00CE699F" w:rsidR="00793FC7" w:rsidP="00CE699F" w:rsidRDefault="00793FC7" w14:paraId="6C38F082"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0</w:t>
            </w:r>
          </w:p>
        </w:tc>
        <w:tc>
          <w:tcPr>
            <w:tcW w:w="859" w:type="pct"/>
            <w:tcMar/>
            <w:vAlign w:val="center"/>
            <w:hideMark/>
          </w:tcPr>
          <w:p w:rsidRPr="00CE699F" w:rsidR="00793FC7" w:rsidP="00CE699F" w:rsidRDefault="00793FC7" w14:paraId="5F6F8A62"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$ 70.058</w:t>
            </w:r>
          </w:p>
        </w:tc>
      </w:tr>
      <w:tr w:rsidRPr="00CE699F" w:rsidR="00793FC7" w:rsidTr="30CF4445" w14:paraId="2128CCA7" w14:textId="77777777">
        <w:trPr>
          <w:trHeight w:val="930"/>
        </w:trPr>
        <w:tc>
          <w:tcPr>
            <w:tcW w:w="1124" w:type="pct"/>
            <w:tcMar/>
            <w:vAlign w:val="center"/>
            <w:hideMark/>
          </w:tcPr>
          <w:p w:rsidRPr="00CE699F" w:rsidR="00793FC7" w:rsidP="00CE699F" w:rsidRDefault="00793FC7" w14:paraId="4BDDB233"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Gastos por tributos, multas sanciones e intereses</w:t>
            </w:r>
          </w:p>
        </w:tc>
        <w:tc>
          <w:tcPr>
            <w:tcW w:w="861" w:type="pct"/>
            <w:tcMar/>
            <w:vAlign w:val="center"/>
            <w:hideMark/>
          </w:tcPr>
          <w:p w:rsidRPr="00CE699F" w:rsidR="00793FC7" w:rsidP="00CE699F" w:rsidRDefault="00793FC7" w14:paraId="130A2F1D"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$ 23.404</w:t>
            </w:r>
          </w:p>
        </w:tc>
        <w:tc>
          <w:tcPr>
            <w:tcW w:w="1078" w:type="pct"/>
            <w:tcMar/>
            <w:vAlign w:val="center"/>
            <w:hideMark/>
          </w:tcPr>
          <w:p w:rsidRPr="00CE699F" w:rsidR="00793FC7" w:rsidP="00CE699F" w:rsidRDefault="00793FC7" w14:paraId="08BE242F"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$ 1</w:t>
            </w:r>
          </w:p>
        </w:tc>
        <w:tc>
          <w:tcPr>
            <w:tcW w:w="1078" w:type="pct"/>
            <w:tcMar/>
            <w:vAlign w:val="center"/>
            <w:hideMark/>
          </w:tcPr>
          <w:p w:rsidRPr="00CE699F" w:rsidR="00793FC7" w:rsidP="00CE699F" w:rsidRDefault="00793FC7" w14:paraId="017EDED8"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$ 11.620</w:t>
            </w:r>
          </w:p>
        </w:tc>
        <w:tc>
          <w:tcPr>
            <w:tcW w:w="859" w:type="pct"/>
            <w:tcMar/>
            <w:vAlign w:val="center"/>
            <w:hideMark/>
          </w:tcPr>
          <w:p w:rsidRPr="00CE699F" w:rsidR="00793FC7" w:rsidP="00CE699F" w:rsidRDefault="00793FC7" w14:paraId="7B37A7AF"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$ 35.023</w:t>
            </w:r>
          </w:p>
        </w:tc>
      </w:tr>
      <w:tr w:rsidRPr="00CE699F" w:rsidR="00793FC7" w:rsidTr="30CF4445" w14:paraId="06302A48" w14:textId="77777777">
        <w:trPr>
          <w:trHeight w:val="470"/>
        </w:trPr>
        <w:tc>
          <w:tcPr>
            <w:tcW w:w="1124" w:type="pct"/>
            <w:shd w:val="clear" w:color="auto" w:fill="BFBFBF" w:themeFill="background1" w:themeFillShade="BF"/>
            <w:tcMar/>
            <w:vAlign w:val="center"/>
            <w:hideMark/>
          </w:tcPr>
          <w:p w:rsidRPr="00CE699F" w:rsidR="00793FC7" w:rsidP="00CE699F" w:rsidRDefault="00793FC7" w14:paraId="353FED39"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Servicio a la Deuda</w:t>
            </w:r>
          </w:p>
        </w:tc>
        <w:tc>
          <w:tcPr>
            <w:tcW w:w="861" w:type="pct"/>
            <w:tcMar/>
            <w:vAlign w:val="center"/>
            <w:hideMark/>
          </w:tcPr>
          <w:p w:rsidRPr="00CE699F" w:rsidR="00793FC7" w:rsidP="00CE699F" w:rsidRDefault="00793FC7" w14:paraId="707C7347"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$ 3.460</w:t>
            </w:r>
          </w:p>
        </w:tc>
        <w:tc>
          <w:tcPr>
            <w:tcW w:w="1078" w:type="pct"/>
            <w:tcMar/>
            <w:vAlign w:val="center"/>
            <w:hideMark/>
          </w:tcPr>
          <w:p w:rsidRPr="00CE699F" w:rsidR="00793FC7" w:rsidP="00CE699F" w:rsidRDefault="00793FC7" w14:paraId="715F673F"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0</w:t>
            </w:r>
          </w:p>
        </w:tc>
        <w:tc>
          <w:tcPr>
            <w:tcW w:w="1078" w:type="pct"/>
            <w:tcMar/>
            <w:vAlign w:val="center"/>
            <w:hideMark/>
          </w:tcPr>
          <w:p w:rsidRPr="00CE699F" w:rsidR="00793FC7" w:rsidP="00CE699F" w:rsidRDefault="00793FC7" w14:paraId="7408D0D9"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0</w:t>
            </w:r>
          </w:p>
        </w:tc>
        <w:tc>
          <w:tcPr>
            <w:tcW w:w="859" w:type="pct"/>
            <w:tcMar/>
            <w:vAlign w:val="bottom"/>
            <w:hideMark/>
          </w:tcPr>
          <w:p w:rsidRPr="00CE699F" w:rsidR="00793FC7" w:rsidP="00CE699F" w:rsidRDefault="00793FC7" w14:paraId="11410381"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$ 3.460</w:t>
            </w:r>
          </w:p>
        </w:tc>
      </w:tr>
      <w:tr w:rsidRPr="00CE699F" w:rsidR="00793FC7" w:rsidTr="30CF4445" w14:paraId="4D3F4C72" w14:textId="77777777">
        <w:trPr>
          <w:trHeight w:val="470"/>
        </w:trPr>
        <w:tc>
          <w:tcPr>
            <w:tcW w:w="1124" w:type="pct"/>
            <w:tcMar/>
            <w:vAlign w:val="center"/>
            <w:hideMark/>
          </w:tcPr>
          <w:p w:rsidRPr="00CE699F" w:rsidR="00793FC7" w:rsidP="00CE699F" w:rsidRDefault="00793FC7" w14:paraId="00D2CB66"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Otras Cuentas Por Pagar</w:t>
            </w:r>
          </w:p>
        </w:tc>
        <w:tc>
          <w:tcPr>
            <w:tcW w:w="861" w:type="pct"/>
            <w:tcMar/>
            <w:vAlign w:val="center"/>
            <w:hideMark/>
          </w:tcPr>
          <w:p w:rsidRPr="00CE699F" w:rsidR="00793FC7" w:rsidP="00CE699F" w:rsidRDefault="00793FC7" w14:paraId="31D1C738"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$ 3.460</w:t>
            </w:r>
          </w:p>
        </w:tc>
        <w:tc>
          <w:tcPr>
            <w:tcW w:w="1078" w:type="pct"/>
            <w:tcMar/>
            <w:vAlign w:val="center"/>
            <w:hideMark/>
          </w:tcPr>
          <w:p w:rsidRPr="00CE699F" w:rsidR="00793FC7" w:rsidP="00CE699F" w:rsidRDefault="00793FC7" w14:paraId="57D48DE7"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0</w:t>
            </w:r>
          </w:p>
        </w:tc>
        <w:tc>
          <w:tcPr>
            <w:tcW w:w="1078" w:type="pct"/>
            <w:tcMar/>
            <w:vAlign w:val="center"/>
            <w:hideMark/>
          </w:tcPr>
          <w:p w:rsidRPr="00CE699F" w:rsidR="00793FC7" w:rsidP="00CE699F" w:rsidRDefault="00793FC7" w14:paraId="1054C51A"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0</w:t>
            </w:r>
          </w:p>
        </w:tc>
        <w:tc>
          <w:tcPr>
            <w:tcW w:w="859" w:type="pct"/>
            <w:tcMar/>
            <w:vAlign w:val="center"/>
            <w:hideMark/>
          </w:tcPr>
          <w:p w:rsidRPr="00CE699F" w:rsidR="00793FC7" w:rsidP="00CE699F" w:rsidRDefault="00793FC7" w14:paraId="1F1A4114"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$ 3.460</w:t>
            </w:r>
          </w:p>
        </w:tc>
      </w:tr>
      <w:tr w:rsidRPr="00CE699F" w:rsidR="00793FC7" w:rsidTr="30CF4445" w14:paraId="55F12B01" w14:textId="77777777">
        <w:trPr>
          <w:trHeight w:val="470"/>
        </w:trPr>
        <w:tc>
          <w:tcPr>
            <w:tcW w:w="1124" w:type="pct"/>
            <w:tcMar/>
            <w:vAlign w:val="center"/>
            <w:hideMark/>
          </w:tcPr>
          <w:p w:rsidRPr="00CE699F" w:rsidR="00793FC7" w:rsidP="00CE699F" w:rsidRDefault="00793FC7" w14:paraId="10648364"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Aportes al Fondo de Contingencias</w:t>
            </w:r>
          </w:p>
        </w:tc>
        <w:tc>
          <w:tcPr>
            <w:tcW w:w="861" w:type="pct"/>
            <w:tcMar/>
            <w:vAlign w:val="center"/>
            <w:hideMark/>
          </w:tcPr>
          <w:p w:rsidRPr="00CE699F" w:rsidR="00793FC7" w:rsidP="00CE699F" w:rsidRDefault="00793FC7" w14:paraId="7B113BDC"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0</w:t>
            </w:r>
          </w:p>
        </w:tc>
        <w:tc>
          <w:tcPr>
            <w:tcW w:w="1078" w:type="pct"/>
            <w:tcMar/>
            <w:vAlign w:val="center"/>
            <w:hideMark/>
          </w:tcPr>
          <w:p w:rsidRPr="00CE699F" w:rsidR="00793FC7" w:rsidP="00CE699F" w:rsidRDefault="00793FC7" w14:paraId="5F327163"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0</w:t>
            </w:r>
          </w:p>
        </w:tc>
        <w:tc>
          <w:tcPr>
            <w:tcW w:w="1078" w:type="pct"/>
            <w:tcMar/>
            <w:vAlign w:val="center"/>
            <w:hideMark/>
          </w:tcPr>
          <w:p w:rsidRPr="00CE699F" w:rsidR="00793FC7" w:rsidP="00CE699F" w:rsidRDefault="00793FC7" w14:paraId="2D34D695"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0</w:t>
            </w:r>
          </w:p>
        </w:tc>
        <w:tc>
          <w:tcPr>
            <w:tcW w:w="859" w:type="pct"/>
            <w:tcMar/>
            <w:vAlign w:val="center"/>
            <w:hideMark/>
          </w:tcPr>
          <w:p w:rsidRPr="00CE699F" w:rsidR="00793FC7" w:rsidP="00CE699F" w:rsidRDefault="00793FC7" w14:paraId="5F18D005"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$ 0</w:t>
            </w:r>
          </w:p>
        </w:tc>
      </w:tr>
      <w:tr w:rsidRPr="00CE699F" w:rsidR="00793FC7" w:rsidTr="30CF4445" w14:paraId="0A82F038" w14:textId="77777777">
        <w:trPr>
          <w:trHeight w:val="300"/>
        </w:trPr>
        <w:tc>
          <w:tcPr>
            <w:tcW w:w="1124" w:type="pct"/>
            <w:shd w:val="clear" w:color="auto" w:fill="BFBFBF" w:themeFill="background1" w:themeFillShade="BF"/>
            <w:tcMar/>
            <w:vAlign w:val="center"/>
            <w:hideMark/>
          </w:tcPr>
          <w:p w:rsidRPr="00CE699F" w:rsidR="00793FC7" w:rsidP="00CE699F" w:rsidRDefault="00793FC7" w14:paraId="200BA161"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Inversión</w:t>
            </w:r>
          </w:p>
        </w:tc>
        <w:tc>
          <w:tcPr>
            <w:tcW w:w="861" w:type="pct"/>
            <w:tcMar/>
            <w:vAlign w:val="center"/>
            <w:hideMark/>
          </w:tcPr>
          <w:p w:rsidRPr="00CE699F" w:rsidR="00793FC7" w:rsidP="00CE699F" w:rsidRDefault="00793FC7" w14:paraId="793ABBCF"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$ 7.419.479</w:t>
            </w:r>
          </w:p>
        </w:tc>
        <w:tc>
          <w:tcPr>
            <w:tcW w:w="1078" w:type="pct"/>
            <w:tcMar/>
            <w:vAlign w:val="center"/>
            <w:hideMark/>
          </w:tcPr>
          <w:p w:rsidRPr="00CE699F" w:rsidR="00793FC7" w:rsidP="00CE699F" w:rsidRDefault="00793FC7" w14:paraId="5D43EF88"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$ 465.430</w:t>
            </w:r>
          </w:p>
        </w:tc>
        <w:tc>
          <w:tcPr>
            <w:tcW w:w="1078" w:type="pct"/>
            <w:tcMar/>
            <w:vAlign w:val="center"/>
            <w:hideMark/>
          </w:tcPr>
          <w:p w:rsidRPr="00CE699F" w:rsidR="00793FC7" w:rsidP="00CE699F" w:rsidRDefault="00793FC7" w14:paraId="12490DA6"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$ 121.915</w:t>
            </w:r>
          </w:p>
        </w:tc>
        <w:tc>
          <w:tcPr>
            <w:tcW w:w="859" w:type="pct"/>
            <w:tcMar/>
            <w:vAlign w:val="center"/>
            <w:hideMark/>
          </w:tcPr>
          <w:p w:rsidRPr="00CE699F" w:rsidR="00793FC7" w:rsidP="00CE699F" w:rsidRDefault="00793FC7" w14:paraId="179D5999"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$ 7.076.259</w:t>
            </w:r>
          </w:p>
        </w:tc>
      </w:tr>
      <w:tr w:rsidRPr="00CE699F" w:rsidR="00793FC7" w:rsidTr="30CF4445" w14:paraId="6401B3A9" w14:textId="77777777">
        <w:trPr>
          <w:trHeight w:val="300"/>
        </w:trPr>
        <w:tc>
          <w:tcPr>
            <w:tcW w:w="1124" w:type="pct"/>
            <w:shd w:val="clear" w:color="auto" w:fill="BFBFBF" w:themeFill="background1" w:themeFillShade="BF"/>
            <w:tcMar/>
            <w:vAlign w:val="center"/>
            <w:hideMark/>
          </w:tcPr>
          <w:p w:rsidRPr="00CE699F" w:rsidR="00793FC7" w:rsidP="00CE699F" w:rsidRDefault="00793FC7" w14:paraId="5C463935"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Total, Sector</w:t>
            </w:r>
          </w:p>
        </w:tc>
        <w:tc>
          <w:tcPr>
            <w:tcW w:w="861" w:type="pct"/>
            <w:shd w:val="clear" w:color="auto" w:fill="BFBFBF" w:themeFill="background1" w:themeFillShade="BF"/>
            <w:tcMar/>
            <w:vAlign w:val="center"/>
            <w:hideMark/>
          </w:tcPr>
          <w:p w:rsidRPr="00CE699F" w:rsidR="00793FC7" w:rsidP="00CE699F" w:rsidRDefault="00793FC7" w14:paraId="0D0D8E2F"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$11.214.443</w:t>
            </w:r>
          </w:p>
        </w:tc>
        <w:tc>
          <w:tcPr>
            <w:tcW w:w="1078" w:type="pct"/>
            <w:shd w:val="clear" w:color="auto" w:fill="BFBFBF" w:themeFill="background1" w:themeFillShade="BF"/>
            <w:tcMar/>
            <w:vAlign w:val="center"/>
            <w:hideMark/>
          </w:tcPr>
          <w:p w:rsidRPr="00CE699F" w:rsidR="00793FC7" w:rsidP="00CE699F" w:rsidRDefault="00793FC7" w14:paraId="5C145213"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$ 562.629</w:t>
            </w:r>
          </w:p>
        </w:tc>
        <w:tc>
          <w:tcPr>
            <w:tcW w:w="1078" w:type="pct"/>
            <w:shd w:val="clear" w:color="auto" w:fill="BFBFBF" w:themeFill="background1" w:themeFillShade="BF"/>
            <w:tcMar/>
            <w:vAlign w:val="center"/>
            <w:hideMark/>
          </w:tcPr>
          <w:p w:rsidRPr="00CE699F" w:rsidR="00793FC7" w:rsidP="00CE699F" w:rsidRDefault="00793FC7" w14:paraId="129D9B2A"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$ 171.267</w:t>
            </w:r>
          </w:p>
        </w:tc>
        <w:tc>
          <w:tcPr>
            <w:tcW w:w="859" w:type="pct"/>
            <w:shd w:val="clear" w:color="auto" w:fill="BFBFBF" w:themeFill="background1" w:themeFillShade="BF"/>
            <w:tcMar/>
            <w:vAlign w:val="center"/>
            <w:hideMark/>
          </w:tcPr>
          <w:p w:rsidRPr="00CE699F" w:rsidR="00793FC7" w:rsidP="00CE699F" w:rsidRDefault="00793FC7" w14:paraId="43566230"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$10.823.377</w:t>
            </w:r>
          </w:p>
        </w:tc>
      </w:tr>
    </w:tbl>
    <w:p w:rsidRPr="00CE699F" w:rsidR="00DB1E08" w:rsidP="00CE699F" w:rsidRDefault="00DB1E08" w14:paraId="30564DA3" w14:textId="5D4B0340">
      <w:pPr>
        <w:pStyle w:val="Fuente"/>
        <w:spacing w:after="0"/>
        <w:rPr>
          <w:rFonts w:ascii="Verdana" w:hAnsi="Verdana"/>
        </w:rPr>
      </w:pPr>
      <w:r w:rsidRPr="30CF4445" w:rsidR="6B5B0B4F">
        <w:rPr>
          <w:rFonts w:ascii="Verdana" w:hAnsi="Verdana"/>
        </w:rPr>
        <w:t>Fuente: Elaboración propia del Grupo de Programación y Gestión Estratégica de</w:t>
      </w:r>
      <w:r w:rsidRPr="30CF4445" w:rsidR="23697EFE">
        <w:rPr>
          <w:rFonts w:ascii="Verdana" w:hAnsi="Verdana"/>
        </w:rPr>
        <w:t xml:space="preserve"> </w:t>
      </w:r>
      <w:r w:rsidRPr="30CF4445" w:rsidR="6B5B0B4F">
        <w:rPr>
          <w:rFonts w:ascii="Verdana" w:hAnsi="Verdana"/>
        </w:rPr>
        <w:t>Proyectos con información del SIIF Nación del MinHacienda. - Corte a 31 de diciembre 2025</w:t>
      </w:r>
    </w:p>
    <w:p w:rsidRPr="00CE699F" w:rsidR="00DB1E08" w:rsidP="0038515C" w:rsidRDefault="00DB1E08" w14:paraId="79ED27A0" w14:textId="77777777">
      <w:pPr>
        <w:pStyle w:val="Fuente"/>
        <w:spacing w:after="0" w:line="360" w:lineRule="auto"/>
        <w:ind w:left="720"/>
        <w:jc w:val="left"/>
        <w:rPr>
          <w:rFonts w:ascii="Verdana" w:hAnsi="Verdana"/>
        </w:rPr>
      </w:pPr>
    </w:p>
    <w:p w:rsidR="00DB1E08" w:rsidP="00793FC7" w:rsidRDefault="00793FC7" w14:paraId="1A1614EC" w14:textId="77777777">
      <w:pPr>
        <w:pStyle w:val="Descripcin"/>
        <w:spacing w:after="0"/>
        <w:jc w:val="center"/>
        <w:rPr>
          <w:rFonts w:ascii="Verdana" w:hAnsi="Verdana"/>
          <w:i w:val="0"/>
          <w:iCs w:val="0"/>
          <w:color w:val="auto"/>
        </w:rPr>
      </w:pPr>
      <w:r w:rsidRPr="00793FC7">
        <w:rPr>
          <w:rFonts w:ascii="Verdana" w:hAnsi="Verdana"/>
          <w:i w:val="0"/>
          <w:iCs w:val="0"/>
          <w:color w:val="auto"/>
        </w:rPr>
        <w:t xml:space="preserve">Tabla </w:t>
      </w:r>
      <w:r w:rsidR="0038515C">
        <w:rPr>
          <w:rFonts w:ascii="Verdana" w:hAnsi="Verdana"/>
          <w:i w:val="0"/>
          <w:iCs w:val="0"/>
          <w:color w:val="auto"/>
        </w:rPr>
        <w:t xml:space="preserve">No. 32. </w:t>
      </w:r>
      <w:r w:rsidRPr="00793FC7">
        <w:rPr>
          <w:rFonts w:ascii="Verdana" w:hAnsi="Verdana"/>
          <w:i w:val="0"/>
          <w:iCs w:val="0"/>
          <w:color w:val="auto"/>
        </w:rPr>
        <w:t>Presupuesto Asignado Vigencia 2026</w:t>
      </w: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1987"/>
        <w:gridCol w:w="1518"/>
        <w:gridCol w:w="1903"/>
        <w:gridCol w:w="1903"/>
        <w:gridCol w:w="1517"/>
      </w:tblGrid>
      <w:tr w:rsidRPr="00CE699F" w:rsidR="00DB1E08" w:rsidTr="0038515C" w14:paraId="40348B9F" w14:textId="77777777">
        <w:trPr>
          <w:trHeight w:val="430"/>
        </w:trPr>
        <w:tc>
          <w:tcPr>
            <w:tcW w:w="1125" w:type="pct"/>
            <w:vMerge w:val="restart"/>
            <w:shd w:val="clear" w:color="auto" w:fill="A6A6A6" w:themeFill="background1" w:themeFillShade="A6"/>
            <w:vAlign w:val="center"/>
            <w:hideMark/>
          </w:tcPr>
          <w:p w:rsidRPr="00CE699F" w:rsidR="00DB1E08" w:rsidP="00CE699F" w:rsidRDefault="00DB1E08" w14:paraId="5C2D5582"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Concepto</w:t>
            </w:r>
          </w:p>
        </w:tc>
        <w:tc>
          <w:tcPr>
            <w:tcW w:w="860" w:type="pct"/>
            <w:vMerge w:val="restart"/>
            <w:shd w:val="clear" w:color="auto" w:fill="A6A6A6" w:themeFill="background1" w:themeFillShade="A6"/>
            <w:vAlign w:val="center"/>
            <w:hideMark/>
          </w:tcPr>
          <w:p w:rsidRPr="00CE699F" w:rsidR="00DB1E08" w:rsidP="00CE699F" w:rsidRDefault="00DB1E08" w14:paraId="523649C5"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Apropiación Inicial 2026</w:t>
            </w:r>
          </w:p>
        </w:tc>
        <w:tc>
          <w:tcPr>
            <w:tcW w:w="1078" w:type="pct"/>
            <w:vMerge w:val="restart"/>
            <w:shd w:val="clear" w:color="auto" w:fill="A6A6A6" w:themeFill="background1" w:themeFillShade="A6"/>
            <w:vAlign w:val="center"/>
            <w:hideMark/>
          </w:tcPr>
          <w:p w:rsidRPr="00CE699F" w:rsidR="00DB1E08" w:rsidP="00CE699F" w:rsidRDefault="00DB1E08" w14:paraId="07B8F9D7"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Traslados Presupuestales por Reducción</w:t>
            </w:r>
          </w:p>
        </w:tc>
        <w:tc>
          <w:tcPr>
            <w:tcW w:w="1078" w:type="pct"/>
            <w:vMerge w:val="restart"/>
            <w:shd w:val="clear" w:color="auto" w:fill="A6A6A6" w:themeFill="background1" w:themeFillShade="A6"/>
            <w:vAlign w:val="center"/>
            <w:hideMark/>
          </w:tcPr>
          <w:p w:rsidRPr="00CE699F" w:rsidR="00DB1E08" w:rsidP="00CE699F" w:rsidRDefault="00DB1E08" w14:paraId="5E555677"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Traslados Presupuestales por Adición</w:t>
            </w:r>
          </w:p>
        </w:tc>
        <w:tc>
          <w:tcPr>
            <w:tcW w:w="860" w:type="pct"/>
            <w:shd w:val="clear" w:color="auto" w:fill="A6A6A6" w:themeFill="background1" w:themeFillShade="A6"/>
            <w:vAlign w:val="center"/>
            <w:hideMark/>
          </w:tcPr>
          <w:p w:rsidRPr="00CE699F" w:rsidR="00DB1E08" w:rsidP="00CE699F" w:rsidRDefault="00DB1E08" w14:paraId="0AE2F743"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Apropiación</w:t>
            </w:r>
          </w:p>
        </w:tc>
      </w:tr>
      <w:tr w:rsidRPr="00CE699F" w:rsidR="00DB1E08" w:rsidTr="0038515C" w14:paraId="110A0B6D" w14:textId="77777777">
        <w:trPr>
          <w:trHeight w:val="470"/>
        </w:trPr>
        <w:tc>
          <w:tcPr>
            <w:tcW w:w="1125" w:type="pct"/>
            <w:vMerge/>
            <w:shd w:val="clear" w:color="auto" w:fill="A6A6A6" w:themeFill="background1" w:themeFillShade="A6"/>
            <w:vAlign w:val="center"/>
            <w:hideMark/>
          </w:tcPr>
          <w:p w:rsidRPr="00CE699F" w:rsidR="00DB1E08" w:rsidP="00CE699F" w:rsidRDefault="00DB1E08" w14:paraId="3ADD3B23" w14:textId="77777777">
            <w:pPr>
              <w:spacing w:after="0" w:line="240" w:lineRule="auto"/>
              <w:jc w:val="center"/>
              <w:rPr>
                <w:rFonts w:ascii="Verdana" w:hAnsi="Verdana" w:eastAsia="Times New Roman" w:cs="Times New Roman"/>
                <w:b/>
                <w:bCs/>
                <w:color w:val="000000"/>
                <w:sz w:val="18"/>
                <w:szCs w:val="18"/>
                <w:lang w:eastAsia="es-CO"/>
              </w:rPr>
            </w:pPr>
          </w:p>
        </w:tc>
        <w:tc>
          <w:tcPr>
            <w:tcW w:w="860" w:type="pct"/>
            <w:vMerge/>
            <w:shd w:val="clear" w:color="auto" w:fill="A6A6A6" w:themeFill="background1" w:themeFillShade="A6"/>
            <w:vAlign w:val="center"/>
            <w:hideMark/>
          </w:tcPr>
          <w:p w:rsidRPr="00CE699F" w:rsidR="00DB1E08" w:rsidP="00CE699F" w:rsidRDefault="00DB1E08" w14:paraId="54328887" w14:textId="77777777">
            <w:pPr>
              <w:spacing w:after="0" w:line="240" w:lineRule="auto"/>
              <w:jc w:val="center"/>
              <w:rPr>
                <w:rFonts w:ascii="Verdana" w:hAnsi="Verdana" w:eastAsia="Times New Roman" w:cs="Times New Roman"/>
                <w:b/>
                <w:bCs/>
                <w:color w:val="000000"/>
                <w:sz w:val="18"/>
                <w:szCs w:val="18"/>
                <w:lang w:eastAsia="es-CO"/>
              </w:rPr>
            </w:pPr>
          </w:p>
        </w:tc>
        <w:tc>
          <w:tcPr>
            <w:tcW w:w="1078" w:type="pct"/>
            <w:vMerge/>
            <w:shd w:val="clear" w:color="auto" w:fill="A6A6A6" w:themeFill="background1" w:themeFillShade="A6"/>
            <w:vAlign w:val="center"/>
            <w:hideMark/>
          </w:tcPr>
          <w:p w:rsidRPr="00CE699F" w:rsidR="00DB1E08" w:rsidP="00CE699F" w:rsidRDefault="00DB1E08" w14:paraId="31AC8294" w14:textId="77777777">
            <w:pPr>
              <w:spacing w:after="0" w:line="240" w:lineRule="auto"/>
              <w:jc w:val="center"/>
              <w:rPr>
                <w:rFonts w:ascii="Verdana" w:hAnsi="Verdana" w:eastAsia="Times New Roman" w:cs="Times New Roman"/>
                <w:b/>
                <w:bCs/>
                <w:color w:val="000000"/>
                <w:sz w:val="18"/>
                <w:szCs w:val="18"/>
                <w:lang w:eastAsia="es-CO"/>
              </w:rPr>
            </w:pPr>
          </w:p>
        </w:tc>
        <w:tc>
          <w:tcPr>
            <w:tcW w:w="1078" w:type="pct"/>
            <w:vMerge/>
            <w:shd w:val="clear" w:color="auto" w:fill="A6A6A6" w:themeFill="background1" w:themeFillShade="A6"/>
            <w:vAlign w:val="center"/>
            <w:hideMark/>
          </w:tcPr>
          <w:p w:rsidRPr="00CE699F" w:rsidR="00DB1E08" w:rsidP="00CE699F" w:rsidRDefault="00DB1E08" w14:paraId="421A31F2" w14:textId="77777777">
            <w:pPr>
              <w:spacing w:after="0" w:line="240" w:lineRule="auto"/>
              <w:jc w:val="center"/>
              <w:rPr>
                <w:rFonts w:ascii="Verdana" w:hAnsi="Verdana" w:eastAsia="Times New Roman" w:cs="Times New Roman"/>
                <w:b/>
                <w:bCs/>
                <w:color w:val="000000"/>
                <w:sz w:val="18"/>
                <w:szCs w:val="18"/>
                <w:lang w:eastAsia="es-CO"/>
              </w:rPr>
            </w:pPr>
          </w:p>
        </w:tc>
        <w:tc>
          <w:tcPr>
            <w:tcW w:w="860" w:type="pct"/>
            <w:shd w:val="clear" w:color="auto" w:fill="A6A6A6" w:themeFill="background1" w:themeFillShade="A6"/>
            <w:vAlign w:val="center"/>
            <w:hideMark/>
          </w:tcPr>
          <w:p w:rsidRPr="00CE699F" w:rsidR="00DB1E08" w:rsidP="00CE699F" w:rsidRDefault="00DB1E08" w14:paraId="01FAE403"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Vigente 2026</w:t>
            </w:r>
          </w:p>
        </w:tc>
      </w:tr>
      <w:tr w:rsidRPr="00CE699F" w:rsidR="00DB1E08" w:rsidTr="0038515C" w14:paraId="4AD67971" w14:textId="77777777">
        <w:trPr>
          <w:trHeight w:val="300"/>
        </w:trPr>
        <w:tc>
          <w:tcPr>
            <w:tcW w:w="1125" w:type="pct"/>
            <w:shd w:val="clear" w:color="000000" w:fill="BFBFBF"/>
            <w:vAlign w:val="center"/>
            <w:hideMark/>
          </w:tcPr>
          <w:p w:rsidRPr="00CE699F" w:rsidR="00DB1E08" w:rsidP="00CE699F" w:rsidRDefault="00DB1E08" w14:paraId="49652140"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Funcionamiento</w:t>
            </w:r>
          </w:p>
        </w:tc>
        <w:tc>
          <w:tcPr>
            <w:tcW w:w="860" w:type="pct"/>
            <w:vAlign w:val="center"/>
            <w:hideMark/>
          </w:tcPr>
          <w:p w:rsidRPr="00CE699F" w:rsidR="00DB1E08" w:rsidP="00CE699F" w:rsidRDefault="00DB1E08" w14:paraId="47B97E20"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$ 3.243.261</w:t>
            </w:r>
          </w:p>
        </w:tc>
        <w:tc>
          <w:tcPr>
            <w:tcW w:w="1078" w:type="pct"/>
            <w:vAlign w:val="center"/>
            <w:hideMark/>
          </w:tcPr>
          <w:p w:rsidRPr="00CE699F" w:rsidR="00DB1E08" w:rsidP="00CE699F" w:rsidRDefault="00DB1E08" w14:paraId="32285E5A"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$ 5.992</w:t>
            </w:r>
          </w:p>
        </w:tc>
        <w:tc>
          <w:tcPr>
            <w:tcW w:w="1078" w:type="pct"/>
            <w:vAlign w:val="center"/>
            <w:hideMark/>
          </w:tcPr>
          <w:p w:rsidRPr="00CE699F" w:rsidR="00DB1E08" w:rsidP="00CE699F" w:rsidRDefault="00DB1E08" w14:paraId="51B87C89"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$ 5.992</w:t>
            </w:r>
          </w:p>
        </w:tc>
        <w:tc>
          <w:tcPr>
            <w:tcW w:w="860" w:type="pct"/>
            <w:vAlign w:val="center"/>
            <w:hideMark/>
          </w:tcPr>
          <w:p w:rsidRPr="00CE699F" w:rsidR="00DB1E08" w:rsidP="00CE699F" w:rsidRDefault="00DB1E08" w14:paraId="2D8E6571"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$ 3.243.261</w:t>
            </w:r>
          </w:p>
        </w:tc>
      </w:tr>
      <w:tr w:rsidRPr="00CE699F" w:rsidR="00DB1E08" w:rsidTr="0038515C" w14:paraId="5EC88E87" w14:textId="77777777">
        <w:trPr>
          <w:trHeight w:val="470"/>
        </w:trPr>
        <w:tc>
          <w:tcPr>
            <w:tcW w:w="1125" w:type="pct"/>
            <w:vAlign w:val="center"/>
            <w:hideMark/>
          </w:tcPr>
          <w:p w:rsidRPr="00CE699F" w:rsidR="00DB1E08" w:rsidP="00CE699F" w:rsidRDefault="00DB1E08" w14:paraId="20FDB247"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Gastos de Personal</w:t>
            </w:r>
          </w:p>
        </w:tc>
        <w:tc>
          <w:tcPr>
            <w:tcW w:w="860" w:type="pct"/>
            <w:vAlign w:val="center"/>
            <w:hideMark/>
          </w:tcPr>
          <w:p w:rsidRPr="00CE699F" w:rsidR="00DB1E08" w:rsidP="00CE699F" w:rsidRDefault="00DB1E08" w14:paraId="3FAD198C"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$ 267.073</w:t>
            </w:r>
          </w:p>
        </w:tc>
        <w:tc>
          <w:tcPr>
            <w:tcW w:w="1078" w:type="pct"/>
            <w:vAlign w:val="center"/>
            <w:hideMark/>
          </w:tcPr>
          <w:p w:rsidRPr="00CE699F" w:rsidR="00DB1E08" w:rsidP="00CE699F" w:rsidRDefault="00DB1E08" w14:paraId="6EB9DBD6"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371</w:t>
            </w:r>
          </w:p>
        </w:tc>
        <w:tc>
          <w:tcPr>
            <w:tcW w:w="1078" w:type="pct"/>
            <w:vAlign w:val="center"/>
            <w:hideMark/>
          </w:tcPr>
          <w:p w:rsidRPr="00CE699F" w:rsidR="00DB1E08" w:rsidP="00CE699F" w:rsidRDefault="00DB1E08" w14:paraId="6B33819F"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$ 179</w:t>
            </w:r>
          </w:p>
        </w:tc>
        <w:tc>
          <w:tcPr>
            <w:tcW w:w="860" w:type="pct"/>
            <w:vAlign w:val="center"/>
            <w:hideMark/>
          </w:tcPr>
          <w:p w:rsidRPr="00CE699F" w:rsidR="00DB1E08" w:rsidP="00CE699F" w:rsidRDefault="00DB1E08" w14:paraId="3200ABB8"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$266.882</w:t>
            </w:r>
          </w:p>
        </w:tc>
      </w:tr>
      <w:tr w:rsidRPr="00CE699F" w:rsidR="00DB1E08" w:rsidTr="0038515C" w14:paraId="29E66235" w14:textId="77777777">
        <w:trPr>
          <w:trHeight w:val="470"/>
        </w:trPr>
        <w:tc>
          <w:tcPr>
            <w:tcW w:w="1125" w:type="pct"/>
            <w:vAlign w:val="center"/>
            <w:hideMark/>
          </w:tcPr>
          <w:p w:rsidRPr="00CE699F" w:rsidR="00DB1E08" w:rsidP="00CE699F" w:rsidRDefault="00DB1E08" w14:paraId="4F10C555"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Adquisición de bienes y servicios</w:t>
            </w:r>
          </w:p>
        </w:tc>
        <w:tc>
          <w:tcPr>
            <w:tcW w:w="860" w:type="pct"/>
            <w:vAlign w:val="center"/>
            <w:hideMark/>
          </w:tcPr>
          <w:p w:rsidRPr="00CE699F" w:rsidR="00DB1E08" w:rsidP="00CE699F" w:rsidRDefault="00DB1E08" w14:paraId="516F241F"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$ 91.375</w:t>
            </w:r>
          </w:p>
        </w:tc>
        <w:tc>
          <w:tcPr>
            <w:tcW w:w="1078" w:type="pct"/>
            <w:vAlign w:val="center"/>
            <w:hideMark/>
          </w:tcPr>
          <w:p w:rsidRPr="00CE699F" w:rsidR="00DB1E08" w:rsidP="00CE699F" w:rsidRDefault="00DB1E08" w14:paraId="2FC995B9"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0</w:t>
            </w:r>
          </w:p>
        </w:tc>
        <w:tc>
          <w:tcPr>
            <w:tcW w:w="1078" w:type="pct"/>
            <w:vAlign w:val="center"/>
            <w:hideMark/>
          </w:tcPr>
          <w:p w:rsidRPr="00CE699F" w:rsidR="00DB1E08" w:rsidP="00CE699F" w:rsidRDefault="00DB1E08" w14:paraId="6381B997"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0</w:t>
            </w:r>
          </w:p>
        </w:tc>
        <w:tc>
          <w:tcPr>
            <w:tcW w:w="860" w:type="pct"/>
            <w:vAlign w:val="center"/>
            <w:hideMark/>
          </w:tcPr>
          <w:p w:rsidRPr="00CE699F" w:rsidR="00DB1E08" w:rsidP="00CE699F" w:rsidRDefault="00DB1E08" w14:paraId="02B9B877"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$ 91.375</w:t>
            </w:r>
          </w:p>
        </w:tc>
      </w:tr>
      <w:tr w:rsidRPr="00CE699F" w:rsidR="00DB1E08" w:rsidTr="0038515C" w14:paraId="7C6FD34A" w14:textId="77777777">
        <w:trPr>
          <w:trHeight w:val="470"/>
        </w:trPr>
        <w:tc>
          <w:tcPr>
            <w:tcW w:w="1125" w:type="pct"/>
            <w:vAlign w:val="center"/>
            <w:hideMark/>
          </w:tcPr>
          <w:p w:rsidRPr="00CE699F" w:rsidR="00DB1E08" w:rsidP="00CE699F" w:rsidRDefault="00DB1E08" w14:paraId="06524ED8"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Transferencias corrientes</w:t>
            </w:r>
          </w:p>
        </w:tc>
        <w:tc>
          <w:tcPr>
            <w:tcW w:w="860" w:type="pct"/>
            <w:vAlign w:val="center"/>
            <w:hideMark/>
          </w:tcPr>
          <w:p w:rsidRPr="00CE699F" w:rsidR="00DB1E08" w:rsidP="00CE699F" w:rsidRDefault="00DB1E08" w14:paraId="1EA778CE"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$ 2.782.182</w:t>
            </w:r>
          </w:p>
        </w:tc>
        <w:tc>
          <w:tcPr>
            <w:tcW w:w="1078" w:type="pct"/>
            <w:vAlign w:val="center"/>
            <w:hideMark/>
          </w:tcPr>
          <w:p w:rsidRPr="00CE699F" w:rsidR="00DB1E08" w:rsidP="00CE699F" w:rsidRDefault="00DB1E08" w14:paraId="19D2437E"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$ 5.515</w:t>
            </w:r>
          </w:p>
        </w:tc>
        <w:tc>
          <w:tcPr>
            <w:tcW w:w="1078" w:type="pct"/>
            <w:vAlign w:val="center"/>
            <w:hideMark/>
          </w:tcPr>
          <w:p w:rsidRPr="00CE699F" w:rsidR="00DB1E08" w:rsidP="00CE699F" w:rsidRDefault="00DB1E08" w14:paraId="3273E548"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$5707</w:t>
            </w:r>
          </w:p>
        </w:tc>
        <w:tc>
          <w:tcPr>
            <w:tcW w:w="860" w:type="pct"/>
            <w:vAlign w:val="center"/>
            <w:hideMark/>
          </w:tcPr>
          <w:p w:rsidRPr="00CE699F" w:rsidR="00DB1E08" w:rsidP="00CE699F" w:rsidRDefault="00DB1E08" w14:paraId="232FD0F4"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$ 2.782.374</w:t>
            </w:r>
          </w:p>
        </w:tc>
      </w:tr>
      <w:tr w:rsidRPr="00CE699F" w:rsidR="00DB1E08" w:rsidTr="0038515C" w14:paraId="0769B4D9" w14:textId="77777777">
        <w:trPr>
          <w:trHeight w:val="700"/>
        </w:trPr>
        <w:tc>
          <w:tcPr>
            <w:tcW w:w="1125" w:type="pct"/>
            <w:vAlign w:val="center"/>
            <w:hideMark/>
          </w:tcPr>
          <w:p w:rsidRPr="00CE699F" w:rsidR="00DB1E08" w:rsidP="00CE699F" w:rsidRDefault="00DB1E08" w14:paraId="6909B5FE"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Gastos de Comercio. y Producción</w:t>
            </w:r>
          </w:p>
        </w:tc>
        <w:tc>
          <w:tcPr>
            <w:tcW w:w="860" w:type="pct"/>
            <w:vAlign w:val="center"/>
            <w:hideMark/>
          </w:tcPr>
          <w:p w:rsidRPr="00CE699F" w:rsidR="00DB1E08" w:rsidP="00CE699F" w:rsidRDefault="00DB1E08" w14:paraId="3497B1B5"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$ 77.833</w:t>
            </w:r>
          </w:p>
        </w:tc>
        <w:tc>
          <w:tcPr>
            <w:tcW w:w="1078" w:type="pct"/>
            <w:vAlign w:val="center"/>
            <w:hideMark/>
          </w:tcPr>
          <w:p w:rsidRPr="00CE699F" w:rsidR="00DB1E08" w:rsidP="00CE699F" w:rsidRDefault="00DB1E08" w14:paraId="3A893DD4"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$ 107</w:t>
            </w:r>
          </w:p>
        </w:tc>
        <w:tc>
          <w:tcPr>
            <w:tcW w:w="1078" w:type="pct"/>
            <w:vAlign w:val="center"/>
            <w:hideMark/>
          </w:tcPr>
          <w:p w:rsidRPr="00CE699F" w:rsidR="00DB1E08" w:rsidP="00CE699F" w:rsidRDefault="00DB1E08" w14:paraId="3E15B606"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0</w:t>
            </w:r>
          </w:p>
        </w:tc>
        <w:tc>
          <w:tcPr>
            <w:tcW w:w="860" w:type="pct"/>
            <w:vAlign w:val="center"/>
            <w:hideMark/>
          </w:tcPr>
          <w:p w:rsidRPr="00CE699F" w:rsidR="00DB1E08" w:rsidP="00CE699F" w:rsidRDefault="00DB1E08" w14:paraId="61F4CD02"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$ 77.725</w:t>
            </w:r>
          </w:p>
        </w:tc>
      </w:tr>
      <w:tr w:rsidRPr="00CE699F" w:rsidR="00DB1E08" w:rsidTr="0038515C" w14:paraId="376FE97A" w14:textId="77777777">
        <w:trPr>
          <w:trHeight w:val="930"/>
        </w:trPr>
        <w:tc>
          <w:tcPr>
            <w:tcW w:w="1125" w:type="pct"/>
            <w:vAlign w:val="center"/>
            <w:hideMark/>
          </w:tcPr>
          <w:p w:rsidRPr="00CE699F" w:rsidR="00DB1E08" w:rsidP="00CE699F" w:rsidRDefault="00DB1E08" w14:paraId="7D4BAA9E"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Gastos por tributos, multas sanciones e intereses</w:t>
            </w:r>
          </w:p>
        </w:tc>
        <w:tc>
          <w:tcPr>
            <w:tcW w:w="860" w:type="pct"/>
            <w:vAlign w:val="center"/>
            <w:hideMark/>
          </w:tcPr>
          <w:p w:rsidRPr="00CE699F" w:rsidR="00DB1E08" w:rsidP="00CE699F" w:rsidRDefault="00DB1E08" w14:paraId="5ADD5BAB"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$ 24.798</w:t>
            </w:r>
          </w:p>
        </w:tc>
        <w:tc>
          <w:tcPr>
            <w:tcW w:w="1078" w:type="pct"/>
            <w:vAlign w:val="center"/>
            <w:hideMark/>
          </w:tcPr>
          <w:p w:rsidRPr="00CE699F" w:rsidR="00DB1E08" w:rsidP="00CE699F" w:rsidRDefault="00DB1E08" w14:paraId="79129B17"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0</w:t>
            </w:r>
          </w:p>
        </w:tc>
        <w:tc>
          <w:tcPr>
            <w:tcW w:w="1078" w:type="pct"/>
            <w:vAlign w:val="center"/>
            <w:hideMark/>
          </w:tcPr>
          <w:p w:rsidRPr="00CE699F" w:rsidR="00DB1E08" w:rsidP="00CE699F" w:rsidRDefault="00DB1E08" w14:paraId="59D4B7BE"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$ 107</w:t>
            </w:r>
          </w:p>
        </w:tc>
        <w:tc>
          <w:tcPr>
            <w:tcW w:w="860" w:type="pct"/>
            <w:vAlign w:val="center"/>
            <w:hideMark/>
          </w:tcPr>
          <w:p w:rsidRPr="00CE699F" w:rsidR="00DB1E08" w:rsidP="00CE699F" w:rsidRDefault="00DB1E08" w14:paraId="5099CD90"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$ 24.905</w:t>
            </w:r>
          </w:p>
        </w:tc>
      </w:tr>
      <w:tr w:rsidRPr="00CE699F" w:rsidR="00DB1E08" w:rsidTr="0038515C" w14:paraId="14568FD8" w14:textId="77777777">
        <w:trPr>
          <w:trHeight w:val="470"/>
        </w:trPr>
        <w:tc>
          <w:tcPr>
            <w:tcW w:w="1125" w:type="pct"/>
            <w:shd w:val="clear" w:color="000000" w:fill="BFBFBF"/>
            <w:vAlign w:val="center"/>
            <w:hideMark/>
          </w:tcPr>
          <w:p w:rsidRPr="00CE699F" w:rsidR="00DB1E08" w:rsidP="00CE699F" w:rsidRDefault="00DB1E08" w14:paraId="5B5CB0D4"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Servicio a la Deuda</w:t>
            </w:r>
          </w:p>
        </w:tc>
        <w:tc>
          <w:tcPr>
            <w:tcW w:w="860" w:type="pct"/>
            <w:vAlign w:val="center"/>
            <w:hideMark/>
          </w:tcPr>
          <w:p w:rsidRPr="00CE699F" w:rsidR="00DB1E08" w:rsidP="00CE699F" w:rsidRDefault="00DB1E08" w14:paraId="0DF8A81C"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$ 3.460</w:t>
            </w:r>
          </w:p>
        </w:tc>
        <w:tc>
          <w:tcPr>
            <w:tcW w:w="1078" w:type="pct"/>
            <w:vAlign w:val="center"/>
            <w:hideMark/>
          </w:tcPr>
          <w:p w:rsidRPr="00CE699F" w:rsidR="00DB1E08" w:rsidP="00CE699F" w:rsidRDefault="00DB1E08" w14:paraId="1755EDA7"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0</w:t>
            </w:r>
          </w:p>
        </w:tc>
        <w:tc>
          <w:tcPr>
            <w:tcW w:w="1078" w:type="pct"/>
            <w:vAlign w:val="center"/>
            <w:hideMark/>
          </w:tcPr>
          <w:p w:rsidRPr="00CE699F" w:rsidR="00DB1E08" w:rsidP="00CE699F" w:rsidRDefault="00DB1E08" w14:paraId="568ACAFA"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0</w:t>
            </w:r>
          </w:p>
        </w:tc>
        <w:tc>
          <w:tcPr>
            <w:tcW w:w="860" w:type="pct"/>
            <w:vAlign w:val="center"/>
            <w:hideMark/>
          </w:tcPr>
          <w:p w:rsidRPr="00CE699F" w:rsidR="00DB1E08" w:rsidP="00CE699F" w:rsidRDefault="00DB1E08" w14:paraId="2599B236"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$ 3.460</w:t>
            </w:r>
          </w:p>
        </w:tc>
      </w:tr>
      <w:tr w:rsidRPr="00CE699F" w:rsidR="00DB1E08" w:rsidTr="0038515C" w14:paraId="00CFEEBC" w14:textId="77777777">
        <w:trPr>
          <w:trHeight w:val="470"/>
        </w:trPr>
        <w:tc>
          <w:tcPr>
            <w:tcW w:w="1125" w:type="pct"/>
            <w:vAlign w:val="center"/>
            <w:hideMark/>
          </w:tcPr>
          <w:p w:rsidRPr="00CE699F" w:rsidR="00DB1E08" w:rsidP="00CE699F" w:rsidRDefault="00DB1E08" w14:paraId="57D91D38"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Otras Cuentas Por Pagar</w:t>
            </w:r>
          </w:p>
        </w:tc>
        <w:tc>
          <w:tcPr>
            <w:tcW w:w="860" w:type="pct"/>
            <w:vAlign w:val="center"/>
            <w:hideMark/>
          </w:tcPr>
          <w:p w:rsidRPr="00CE699F" w:rsidR="00DB1E08" w:rsidP="00CE699F" w:rsidRDefault="00DB1E08" w14:paraId="3F42DFAF"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$ 3.460</w:t>
            </w:r>
          </w:p>
        </w:tc>
        <w:tc>
          <w:tcPr>
            <w:tcW w:w="1078" w:type="pct"/>
            <w:vAlign w:val="center"/>
            <w:hideMark/>
          </w:tcPr>
          <w:p w:rsidRPr="00CE699F" w:rsidR="00DB1E08" w:rsidP="00CE699F" w:rsidRDefault="00DB1E08" w14:paraId="038C1D76"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0</w:t>
            </w:r>
          </w:p>
        </w:tc>
        <w:tc>
          <w:tcPr>
            <w:tcW w:w="1078" w:type="pct"/>
            <w:vAlign w:val="center"/>
            <w:hideMark/>
          </w:tcPr>
          <w:p w:rsidRPr="00CE699F" w:rsidR="00DB1E08" w:rsidP="00CE699F" w:rsidRDefault="00DB1E08" w14:paraId="3152E606"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0</w:t>
            </w:r>
          </w:p>
        </w:tc>
        <w:tc>
          <w:tcPr>
            <w:tcW w:w="860" w:type="pct"/>
            <w:vAlign w:val="center"/>
            <w:hideMark/>
          </w:tcPr>
          <w:p w:rsidRPr="00CE699F" w:rsidR="00DB1E08" w:rsidP="00CE699F" w:rsidRDefault="00DB1E08" w14:paraId="544F49D2"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$ 3.460</w:t>
            </w:r>
          </w:p>
        </w:tc>
      </w:tr>
      <w:tr w:rsidRPr="00CE699F" w:rsidR="00DB1E08" w:rsidTr="0038515C" w14:paraId="1A333A26" w14:textId="77777777">
        <w:trPr>
          <w:trHeight w:val="470"/>
        </w:trPr>
        <w:tc>
          <w:tcPr>
            <w:tcW w:w="1125" w:type="pct"/>
            <w:vAlign w:val="center"/>
            <w:hideMark/>
          </w:tcPr>
          <w:p w:rsidRPr="00CE699F" w:rsidR="00DB1E08" w:rsidP="00CE699F" w:rsidRDefault="00DB1E08" w14:paraId="440655EC"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Aportes al Fondo de Contingencias</w:t>
            </w:r>
          </w:p>
        </w:tc>
        <w:tc>
          <w:tcPr>
            <w:tcW w:w="860" w:type="pct"/>
            <w:vAlign w:val="center"/>
            <w:hideMark/>
          </w:tcPr>
          <w:p w:rsidRPr="00CE699F" w:rsidR="00DB1E08" w:rsidP="00CE699F" w:rsidRDefault="00DB1E08" w14:paraId="421B1E58"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0</w:t>
            </w:r>
          </w:p>
        </w:tc>
        <w:tc>
          <w:tcPr>
            <w:tcW w:w="1078" w:type="pct"/>
            <w:vAlign w:val="center"/>
            <w:hideMark/>
          </w:tcPr>
          <w:p w:rsidRPr="00CE699F" w:rsidR="00DB1E08" w:rsidP="00CE699F" w:rsidRDefault="00DB1E08" w14:paraId="2567F295"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0</w:t>
            </w:r>
          </w:p>
        </w:tc>
        <w:tc>
          <w:tcPr>
            <w:tcW w:w="1078" w:type="pct"/>
            <w:vAlign w:val="center"/>
            <w:hideMark/>
          </w:tcPr>
          <w:p w:rsidRPr="00CE699F" w:rsidR="00DB1E08" w:rsidP="00CE699F" w:rsidRDefault="00DB1E08" w14:paraId="1FD20517"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0</w:t>
            </w:r>
          </w:p>
        </w:tc>
        <w:tc>
          <w:tcPr>
            <w:tcW w:w="860" w:type="pct"/>
            <w:vAlign w:val="center"/>
            <w:hideMark/>
          </w:tcPr>
          <w:p w:rsidRPr="00CE699F" w:rsidR="00DB1E08" w:rsidP="00CE699F" w:rsidRDefault="00DB1E08" w14:paraId="5719F75B"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0</w:t>
            </w:r>
          </w:p>
        </w:tc>
      </w:tr>
      <w:tr w:rsidRPr="00CE699F" w:rsidR="00DB1E08" w:rsidTr="0038515C" w14:paraId="172AE258" w14:textId="77777777">
        <w:trPr>
          <w:trHeight w:val="300"/>
        </w:trPr>
        <w:tc>
          <w:tcPr>
            <w:tcW w:w="1125" w:type="pct"/>
            <w:shd w:val="clear" w:color="000000" w:fill="BFBFBF"/>
            <w:vAlign w:val="center"/>
            <w:hideMark/>
          </w:tcPr>
          <w:p w:rsidRPr="00CE699F" w:rsidR="00DB1E08" w:rsidP="00CE699F" w:rsidRDefault="00DB1E08" w14:paraId="3A4A8059"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Inversión</w:t>
            </w:r>
          </w:p>
        </w:tc>
        <w:tc>
          <w:tcPr>
            <w:tcW w:w="860" w:type="pct"/>
            <w:vAlign w:val="center"/>
            <w:hideMark/>
          </w:tcPr>
          <w:p w:rsidRPr="00CE699F" w:rsidR="00DB1E08" w:rsidP="00CE699F" w:rsidRDefault="00DB1E08" w14:paraId="572AA72E"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$ 10.141.820</w:t>
            </w:r>
          </w:p>
        </w:tc>
        <w:tc>
          <w:tcPr>
            <w:tcW w:w="1078" w:type="pct"/>
            <w:vAlign w:val="center"/>
            <w:hideMark/>
          </w:tcPr>
          <w:p w:rsidRPr="00CE699F" w:rsidR="00DB1E08" w:rsidP="00CE699F" w:rsidRDefault="00DB1E08" w14:paraId="1A5C692E"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0</w:t>
            </w:r>
          </w:p>
        </w:tc>
        <w:tc>
          <w:tcPr>
            <w:tcW w:w="1078" w:type="pct"/>
            <w:vAlign w:val="center"/>
            <w:hideMark/>
          </w:tcPr>
          <w:p w:rsidRPr="00CE699F" w:rsidR="00DB1E08" w:rsidP="00CE699F" w:rsidRDefault="00DB1E08" w14:paraId="663BB88A"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0</w:t>
            </w:r>
          </w:p>
        </w:tc>
        <w:tc>
          <w:tcPr>
            <w:tcW w:w="860" w:type="pct"/>
            <w:vAlign w:val="center"/>
            <w:hideMark/>
          </w:tcPr>
          <w:p w:rsidRPr="00CE699F" w:rsidR="00DB1E08" w:rsidP="00CE699F" w:rsidRDefault="00DB1E08" w14:paraId="1C237421"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$ 10.141.820</w:t>
            </w:r>
          </w:p>
        </w:tc>
      </w:tr>
      <w:tr w:rsidRPr="00CE699F" w:rsidR="00DB1E08" w:rsidTr="0038515C" w14:paraId="506D984C" w14:textId="77777777">
        <w:trPr>
          <w:trHeight w:val="300"/>
        </w:trPr>
        <w:tc>
          <w:tcPr>
            <w:tcW w:w="1125" w:type="pct"/>
            <w:shd w:val="clear" w:color="000000" w:fill="BFBFBF"/>
            <w:vAlign w:val="center"/>
            <w:hideMark/>
          </w:tcPr>
          <w:p w:rsidRPr="00CE699F" w:rsidR="00DB1E08" w:rsidP="00CE699F" w:rsidRDefault="00DB1E08" w14:paraId="633A00F7" w14:textId="77777777">
            <w:pPr>
              <w:spacing w:after="0" w:line="240" w:lineRule="auto"/>
              <w:jc w:val="center"/>
              <w:rPr>
                <w:rFonts w:ascii="Verdana" w:hAnsi="Verdana" w:eastAsia="Times New Roman" w:cs="Times New Roman"/>
                <w:b/>
                <w:bCs/>
                <w:color w:val="000000"/>
                <w:sz w:val="18"/>
                <w:szCs w:val="18"/>
                <w:lang w:eastAsia="es-CO"/>
              </w:rPr>
            </w:pPr>
            <w:r w:rsidRPr="00CE699F">
              <w:rPr>
                <w:rFonts w:ascii="Verdana" w:hAnsi="Verdana" w:eastAsia="Times New Roman" w:cs="Times New Roman"/>
                <w:b/>
                <w:bCs/>
                <w:color w:val="000000"/>
                <w:sz w:val="18"/>
                <w:szCs w:val="18"/>
                <w:lang w:eastAsia="es-CO"/>
              </w:rPr>
              <w:t>Total, Sector</w:t>
            </w:r>
          </w:p>
        </w:tc>
        <w:tc>
          <w:tcPr>
            <w:tcW w:w="860" w:type="pct"/>
            <w:shd w:val="clear" w:color="000000" w:fill="BFBFBF"/>
            <w:vAlign w:val="center"/>
            <w:hideMark/>
          </w:tcPr>
          <w:p w:rsidRPr="00CE699F" w:rsidR="00DB1E08" w:rsidP="00CE699F" w:rsidRDefault="00DB1E08" w14:paraId="4343EA02"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$13.388.541</w:t>
            </w:r>
          </w:p>
        </w:tc>
        <w:tc>
          <w:tcPr>
            <w:tcW w:w="1078" w:type="pct"/>
            <w:shd w:val="clear" w:color="000000" w:fill="BFBFBF"/>
            <w:vAlign w:val="center"/>
            <w:hideMark/>
          </w:tcPr>
          <w:p w:rsidRPr="00CE699F" w:rsidR="00DB1E08" w:rsidP="00CE699F" w:rsidRDefault="00DB1E08" w14:paraId="1F75263F"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$ 5.992</w:t>
            </w:r>
          </w:p>
        </w:tc>
        <w:tc>
          <w:tcPr>
            <w:tcW w:w="1078" w:type="pct"/>
            <w:shd w:val="clear" w:color="000000" w:fill="BFBFBF"/>
            <w:vAlign w:val="center"/>
            <w:hideMark/>
          </w:tcPr>
          <w:p w:rsidRPr="00CE699F" w:rsidR="00DB1E08" w:rsidP="00CE699F" w:rsidRDefault="00DB1E08" w14:paraId="6C48F85B"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$ 5.992</w:t>
            </w:r>
          </w:p>
        </w:tc>
        <w:tc>
          <w:tcPr>
            <w:tcW w:w="860" w:type="pct"/>
            <w:shd w:val="clear" w:color="000000" w:fill="BFBFBF"/>
            <w:vAlign w:val="center"/>
            <w:hideMark/>
          </w:tcPr>
          <w:p w:rsidRPr="00CE699F" w:rsidR="00DB1E08" w:rsidP="00CE699F" w:rsidRDefault="00DB1E08" w14:paraId="466CA11C" w14:textId="77777777">
            <w:pPr>
              <w:spacing w:after="0" w:line="240" w:lineRule="auto"/>
              <w:jc w:val="center"/>
              <w:rPr>
                <w:rFonts w:ascii="Verdana" w:hAnsi="Verdana" w:eastAsia="Times New Roman" w:cs="Times New Roman"/>
                <w:color w:val="000000"/>
                <w:sz w:val="18"/>
                <w:szCs w:val="18"/>
                <w:lang w:eastAsia="es-CO"/>
              </w:rPr>
            </w:pPr>
            <w:r w:rsidRPr="00CE699F">
              <w:rPr>
                <w:rFonts w:ascii="Verdana" w:hAnsi="Verdana" w:eastAsia="Times New Roman" w:cs="Times New Roman"/>
                <w:color w:val="000000"/>
                <w:sz w:val="18"/>
                <w:szCs w:val="18"/>
                <w:lang w:eastAsia="es-CO"/>
              </w:rPr>
              <w:t>$13.388.541</w:t>
            </w:r>
          </w:p>
        </w:tc>
      </w:tr>
    </w:tbl>
    <w:p w:rsidRPr="00CE699F" w:rsidR="00DB1E08" w:rsidP="00793FC7" w:rsidRDefault="00DB1E08" w14:paraId="17786F62" w14:textId="3F1D9198">
      <w:pPr>
        <w:pStyle w:val="Fuente"/>
        <w:spacing w:after="0"/>
        <w:rPr>
          <w:rFonts w:ascii="Verdana" w:hAnsi="Verdana"/>
        </w:rPr>
      </w:pPr>
      <w:r w:rsidRPr="30CF4445" w:rsidR="6B5B0B4F">
        <w:rPr>
          <w:rFonts w:ascii="Verdana" w:hAnsi="Verdana"/>
        </w:rPr>
        <w:t>Fuente: Elaboración propia del Grupo de Programación y Gestión Estratégica de</w:t>
      </w:r>
      <w:r w:rsidRPr="30CF4445" w:rsidR="4C046B6C">
        <w:rPr>
          <w:rFonts w:ascii="Verdana" w:hAnsi="Verdana"/>
        </w:rPr>
        <w:t xml:space="preserve"> </w:t>
      </w:r>
      <w:r w:rsidRPr="30CF4445" w:rsidR="6B5B0B4F">
        <w:rPr>
          <w:rFonts w:ascii="Verdana" w:hAnsi="Verdana"/>
        </w:rPr>
        <w:t xml:space="preserve">Proyectos con información del SIIF Nación del MinHacienda. </w:t>
      </w:r>
      <w:commentRangeStart w:id="1609538493"/>
      <w:r w:rsidRPr="30CF4445" w:rsidR="6B5B0B4F">
        <w:rPr>
          <w:rFonts w:ascii="Verdana" w:hAnsi="Verdana"/>
        </w:rPr>
        <w:t>- Corte a 31 de abril 2026</w:t>
      </w:r>
      <w:commentRangeEnd w:id="1609538493"/>
      <w:r>
        <w:rPr>
          <w:rStyle w:val="CommentReference"/>
        </w:rPr>
        <w:commentReference w:id="1609538493"/>
      </w:r>
    </w:p>
    <w:p w:rsidRPr="00DB1E08" w:rsidR="00DB1E08" w:rsidP="006A0A13" w:rsidRDefault="00DB1E08" w14:paraId="0255B8EE" w14:textId="77777777">
      <w:pPr>
        <w:spacing w:after="0" w:line="360" w:lineRule="auto"/>
      </w:pPr>
    </w:p>
    <w:p w:rsidR="00A82055" w:rsidRDefault="1689A91F" w14:paraId="2DA42A06" w14:textId="77777777">
      <w:pPr>
        <w:pStyle w:val="Ttulo2"/>
        <w:numPr>
          <w:ilvl w:val="1"/>
          <w:numId w:val="42"/>
        </w:numPr>
        <w:spacing w:before="0" w:after="0" w:line="360" w:lineRule="auto"/>
        <w:rPr>
          <w:rFonts w:ascii="Verdana" w:hAnsi="Verdana"/>
          <w:b/>
          <w:bCs/>
          <w:color w:val="auto"/>
          <w:sz w:val="24"/>
          <w:szCs w:val="24"/>
        </w:rPr>
      </w:pPr>
      <w:bookmarkStart w:name="_Toc233996730" w:id="13"/>
      <w:r w:rsidRPr="180099B3">
        <w:rPr>
          <w:rFonts w:ascii="Verdana" w:hAnsi="Verdana"/>
          <w:b/>
          <w:bCs/>
          <w:color w:val="auto"/>
          <w:sz w:val="24"/>
          <w:szCs w:val="24"/>
        </w:rPr>
        <w:t xml:space="preserve">Ejecución </w:t>
      </w:r>
      <w:r w:rsidRPr="180099B3" w:rsidR="394D5557">
        <w:rPr>
          <w:rFonts w:ascii="Verdana" w:hAnsi="Verdana"/>
          <w:b/>
          <w:bCs/>
          <w:color w:val="auto"/>
          <w:sz w:val="24"/>
          <w:szCs w:val="24"/>
        </w:rPr>
        <w:t>presupuestal (</w:t>
      </w:r>
      <w:r w:rsidRPr="180099B3">
        <w:rPr>
          <w:rFonts w:ascii="Verdana" w:hAnsi="Verdana"/>
          <w:b/>
          <w:bCs/>
          <w:color w:val="auto"/>
          <w:sz w:val="24"/>
          <w:szCs w:val="24"/>
        </w:rPr>
        <w:t>Por vigencia- Anexos)</w:t>
      </w:r>
      <w:bookmarkEnd w:id="13"/>
    </w:p>
    <w:p w:rsidRPr="00793FC7" w:rsidR="00793FC7" w:rsidP="006A0A13" w:rsidRDefault="00793FC7" w14:paraId="0DECFE6E" w14:textId="77777777">
      <w:pPr>
        <w:spacing w:after="0" w:line="360" w:lineRule="auto"/>
      </w:pPr>
    </w:p>
    <w:p w:rsidR="00793FC7" w:rsidP="006A0A13" w:rsidRDefault="4AECF524" w14:paraId="57E968B3" w14:textId="77777777">
      <w:pPr>
        <w:spacing w:after="0" w:line="360" w:lineRule="auto"/>
        <w:jc w:val="both"/>
        <w:rPr>
          <w:rFonts w:ascii="Verdana" w:hAnsi="Verdana"/>
          <w:sz w:val="24"/>
          <w:szCs w:val="24"/>
        </w:rPr>
      </w:pPr>
      <w:r w:rsidRPr="180099B3">
        <w:rPr>
          <w:rFonts w:ascii="Verdana" w:hAnsi="Verdana"/>
          <w:sz w:val="24"/>
          <w:szCs w:val="24"/>
        </w:rPr>
        <w:t xml:space="preserve">Durante el periodo comprendido entre </w:t>
      </w:r>
      <w:r w:rsidRPr="180099B3" w:rsidR="0F12306C">
        <w:rPr>
          <w:rFonts w:ascii="Verdana" w:hAnsi="Verdana"/>
          <w:sz w:val="24"/>
          <w:szCs w:val="24"/>
        </w:rPr>
        <w:t>agosto</w:t>
      </w:r>
      <w:r w:rsidRPr="180099B3">
        <w:rPr>
          <w:rFonts w:ascii="Verdana" w:hAnsi="Verdana"/>
          <w:sz w:val="24"/>
          <w:szCs w:val="24"/>
        </w:rPr>
        <w:t xml:space="preserve"> de 2022 y abril de 2026, la gestión presupuestal del Sector de Minas y Energía evidencia una dinámica de ajuste permanente en la asignación y administración de los recursos de inversión, en función de prioridades sectoriales, necesidades de financiación y decisiones de política pública orientadas al cumplimiento de metas institucionales. En términos generales, el comportamiento presupuestal muestra una concentración de recursos en los programas relacionados con acceso a servicios energéticos, consolidación productiva del sector eléctrico y sostenimiento de instrumentos de gestión sectorial, lo cual refleja la priorización de acciones orientadas a cobertura, confiabilidad energética, transición energética y fortalecimiento institucional.</w:t>
      </w:r>
    </w:p>
    <w:p w:rsidRPr="00793FC7" w:rsidR="00793FC7" w:rsidP="006A0A13" w:rsidRDefault="00793FC7" w14:paraId="30627159" w14:textId="77777777">
      <w:pPr>
        <w:spacing w:after="0" w:line="360" w:lineRule="auto"/>
        <w:jc w:val="both"/>
        <w:rPr>
          <w:rFonts w:ascii="Verdana" w:hAnsi="Verdana"/>
          <w:sz w:val="24"/>
          <w:szCs w:val="24"/>
        </w:rPr>
      </w:pPr>
    </w:p>
    <w:p w:rsidR="00793FC7" w:rsidP="006A0A13" w:rsidRDefault="00793FC7" w14:paraId="4BA32066" w14:textId="77777777">
      <w:pPr>
        <w:spacing w:after="0" w:line="360" w:lineRule="auto"/>
        <w:jc w:val="both"/>
        <w:rPr>
          <w:rFonts w:ascii="Verdana" w:hAnsi="Verdana"/>
          <w:sz w:val="24"/>
          <w:szCs w:val="24"/>
        </w:rPr>
      </w:pPr>
      <w:r w:rsidRPr="00793FC7">
        <w:rPr>
          <w:rFonts w:ascii="Verdana" w:hAnsi="Verdana"/>
          <w:sz w:val="24"/>
          <w:szCs w:val="24"/>
        </w:rPr>
        <w:t>A lo largo del periodo analizado se observa igualmente que la estructura presupuestal del sector presenta modificaciones durante cada vigencia mediante reducciones, adiciones y ajustes internos de apropiación. Estas variaciones responden a la dinámica propia de la programación presupuestal, la disponibilidad de recursos y la necesidad de armonizar la ejecución financiera con el avance técnico, operativo y contractual de los proyectos de inversión.</w:t>
      </w:r>
    </w:p>
    <w:p w:rsidRPr="00793FC7" w:rsidR="00793FC7" w:rsidP="006A0A13" w:rsidRDefault="00793FC7" w14:paraId="4C1EC451" w14:textId="77777777">
      <w:pPr>
        <w:spacing w:after="0" w:line="360" w:lineRule="auto"/>
        <w:jc w:val="both"/>
        <w:rPr>
          <w:rFonts w:ascii="Verdana" w:hAnsi="Verdana"/>
          <w:sz w:val="24"/>
          <w:szCs w:val="24"/>
        </w:rPr>
      </w:pPr>
    </w:p>
    <w:p w:rsidRPr="0038515C" w:rsidR="00793FC7" w:rsidRDefault="00793FC7" w14:paraId="535E3A68" w14:textId="77777777">
      <w:pPr>
        <w:pStyle w:val="Prrafodelista"/>
        <w:numPr>
          <w:ilvl w:val="2"/>
          <w:numId w:val="42"/>
        </w:numPr>
        <w:spacing w:after="0" w:line="360" w:lineRule="auto"/>
        <w:jc w:val="both"/>
        <w:rPr>
          <w:rFonts w:ascii="Verdana" w:hAnsi="Verdana"/>
          <w:b/>
          <w:bCs/>
          <w:sz w:val="24"/>
          <w:szCs w:val="24"/>
        </w:rPr>
      </w:pPr>
      <w:r w:rsidRPr="0038515C">
        <w:rPr>
          <w:rFonts w:ascii="Verdana" w:hAnsi="Verdana"/>
          <w:b/>
          <w:bCs/>
          <w:sz w:val="24"/>
          <w:szCs w:val="24"/>
        </w:rPr>
        <w:t>Distribución de recursos por vigencia y sector</w:t>
      </w:r>
      <w:r w:rsidRPr="0038515C" w:rsidR="0038515C">
        <w:rPr>
          <w:rFonts w:ascii="Verdana" w:hAnsi="Verdana"/>
          <w:b/>
          <w:bCs/>
          <w:sz w:val="24"/>
          <w:szCs w:val="24"/>
        </w:rPr>
        <w:t xml:space="preserve"> </w:t>
      </w:r>
    </w:p>
    <w:p w:rsidR="00793FC7" w:rsidP="006A0A13" w:rsidRDefault="00793FC7" w14:paraId="60F37F98" w14:textId="77777777">
      <w:pPr>
        <w:spacing w:after="0" w:line="360" w:lineRule="auto"/>
        <w:jc w:val="both"/>
        <w:rPr>
          <w:rFonts w:ascii="Verdana" w:hAnsi="Verdana"/>
          <w:b/>
          <w:bCs/>
          <w:sz w:val="24"/>
          <w:szCs w:val="24"/>
        </w:rPr>
      </w:pPr>
    </w:p>
    <w:p w:rsidRPr="00793FC7" w:rsidR="00793FC7" w:rsidP="006A0A13" w:rsidRDefault="00793FC7" w14:paraId="7872E5EC" w14:textId="77777777">
      <w:pPr>
        <w:spacing w:after="0" w:line="360" w:lineRule="auto"/>
        <w:jc w:val="both"/>
        <w:rPr>
          <w:rFonts w:ascii="Verdana" w:hAnsi="Verdana"/>
          <w:b/>
          <w:bCs/>
          <w:sz w:val="24"/>
          <w:szCs w:val="24"/>
        </w:rPr>
      </w:pPr>
      <w:r w:rsidRPr="00793FC7">
        <w:rPr>
          <w:rFonts w:ascii="Verdana" w:hAnsi="Verdana"/>
          <w:b/>
          <w:bCs/>
          <w:sz w:val="24"/>
          <w:szCs w:val="24"/>
        </w:rPr>
        <w:t>Vigencia 2022</w:t>
      </w:r>
    </w:p>
    <w:p w:rsidR="00793FC7" w:rsidP="006A0A13" w:rsidRDefault="00793FC7" w14:paraId="6AEB8AAA" w14:textId="77777777">
      <w:pPr>
        <w:spacing w:after="0" w:line="360" w:lineRule="auto"/>
        <w:jc w:val="both"/>
        <w:rPr>
          <w:rFonts w:ascii="Verdana" w:hAnsi="Verdana"/>
          <w:sz w:val="24"/>
          <w:szCs w:val="24"/>
        </w:rPr>
      </w:pPr>
    </w:p>
    <w:p w:rsidRPr="00793FC7" w:rsidR="00793FC7" w:rsidP="006A0A13" w:rsidRDefault="00793FC7" w14:paraId="69338661" w14:textId="71052C6B">
      <w:pPr>
        <w:spacing w:after="0" w:line="360" w:lineRule="auto"/>
        <w:jc w:val="both"/>
        <w:rPr>
          <w:rFonts w:ascii="Verdana" w:hAnsi="Verdana"/>
          <w:sz w:val="24"/>
          <w:szCs w:val="24"/>
        </w:rPr>
      </w:pPr>
      <w:r w:rsidRPr="30CF4445" w:rsidR="4C046B6C">
        <w:rPr>
          <w:rFonts w:ascii="Verdana" w:hAnsi="Verdana"/>
          <w:sz w:val="24"/>
          <w:szCs w:val="24"/>
        </w:rPr>
        <w:t xml:space="preserve">De acuerdo con el Decreto 1793 del 21 diciembre de 2021, </w:t>
      </w:r>
      <w:r w:rsidRPr="30CF4445" w:rsidR="43ED1012">
        <w:rPr>
          <w:rFonts w:ascii="Verdana" w:hAnsi="Verdana"/>
          <w:sz w:val="24"/>
          <w:szCs w:val="24"/>
        </w:rPr>
        <w:t>p</w:t>
      </w:r>
      <w:r w:rsidRPr="30CF4445" w:rsidR="4C046B6C">
        <w:rPr>
          <w:rFonts w:ascii="Verdana" w:hAnsi="Verdana"/>
          <w:sz w:val="24"/>
          <w:szCs w:val="24"/>
        </w:rPr>
        <w:t>or el cual se liquida el Presupuesto General de la Nación para la vigencia fiscal de 2022, se detallan las apropiaciones, se clasifican y definen los gastos, a continuación, se detalla la distribución por programa presupuestal asociado al Sector Minas y Energía:</w:t>
      </w:r>
    </w:p>
    <w:p w:rsidRPr="00793FC7" w:rsidR="00793FC7" w:rsidRDefault="00793FC7" w14:paraId="78B7235B" w14:textId="77777777">
      <w:pPr>
        <w:pStyle w:val="Prrafodelista"/>
        <w:numPr>
          <w:ilvl w:val="0"/>
          <w:numId w:val="71"/>
        </w:numPr>
        <w:spacing w:after="0" w:line="360" w:lineRule="auto"/>
        <w:jc w:val="both"/>
        <w:rPr>
          <w:rFonts w:ascii="Verdana" w:hAnsi="Verdana"/>
          <w:sz w:val="24"/>
          <w:szCs w:val="24"/>
        </w:rPr>
      </w:pPr>
      <w:r w:rsidRPr="00793FC7">
        <w:rPr>
          <w:rFonts w:ascii="Verdana" w:hAnsi="Verdana"/>
          <w:sz w:val="24"/>
          <w:szCs w:val="24"/>
        </w:rPr>
        <w:t xml:space="preserve">2101: Acceso al Servicio Público Domiciliario de Gas Combustible: </w:t>
      </w:r>
    </w:p>
    <w:p w:rsidRPr="00793FC7" w:rsidR="00793FC7" w:rsidP="006A0A13" w:rsidRDefault="00793FC7" w14:paraId="24D45E62" w14:textId="77777777">
      <w:pPr>
        <w:pStyle w:val="Prrafodelista"/>
        <w:spacing w:after="0" w:line="360" w:lineRule="auto"/>
        <w:jc w:val="both"/>
        <w:rPr>
          <w:rFonts w:ascii="Verdana" w:hAnsi="Verdana"/>
          <w:sz w:val="24"/>
          <w:szCs w:val="24"/>
        </w:rPr>
      </w:pPr>
      <w:r w:rsidRPr="00793FC7">
        <w:rPr>
          <w:rFonts w:ascii="Verdana" w:hAnsi="Verdana"/>
          <w:sz w:val="24"/>
          <w:szCs w:val="24"/>
        </w:rPr>
        <w:t>$1.167.005 millones.</w:t>
      </w:r>
    </w:p>
    <w:p w:rsidRPr="00793FC7" w:rsidR="00793FC7" w:rsidRDefault="00793FC7" w14:paraId="0235A70D" w14:textId="77777777">
      <w:pPr>
        <w:pStyle w:val="Prrafodelista"/>
        <w:numPr>
          <w:ilvl w:val="0"/>
          <w:numId w:val="71"/>
        </w:numPr>
        <w:spacing w:after="0" w:line="360" w:lineRule="auto"/>
        <w:jc w:val="both"/>
        <w:rPr>
          <w:rFonts w:ascii="Verdana" w:hAnsi="Verdana"/>
          <w:sz w:val="24"/>
          <w:szCs w:val="24"/>
        </w:rPr>
      </w:pPr>
      <w:r w:rsidRPr="00793FC7">
        <w:rPr>
          <w:rFonts w:ascii="Verdana" w:hAnsi="Verdana"/>
          <w:sz w:val="24"/>
          <w:szCs w:val="24"/>
        </w:rPr>
        <w:t>2102: Consolidación Productiva del Sector de Energía Eléctrica:</w:t>
      </w:r>
    </w:p>
    <w:p w:rsidRPr="00793FC7" w:rsidR="00793FC7" w:rsidP="006A0A13" w:rsidRDefault="00793FC7" w14:paraId="5F566235" w14:textId="77777777">
      <w:pPr>
        <w:pStyle w:val="Prrafodelista"/>
        <w:spacing w:after="0" w:line="360" w:lineRule="auto"/>
        <w:jc w:val="both"/>
        <w:rPr>
          <w:rFonts w:ascii="Verdana" w:hAnsi="Verdana"/>
          <w:sz w:val="24"/>
          <w:szCs w:val="24"/>
        </w:rPr>
      </w:pPr>
      <w:r w:rsidRPr="00793FC7">
        <w:rPr>
          <w:rFonts w:ascii="Verdana" w:hAnsi="Verdana"/>
          <w:sz w:val="24"/>
          <w:szCs w:val="24"/>
        </w:rPr>
        <w:t>$ 2.878.911 millones.</w:t>
      </w:r>
    </w:p>
    <w:p w:rsidRPr="00793FC7" w:rsidR="00793FC7" w:rsidRDefault="00793FC7" w14:paraId="100265D9" w14:textId="77777777">
      <w:pPr>
        <w:pStyle w:val="Prrafodelista"/>
        <w:numPr>
          <w:ilvl w:val="0"/>
          <w:numId w:val="71"/>
        </w:numPr>
        <w:spacing w:after="0" w:line="360" w:lineRule="auto"/>
        <w:jc w:val="both"/>
        <w:rPr>
          <w:rFonts w:ascii="Verdana" w:hAnsi="Verdana"/>
          <w:sz w:val="24"/>
          <w:szCs w:val="24"/>
        </w:rPr>
      </w:pPr>
      <w:r w:rsidRPr="00793FC7">
        <w:rPr>
          <w:rFonts w:ascii="Verdana" w:hAnsi="Verdana"/>
          <w:sz w:val="24"/>
          <w:szCs w:val="24"/>
        </w:rPr>
        <w:t xml:space="preserve">2103: Consolidación Productiva del Sector de Hidrocarburos: </w:t>
      </w:r>
    </w:p>
    <w:p w:rsidRPr="00793FC7" w:rsidR="00793FC7" w:rsidP="006A0A13" w:rsidRDefault="00793FC7" w14:paraId="4709F11A" w14:textId="77777777">
      <w:pPr>
        <w:pStyle w:val="Prrafodelista"/>
        <w:spacing w:after="0" w:line="360" w:lineRule="auto"/>
        <w:jc w:val="both"/>
        <w:rPr>
          <w:rFonts w:ascii="Verdana" w:hAnsi="Verdana"/>
          <w:sz w:val="24"/>
          <w:szCs w:val="24"/>
        </w:rPr>
      </w:pPr>
      <w:r w:rsidRPr="00793FC7">
        <w:rPr>
          <w:rFonts w:ascii="Verdana" w:hAnsi="Verdana"/>
          <w:sz w:val="24"/>
          <w:szCs w:val="24"/>
        </w:rPr>
        <w:t>$156.365 millones.</w:t>
      </w:r>
    </w:p>
    <w:p w:rsidRPr="00793FC7" w:rsidR="00793FC7" w:rsidRDefault="00793FC7" w14:paraId="63733FEB" w14:textId="77777777">
      <w:pPr>
        <w:pStyle w:val="Prrafodelista"/>
        <w:numPr>
          <w:ilvl w:val="0"/>
          <w:numId w:val="71"/>
        </w:numPr>
        <w:spacing w:after="0" w:line="360" w:lineRule="auto"/>
        <w:jc w:val="both"/>
        <w:rPr>
          <w:rFonts w:ascii="Verdana" w:hAnsi="Verdana"/>
          <w:sz w:val="24"/>
          <w:szCs w:val="24"/>
        </w:rPr>
      </w:pPr>
      <w:r w:rsidRPr="00793FC7">
        <w:rPr>
          <w:rFonts w:ascii="Verdana" w:hAnsi="Verdana"/>
          <w:sz w:val="24"/>
          <w:szCs w:val="24"/>
        </w:rPr>
        <w:t>2104: Consolidación Productiva del Sector Minero:</w:t>
      </w:r>
    </w:p>
    <w:p w:rsidRPr="00793FC7" w:rsidR="00793FC7" w:rsidP="006A0A13" w:rsidRDefault="00793FC7" w14:paraId="57681387" w14:textId="77777777">
      <w:pPr>
        <w:pStyle w:val="Prrafodelista"/>
        <w:spacing w:after="0" w:line="360" w:lineRule="auto"/>
        <w:jc w:val="both"/>
        <w:rPr>
          <w:rFonts w:ascii="Verdana" w:hAnsi="Verdana"/>
          <w:sz w:val="24"/>
          <w:szCs w:val="24"/>
        </w:rPr>
      </w:pPr>
      <w:r w:rsidRPr="00793FC7">
        <w:rPr>
          <w:rFonts w:ascii="Verdana" w:hAnsi="Verdana"/>
          <w:sz w:val="24"/>
          <w:szCs w:val="24"/>
        </w:rPr>
        <w:t>$ 30.595 millones.</w:t>
      </w:r>
    </w:p>
    <w:p w:rsidRPr="00793FC7" w:rsidR="00793FC7" w:rsidRDefault="00793FC7" w14:paraId="4EC2173B" w14:textId="77777777">
      <w:pPr>
        <w:pStyle w:val="Prrafodelista"/>
        <w:numPr>
          <w:ilvl w:val="0"/>
          <w:numId w:val="71"/>
        </w:numPr>
        <w:spacing w:after="0" w:line="360" w:lineRule="auto"/>
        <w:jc w:val="both"/>
        <w:rPr>
          <w:rFonts w:ascii="Verdana" w:hAnsi="Verdana"/>
          <w:sz w:val="24"/>
          <w:szCs w:val="24"/>
        </w:rPr>
      </w:pPr>
      <w:r w:rsidRPr="00793FC7">
        <w:rPr>
          <w:rFonts w:ascii="Verdana" w:hAnsi="Verdana"/>
          <w:sz w:val="24"/>
          <w:szCs w:val="24"/>
        </w:rPr>
        <w:t>2105: Desarrollo Ambiental Sostenible del Sector Minero Energético:</w:t>
      </w:r>
    </w:p>
    <w:p w:rsidRPr="00793FC7" w:rsidR="00793FC7" w:rsidP="006A0A13" w:rsidRDefault="00793FC7" w14:paraId="07020F93" w14:textId="77777777">
      <w:pPr>
        <w:pStyle w:val="Prrafodelista"/>
        <w:spacing w:after="0" w:line="360" w:lineRule="auto"/>
        <w:jc w:val="both"/>
        <w:rPr>
          <w:rFonts w:ascii="Verdana" w:hAnsi="Verdana"/>
          <w:sz w:val="24"/>
          <w:szCs w:val="24"/>
        </w:rPr>
      </w:pPr>
      <w:r w:rsidRPr="00793FC7">
        <w:rPr>
          <w:rFonts w:ascii="Verdana" w:hAnsi="Verdana"/>
          <w:sz w:val="24"/>
          <w:szCs w:val="24"/>
        </w:rPr>
        <w:t>$ 19.764 millones.</w:t>
      </w:r>
    </w:p>
    <w:p w:rsidRPr="00793FC7" w:rsidR="00793FC7" w:rsidRDefault="00793FC7" w14:paraId="751C2569" w14:textId="77777777">
      <w:pPr>
        <w:pStyle w:val="Prrafodelista"/>
        <w:numPr>
          <w:ilvl w:val="0"/>
          <w:numId w:val="71"/>
        </w:numPr>
        <w:spacing w:after="0" w:line="360" w:lineRule="auto"/>
        <w:jc w:val="both"/>
        <w:rPr>
          <w:rFonts w:ascii="Verdana" w:hAnsi="Verdana"/>
          <w:sz w:val="24"/>
          <w:szCs w:val="24"/>
        </w:rPr>
      </w:pPr>
      <w:r w:rsidRPr="00793FC7">
        <w:rPr>
          <w:rFonts w:ascii="Verdana" w:hAnsi="Verdana"/>
          <w:sz w:val="24"/>
          <w:szCs w:val="24"/>
        </w:rPr>
        <w:t>2106: Gestión de la Información del Sector Minero Energético:</w:t>
      </w:r>
    </w:p>
    <w:p w:rsidRPr="00793FC7" w:rsidR="00793FC7" w:rsidP="006A0A13" w:rsidRDefault="00793FC7" w14:paraId="53D41106" w14:textId="77777777">
      <w:pPr>
        <w:pStyle w:val="Prrafodelista"/>
        <w:spacing w:after="0" w:line="360" w:lineRule="auto"/>
        <w:jc w:val="both"/>
        <w:rPr>
          <w:rFonts w:ascii="Verdana" w:hAnsi="Verdana"/>
          <w:sz w:val="24"/>
          <w:szCs w:val="24"/>
        </w:rPr>
      </w:pPr>
      <w:r w:rsidRPr="00793FC7">
        <w:rPr>
          <w:rFonts w:ascii="Verdana" w:hAnsi="Verdana"/>
          <w:sz w:val="24"/>
          <w:szCs w:val="24"/>
        </w:rPr>
        <w:t>$ 471.752 millones.</w:t>
      </w:r>
    </w:p>
    <w:p w:rsidRPr="00793FC7" w:rsidR="00793FC7" w:rsidRDefault="00793FC7" w14:paraId="099DF1F8" w14:textId="77777777">
      <w:pPr>
        <w:pStyle w:val="Prrafodelista"/>
        <w:numPr>
          <w:ilvl w:val="0"/>
          <w:numId w:val="71"/>
        </w:numPr>
        <w:spacing w:after="0" w:line="360" w:lineRule="auto"/>
        <w:jc w:val="both"/>
        <w:rPr>
          <w:rFonts w:ascii="Verdana" w:hAnsi="Verdana"/>
          <w:sz w:val="24"/>
          <w:szCs w:val="24"/>
        </w:rPr>
      </w:pPr>
      <w:r w:rsidRPr="00793FC7">
        <w:rPr>
          <w:rFonts w:ascii="Verdana" w:hAnsi="Verdana"/>
          <w:sz w:val="24"/>
          <w:szCs w:val="24"/>
        </w:rPr>
        <w:t xml:space="preserve">2199: Fortalecimiento y Apoyo a la Gestión Institucional: </w:t>
      </w:r>
    </w:p>
    <w:p w:rsidRPr="00793FC7" w:rsidR="00793FC7" w:rsidP="006A0A13" w:rsidRDefault="00793FC7" w14:paraId="0B5861F5" w14:textId="77777777">
      <w:pPr>
        <w:pStyle w:val="Prrafodelista"/>
        <w:spacing w:after="0" w:line="360" w:lineRule="auto"/>
        <w:jc w:val="both"/>
        <w:rPr>
          <w:rFonts w:ascii="Verdana" w:hAnsi="Verdana"/>
          <w:sz w:val="24"/>
          <w:szCs w:val="24"/>
        </w:rPr>
      </w:pPr>
      <w:r w:rsidRPr="00793FC7">
        <w:rPr>
          <w:rFonts w:ascii="Verdana" w:hAnsi="Verdana"/>
          <w:sz w:val="24"/>
          <w:szCs w:val="24"/>
        </w:rPr>
        <w:t>$ 62.758 millones.</w:t>
      </w:r>
    </w:p>
    <w:p w:rsidRPr="00793FC7" w:rsidR="00793FC7" w:rsidP="006A0A13" w:rsidRDefault="00793FC7" w14:paraId="58B2A395" w14:textId="77777777">
      <w:pPr>
        <w:spacing w:after="0" w:line="360" w:lineRule="auto"/>
        <w:jc w:val="both"/>
        <w:rPr>
          <w:rFonts w:ascii="Verdana" w:hAnsi="Verdana"/>
          <w:sz w:val="24"/>
          <w:szCs w:val="24"/>
        </w:rPr>
      </w:pPr>
    </w:p>
    <w:p w:rsidR="003A6AE4" w:rsidP="006A0A13" w:rsidRDefault="4AECF524" w14:paraId="583A7214" w14:textId="77777777">
      <w:pPr>
        <w:spacing w:after="0" w:line="360" w:lineRule="auto"/>
        <w:jc w:val="both"/>
        <w:rPr>
          <w:rFonts w:ascii="Verdana" w:hAnsi="Verdana"/>
          <w:sz w:val="24"/>
          <w:szCs w:val="24"/>
        </w:rPr>
      </w:pPr>
      <w:r w:rsidRPr="180099B3">
        <w:rPr>
          <w:rFonts w:ascii="Verdana" w:hAnsi="Verdana"/>
          <w:sz w:val="24"/>
          <w:szCs w:val="24"/>
        </w:rPr>
        <w:t>La distribución de los recursos por programa presupuestal y en cada una de las entidades del sector minero energético, se puede evidenciar en la siguiente tabla:</w:t>
      </w:r>
    </w:p>
    <w:p w:rsidR="180099B3" w:rsidP="006A0A13" w:rsidRDefault="180099B3" w14:paraId="55375922" w14:textId="77777777">
      <w:pPr>
        <w:spacing w:after="0" w:line="360" w:lineRule="auto"/>
        <w:jc w:val="both"/>
        <w:rPr>
          <w:rFonts w:ascii="Verdana" w:hAnsi="Verdana"/>
          <w:sz w:val="24"/>
          <w:szCs w:val="24"/>
        </w:rPr>
      </w:pPr>
    </w:p>
    <w:p w:rsidRPr="00C8621A" w:rsidR="00793FC7" w:rsidP="180099B3" w:rsidRDefault="4AECF524" w14:paraId="47634E75" w14:textId="77777777">
      <w:pPr>
        <w:pStyle w:val="Descripcin"/>
        <w:spacing w:after="0"/>
        <w:jc w:val="center"/>
        <w:rPr>
          <w:rFonts w:ascii="Verdana" w:hAnsi="Verdana"/>
          <w:i w:val="0"/>
          <w:iCs w:val="0"/>
          <w:color w:val="auto"/>
        </w:rPr>
      </w:pPr>
      <w:r w:rsidRPr="180099B3">
        <w:rPr>
          <w:rFonts w:ascii="Verdana" w:hAnsi="Verdana"/>
          <w:i w:val="0"/>
          <w:iCs w:val="0"/>
          <w:color w:val="auto"/>
        </w:rPr>
        <w:t>Ta</w:t>
      </w:r>
      <w:r w:rsidRPr="180099B3" w:rsidR="09553533">
        <w:rPr>
          <w:rFonts w:ascii="Verdana" w:hAnsi="Verdana"/>
          <w:i w:val="0"/>
          <w:iCs w:val="0"/>
          <w:color w:val="auto"/>
        </w:rPr>
        <w:t>bla</w:t>
      </w:r>
      <w:r w:rsidRPr="180099B3" w:rsidR="1F9C8783">
        <w:rPr>
          <w:rFonts w:ascii="Verdana" w:hAnsi="Verdana"/>
          <w:i w:val="0"/>
          <w:iCs w:val="0"/>
          <w:color w:val="auto"/>
        </w:rPr>
        <w:t xml:space="preserve"> No. 3</w:t>
      </w:r>
      <w:r w:rsidRPr="180099B3" w:rsidR="656FDDCA">
        <w:rPr>
          <w:rFonts w:ascii="Verdana" w:hAnsi="Verdana"/>
          <w:i w:val="0"/>
          <w:iCs w:val="0"/>
          <w:color w:val="auto"/>
        </w:rPr>
        <w:t>3</w:t>
      </w:r>
      <w:r w:rsidRPr="180099B3" w:rsidR="09553533">
        <w:rPr>
          <w:rFonts w:ascii="Verdana" w:hAnsi="Verdana"/>
          <w:i w:val="0"/>
          <w:iCs w:val="0"/>
          <w:color w:val="auto"/>
        </w:rPr>
        <w:t xml:space="preserve">. </w:t>
      </w:r>
      <w:r w:rsidRPr="180099B3">
        <w:rPr>
          <w:rFonts w:ascii="Verdana" w:hAnsi="Verdana"/>
          <w:i w:val="0"/>
          <w:iCs w:val="0"/>
          <w:color w:val="auto"/>
        </w:rPr>
        <w:t>Distribución de recursos sector 2022 por programa</w:t>
      </w:r>
    </w:p>
    <w:tbl>
      <w:tblPr>
        <w:tblW w:w="5056" w:type="pct"/>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left w:w="70" w:type="dxa"/>
          <w:right w:w="70" w:type="dxa"/>
        </w:tblCellMar>
        <w:tblLook w:val="04A0" w:firstRow="1" w:lastRow="0" w:firstColumn="1" w:lastColumn="0" w:noHBand="0" w:noVBand="1"/>
      </w:tblPr>
      <w:tblGrid>
        <w:gridCol w:w="1174"/>
        <w:gridCol w:w="1071"/>
        <w:gridCol w:w="1127"/>
        <w:gridCol w:w="911"/>
        <w:gridCol w:w="865"/>
        <w:gridCol w:w="865"/>
        <w:gridCol w:w="967"/>
        <w:gridCol w:w="865"/>
        <w:gridCol w:w="1082"/>
      </w:tblGrid>
      <w:tr w:rsidRPr="00C8621A" w:rsidR="00793FC7" w:rsidTr="0038515C" w14:paraId="04094B3B" w14:textId="77777777">
        <w:trPr>
          <w:trHeight w:val="283"/>
        </w:trPr>
        <w:tc>
          <w:tcPr>
            <w:tcW w:w="658" w:type="pct"/>
            <w:vMerge w:val="restart"/>
            <w:shd w:val="clear" w:color="auto" w:fill="A6A6A6" w:themeFill="background1" w:themeFillShade="A6"/>
            <w:vAlign w:val="center"/>
            <w:hideMark/>
          </w:tcPr>
          <w:p w:rsidRPr="00C8621A" w:rsidR="00793FC7" w:rsidP="00793FC7" w:rsidRDefault="00793FC7" w14:paraId="47C5C7EE" w14:textId="77777777">
            <w:pPr>
              <w:spacing w:after="0" w:line="240" w:lineRule="auto"/>
              <w:jc w:val="center"/>
              <w:rPr>
                <w:rFonts w:ascii="Verdana" w:hAnsi="Verdana" w:eastAsia="Times New Roman" w:cs="Times New Roman"/>
                <w:b/>
                <w:bCs/>
                <w:color w:val="000000"/>
                <w:sz w:val="16"/>
                <w:szCs w:val="16"/>
                <w:lang w:eastAsia="es-CO"/>
              </w:rPr>
            </w:pPr>
            <w:r w:rsidRPr="00C8621A">
              <w:rPr>
                <w:rFonts w:ascii="Verdana" w:hAnsi="Verdana" w:eastAsia="Times New Roman" w:cs="Times New Roman"/>
                <w:b/>
                <w:bCs/>
                <w:color w:val="000000"/>
                <w:sz w:val="16"/>
                <w:szCs w:val="16"/>
                <w:lang w:eastAsia="es-CO"/>
              </w:rPr>
              <w:t>PROGRAMA</w:t>
            </w:r>
          </w:p>
        </w:tc>
        <w:tc>
          <w:tcPr>
            <w:tcW w:w="4342" w:type="pct"/>
            <w:gridSpan w:val="8"/>
            <w:shd w:val="clear" w:color="auto" w:fill="A6A6A6" w:themeFill="background1" w:themeFillShade="A6"/>
            <w:vAlign w:val="center"/>
            <w:hideMark/>
          </w:tcPr>
          <w:p w:rsidRPr="00C8621A" w:rsidR="00793FC7" w:rsidP="00793FC7" w:rsidRDefault="00793FC7" w14:paraId="0993BEBF" w14:textId="77777777">
            <w:pPr>
              <w:spacing w:after="0" w:line="240" w:lineRule="auto"/>
              <w:jc w:val="center"/>
              <w:rPr>
                <w:rFonts w:ascii="Verdana" w:hAnsi="Verdana" w:eastAsia="Times New Roman" w:cs="Times New Roman"/>
                <w:b/>
                <w:bCs/>
                <w:color w:val="000000"/>
                <w:sz w:val="16"/>
                <w:szCs w:val="16"/>
                <w:lang w:eastAsia="es-CO"/>
              </w:rPr>
            </w:pPr>
            <w:r w:rsidRPr="00C8621A">
              <w:rPr>
                <w:rFonts w:ascii="Verdana" w:hAnsi="Verdana" w:eastAsia="Times New Roman" w:cs="Times New Roman"/>
                <w:b/>
                <w:bCs/>
                <w:color w:val="000000"/>
                <w:sz w:val="16"/>
                <w:szCs w:val="16"/>
                <w:lang w:eastAsia="es-CO"/>
              </w:rPr>
              <w:t>Cifras en millones</w:t>
            </w:r>
          </w:p>
        </w:tc>
      </w:tr>
      <w:tr w:rsidRPr="00C8621A" w:rsidR="00793FC7" w:rsidTr="0038515C" w14:paraId="14447A8C" w14:textId="77777777">
        <w:trPr>
          <w:trHeight w:val="283"/>
        </w:trPr>
        <w:tc>
          <w:tcPr>
            <w:tcW w:w="658" w:type="pct"/>
            <w:vMerge/>
            <w:shd w:val="clear" w:color="auto" w:fill="A6A6A6" w:themeFill="background1" w:themeFillShade="A6"/>
            <w:vAlign w:val="center"/>
            <w:hideMark/>
          </w:tcPr>
          <w:p w:rsidRPr="00C8621A" w:rsidR="00793FC7" w:rsidP="00793FC7" w:rsidRDefault="00793FC7" w14:paraId="7397BF7E" w14:textId="77777777">
            <w:pPr>
              <w:spacing w:after="0" w:line="240" w:lineRule="auto"/>
              <w:rPr>
                <w:rFonts w:ascii="Verdana" w:hAnsi="Verdana" w:eastAsia="Times New Roman" w:cs="Times New Roman"/>
                <w:b/>
                <w:bCs/>
                <w:color w:val="000000"/>
                <w:sz w:val="16"/>
                <w:szCs w:val="16"/>
                <w:lang w:eastAsia="es-CO"/>
              </w:rPr>
            </w:pPr>
          </w:p>
        </w:tc>
        <w:tc>
          <w:tcPr>
            <w:tcW w:w="600" w:type="pct"/>
            <w:shd w:val="clear" w:color="auto" w:fill="A6A6A6" w:themeFill="background1" w:themeFillShade="A6"/>
            <w:vAlign w:val="center"/>
            <w:hideMark/>
          </w:tcPr>
          <w:p w:rsidRPr="00C8621A" w:rsidR="00793FC7" w:rsidP="00793FC7" w:rsidRDefault="00793FC7" w14:paraId="1F9A334C" w14:textId="77777777">
            <w:pPr>
              <w:spacing w:after="0" w:line="240" w:lineRule="auto"/>
              <w:jc w:val="center"/>
              <w:rPr>
                <w:rFonts w:ascii="Verdana" w:hAnsi="Verdana" w:eastAsia="Times New Roman" w:cs="Times New Roman"/>
                <w:b/>
                <w:bCs/>
                <w:color w:val="000000"/>
                <w:sz w:val="16"/>
                <w:szCs w:val="16"/>
                <w:lang w:eastAsia="es-CO"/>
              </w:rPr>
            </w:pPr>
            <w:r w:rsidRPr="00C8621A">
              <w:rPr>
                <w:rFonts w:ascii="Verdana" w:hAnsi="Verdana" w:eastAsia="Times New Roman" w:cs="Times New Roman"/>
                <w:b/>
                <w:bCs/>
                <w:color w:val="000000"/>
                <w:sz w:val="16"/>
                <w:szCs w:val="16"/>
                <w:lang w:eastAsia="es-CO"/>
              </w:rPr>
              <w:t>2101</w:t>
            </w:r>
          </w:p>
        </w:tc>
        <w:tc>
          <w:tcPr>
            <w:tcW w:w="631" w:type="pct"/>
            <w:shd w:val="clear" w:color="auto" w:fill="A6A6A6" w:themeFill="background1" w:themeFillShade="A6"/>
            <w:vAlign w:val="center"/>
            <w:hideMark/>
          </w:tcPr>
          <w:p w:rsidRPr="00C8621A" w:rsidR="00793FC7" w:rsidP="00793FC7" w:rsidRDefault="00793FC7" w14:paraId="79AE9B16" w14:textId="77777777">
            <w:pPr>
              <w:spacing w:after="0" w:line="240" w:lineRule="auto"/>
              <w:jc w:val="center"/>
              <w:rPr>
                <w:rFonts w:ascii="Verdana" w:hAnsi="Verdana" w:eastAsia="Times New Roman" w:cs="Times New Roman"/>
                <w:b/>
                <w:bCs/>
                <w:color w:val="000000"/>
                <w:sz w:val="16"/>
                <w:szCs w:val="16"/>
                <w:lang w:eastAsia="es-CO"/>
              </w:rPr>
            </w:pPr>
            <w:r w:rsidRPr="00C8621A">
              <w:rPr>
                <w:rFonts w:ascii="Verdana" w:hAnsi="Verdana" w:eastAsia="Times New Roman" w:cs="Times New Roman"/>
                <w:b/>
                <w:bCs/>
                <w:color w:val="000000"/>
                <w:sz w:val="16"/>
                <w:szCs w:val="16"/>
                <w:lang w:eastAsia="es-CO"/>
              </w:rPr>
              <w:t>2102</w:t>
            </w:r>
          </w:p>
        </w:tc>
        <w:tc>
          <w:tcPr>
            <w:tcW w:w="510" w:type="pct"/>
            <w:shd w:val="clear" w:color="auto" w:fill="A6A6A6" w:themeFill="background1" w:themeFillShade="A6"/>
            <w:vAlign w:val="center"/>
            <w:hideMark/>
          </w:tcPr>
          <w:p w:rsidRPr="00C8621A" w:rsidR="00793FC7" w:rsidP="00793FC7" w:rsidRDefault="00793FC7" w14:paraId="3A8088D6" w14:textId="77777777">
            <w:pPr>
              <w:spacing w:after="0" w:line="240" w:lineRule="auto"/>
              <w:jc w:val="center"/>
              <w:rPr>
                <w:rFonts w:ascii="Verdana" w:hAnsi="Verdana" w:eastAsia="Times New Roman" w:cs="Times New Roman"/>
                <w:b/>
                <w:bCs/>
                <w:color w:val="000000"/>
                <w:sz w:val="16"/>
                <w:szCs w:val="16"/>
                <w:lang w:eastAsia="es-CO"/>
              </w:rPr>
            </w:pPr>
            <w:r w:rsidRPr="00C8621A">
              <w:rPr>
                <w:rFonts w:ascii="Verdana" w:hAnsi="Verdana" w:eastAsia="Times New Roman" w:cs="Times New Roman"/>
                <w:b/>
                <w:bCs/>
                <w:color w:val="000000"/>
                <w:sz w:val="16"/>
                <w:szCs w:val="16"/>
                <w:lang w:eastAsia="es-CO"/>
              </w:rPr>
              <w:t>2103</w:t>
            </w:r>
          </w:p>
        </w:tc>
        <w:tc>
          <w:tcPr>
            <w:tcW w:w="484" w:type="pct"/>
            <w:shd w:val="clear" w:color="auto" w:fill="A6A6A6" w:themeFill="background1" w:themeFillShade="A6"/>
            <w:vAlign w:val="center"/>
            <w:hideMark/>
          </w:tcPr>
          <w:p w:rsidRPr="00C8621A" w:rsidR="00793FC7" w:rsidP="00793FC7" w:rsidRDefault="00793FC7" w14:paraId="700E5EAB" w14:textId="77777777">
            <w:pPr>
              <w:spacing w:after="0" w:line="240" w:lineRule="auto"/>
              <w:jc w:val="center"/>
              <w:rPr>
                <w:rFonts w:ascii="Verdana" w:hAnsi="Verdana" w:eastAsia="Times New Roman" w:cs="Times New Roman"/>
                <w:b/>
                <w:bCs/>
                <w:color w:val="000000"/>
                <w:sz w:val="16"/>
                <w:szCs w:val="16"/>
                <w:lang w:eastAsia="es-CO"/>
              </w:rPr>
            </w:pPr>
            <w:r w:rsidRPr="00C8621A">
              <w:rPr>
                <w:rFonts w:ascii="Verdana" w:hAnsi="Verdana" w:eastAsia="Times New Roman" w:cs="Times New Roman"/>
                <w:b/>
                <w:bCs/>
                <w:color w:val="000000"/>
                <w:sz w:val="16"/>
                <w:szCs w:val="16"/>
                <w:lang w:eastAsia="es-CO"/>
              </w:rPr>
              <w:t>2104</w:t>
            </w:r>
          </w:p>
        </w:tc>
        <w:tc>
          <w:tcPr>
            <w:tcW w:w="484" w:type="pct"/>
            <w:shd w:val="clear" w:color="auto" w:fill="A6A6A6" w:themeFill="background1" w:themeFillShade="A6"/>
            <w:vAlign w:val="center"/>
            <w:hideMark/>
          </w:tcPr>
          <w:p w:rsidRPr="00C8621A" w:rsidR="00793FC7" w:rsidP="00793FC7" w:rsidRDefault="00793FC7" w14:paraId="7252B9A8" w14:textId="77777777">
            <w:pPr>
              <w:spacing w:after="0" w:line="240" w:lineRule="auto"/>
              <w:jc w:val="center"/>
              <w:rPr>
                <w:rFonts w:ascii="Verdana" w:hAnsi="Verdana" w:eastAsia="Times New Roman" w:cs="Times New Roman"/>
                <w:b/>
                <w:bCs/>
                <w:color w:val="000000"/>
                <w:sz w:val="16"/>
                <w:szCs w:val="16"/>
                <w:lang w:eastAsia="es-CO"/>
              </w:rPr>
            </w:pPr>
            <w:r w:rsidRPr="00C8621A">
              <w:rPr>
                <w:rFonts w:ascii="Verdana" w:hAnsi="Verdana" w:eastAsia="Times New Roman" w:cs="Times New Roman"/>
                <w:b/>
                <w:bCs/>
                <w:color w:val="000000"/>
                <w:sz w:val="16"/>
                <w:szCs w:val="16"/>
                <w:lang w:eastAsia="es-CO"/>
              </w:rPr>
              <w:t>2105</w:t>
            </w:r>
          </w:p>
        </w:tc>
        <w:tc>
          <w:tcPr>
            <w:tcW w:w="542" w:type="pct"/>
            <w:shd w:val="clear" w:color="auto" w:fill="A6A6A6" w:themeFill="background1" w:themeFillShade="A6"/>
            <w:vAlign w:val="center"/>
            <w:hideMark/>
          </w:tcPr>
          <w:p w:rsidRPr="00C8621A" w:rsidR="00793FC7" w:rsidP="00793FC7" w:rsidRDefault="00793FC7" w14:paraId="6AA965D4" w14:textId="77777777">
            <w:pPr>
              <w:spacing w:after="0" w:line="240" w:lineRule="auto"/>
              <w:jc w:val="center"/>
              <w:rPr>
                <w:rFonts w:ascii="Verdana" w:hAnsi="Verdana" w:eastAsia="Times New Roman" w:cs="Times New Roman"/>
                <w:b/>
                <w:bCs/>
                <w:color w:val="000000"/>
                <w:sz w:val="16"/>
                <w:szCs w:val="16"/>
                <w:lang w:eastAsia="es-CO"/>
              </w:rPr>
            </w:pPr>
            <w:r w:rsidRPr="00C8621A">
              <w:rPr>
                <w:rFonts w:ascii="Verdana" w:hAnsi="Verdana" w:eastAsia="Times New Roman" w:cs="Times New Roman"/>
                <w:b/>
                <w:bCs/>
                <w:color w:val="000000"/>
                <w:sz w:val="16"/>
                <w:szCs w:val="16"/>
                <w:lang w:eastAsia="es-CO"/>
              </w:rPr>
              <w:t>2106</w:t>
            </w:r>
          </w:p>
        </w:tc>
        <w:tc>
          <w:tcPr>
            <w:tcW w:w="484" w:type="pct"/>
            <w:shd w:val="clear" w:color="auto" w:fill="A6A6A6" w:themeFill="background1" w:themeFillShade="A6"/>
            <w:vAlign w:val="center"/>
            <w:hideMark/>
          </w:tcPr>
          <w:p w:rsidRPr="00C8621A" w:rsidR="00793FC7" w:rsidP="00793FC7" w:rsidRDefault="00793FC7" w14:paraId="7FB46355" w14:textId="77777777">
            <w:pPr>
              <w:spacing w:after="0" w:line="240" w:lineRule="auto"/>
              <w:jc w:val="center"/>
              <w:rPr>
                <w:rFonts w:ascii="Verdana" w:hAnsi="Verdana" w:eastAsia="Times New Roman" w:cs="Times New Roman"/>
                <w:b/>
                <w:bCs/>
                <w:color w:val="000000"/>
                <w:sz w:val="16"/>
                <w:szCs w:val="16"/>
                <w:lang w:eastAsia="es-CO"/>
              </w:rPr>
            </w:pPr>
            <w:r w:rsidRPr="00C8621A">
              <w:rPr>
                <w:rFonts w:ascii="Verdana" w:hAnsi="Verdana" w:eastAsia="Times New Roman" w:cs="Times New Roman"/>
                <w:b/>
                <w:bCs/>
                <w:color w:val="000000"/>
                <w:sz w:val="16"/>
                <w:szCs w:val="16"/>
                <w:lang w:eastAsia="es-CO"/>
              </w:rPr>
              <w:t>2199</w:t>
            </w:r>
          </w:p>
        </w:tc>
        <w:tc>
          <w:tcPr>
            <w:tcW w:w="606" w:type="pct"/>
            <w:shd w:val="clear" w:color="auto" w:fill="A6A6A6" w:themeFill="background1" w:themeFillShade="A6"/>
            <w:vAlign w:val="center"/>
            <w:hideMark/>
          </w:tcPr>
          <w:p w:rsidRPr="00C8621A" w:rsidR="00793FC7" w:rsidP="00793FC7" w:rsidRDefault="00793FC7" w14:paraId="4653B49B" w14:textId="77777777">
            <w:pPr>
              <w:spacing w:after="0" w:line="240" w:lineRule="auto"/>
              <w:jc w:val="center"/>
              <w:rPr>
                <w:rFonts w:ascii="Verdana" w:hAnsi="Verdana" w:eastAsia="Times New Roman" w:cs="Times New Roman"/>
                <w:b/>
                <w:bCs/>
                <w:color w:val="000000"/>
                <w:sz w:val="16"/>
                <w:szCs w:val="16"/>
                <w:lang w:eastAsia="es-CO"/>
              </w:rPr>
            </w:pPr>
            <w:r w:rsidRPr="00C8621A">
              <w:rPr>
                <w:rFonts w:ascii="Verdana" w:hAnsi="Verdana" w:eastAsia="Times New Roman" w:cs="Times New Roman"/>
                <w:b/>
                <w:bCs/>
                <w:color w:val="000000"/>
                <w:sz w:val="16"/>
                <w:szCs w:val="16"/>
                <w:lang w:eastAsia="es-CO"/>
              </w:rPr>
              <w:t>TOTAL</w:t>
            </w:r>
          </w:p>
        </w:tc>
      </w:tr>
      <w:tr w:rsidRPr="00C8621A" w:rsidR="00793FC7" w:rsidTr="0038515C" w14:paraId="5A260786" w14:textId="77777777">
        <w:trPr>
          <w:trHeight w:val="283"/>
        </w:trPr>
        <w:tc>
          <w:tcPr>
            <w:tcW w:w="658" w:type="pct"/>
            <w:vAlign w:val="center"/>
            <w:hideMark/>
          </w:tcPr>
          <w:p w:rsidRPr="00C8621A" w:rsidR="00793FC7" w:rsidP="00793FC7" w:rsidRDefault="00793FC7" w14:paraId="221E1757" w14:textId="77777777">
            <w:pPr>
              <w:spacing w:after="0" w:line="240" w:lineRule="auto"/>
              <w:jc w:val="center"/>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ANH</w:t>
            </w:r>
          </w:p>
        </w:tc>
        <w:tc>
          <w:tcPr>
            <w:tcW w:w="600" w:type="pct"/>
            <w:noWrap/>
            <w:vAlign w:val="bottom"/>
            <w:hideMark/>
          </w:tcPr>
          <w:p w:rsidRPr="00C8621A" w:rsidR="00793FC7" w:rsidP="00793FC7" w:rsidRDefault="00793FC7" w14:paraId="77722D35"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w:t>
            </w:r>
          </w:p>
        </w:tc>
        <w:tc>
          <w:tcPr>
            <w:tcW w:w="631" w:type="pct"/>
            <w:noWrap/>
            <w:vAlign w:val="bottom"/>
            <w:hideMark/>
          </w:tcPr>
          <w:p w:rsidRPr="00C8621A" w:rsidR="00793FC7" w:rsidP="00793FC7" w:rsidRDefault="00793FC7" w14:paraId="723D4AD4"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w:t>
            </w:r>
          </w:p>
        </w:tc>
        <w:tc>
          <w:tcPr>
            <w:tcW w:w="510" w:type="pct"/>
            <w:noWrap/>
            <w:vAlign w:val="bottom"/>
            <w:hideMark/>
          </w:tcPr>
          <w:p w:rsidRPr="00C8621A" w:rsidR="00793FC7" w:rsidP="00793FC7" w:rsidRDefault="00793FC7" w14:paraId="346C9B88"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$ 60.952</w:t>
            </w:r>
          </w:p>
        </w:tc>
        <w:tc>
          <w:tcPr>
            <w:tcW w:w="484" w:type="pct"/>
            <w:noWrap/>
            <w:vAlign w:val="bottom"/>
            <w:hideMark/>
          </w:tcPr>
          <w:p w:rsidRPr="00C8621A" w:rsidR="00793FC7" w:rsidP="00793FC7" w:rsidRDefault="00793FC7" w14:paraId="45977544"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w:t>
            </w:r>
          </w:p>
        </w:tc>
        <w:tc>
          <w:tcPr>
            <w:tcW w:w="484" w:type="pct"/>
            <w:noWrap/>
            <w:vAlign w:val="bottom"/>
            <w:hideMark/>
          </w:tcPr>
          <w:p w:rsidRPr="00C8621A" w:rsidR="00793FC7" w:rsidP="00793FC7" w:rsidRDefault="00793FC7" w14:paraId="5E7A88C5"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w:t>
            </w:r>
          </w:p>
        </w:tc>
        <w:tc>
          <w:tcPr>
            <w:tcW w:w="542" w:type="pct"/>
            <w:noWrap/>
            <w:vAlign w:val="bottom"/>
            <w:hideMark/>
          </w:tcPr>
          <w:p w:rsidRPr="00C8621A" w:rsidR="00793FC7" w:rsidP="00793FC7" w:rsidRDefault="00793FC7" w14:paraId="1DDDC9F5"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$ 239.250</w:t>
            </w:r>
          </w:p>
        </w:tc>
        <w:tc>
          <w:tcPr>
            <w:tcW w:w="484" w:type="pct"/>
            <w:noWrap/>
            <w:vAlign w:val="bottom"/>
            <w:hideMark/>
          </w:tcPr>
          <w:p w:rsidRPr="00C8621A" w:rsidR="00793FC7" w:rsidP="00793FC7" w:rsidRDefault="00793FC7" w14:paraId="60996E0E"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$ 10.901</w:t>
            </w:r>
          </w:p>
        </w:tc>
        <w:tc>
          <w:tcPr>
            <w:tcW w:w="606" w:type="pct"/>
            <w:noWrap/>
            <w:vAlign w:val="bottom"/>
            <w:hideMark/>
          </w:tcPr>
          <w:p w:rsidRPr="00C8621A" w:rsidR="00793FC7" w:rsidP="00793FC7" w:rsidRDefault="00793FC7" w14:paraId="791FF5CF"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$ 311.103</w:t>
            </w:r>
          </w:p>
        </w:tc>
      </w:tr>
      <w:tr w:rsidRPr="00C8621A" w:rsidR="00793FC7" w:rsidTr="0038515C" w14:paraId="4D3DF958" w14:textId="77777777">
        <w:trPr>
          <w:trHeight w:val="283"/>
        </w:trPr>
        <w:tc>
          <w:tcPr>
            <w:tcW w:w="658" w:type="pct"/>
            <w:vAlign w:val="center"/>
            <w:hideMark/>
          </w:tcPr>
          <w:p w:rsidRPr="00C8621A" w:rsidR="00793FC7" w:rsidP="00793FC7" w:rsidRDefault="00793FC7" w14:paraId="7FFB8D4C" w14:textId="77777777">
            <w:pPr>
              <w:spacing w:after="0" w:line="240" w:lineRule="auto"/>
              <w:jc w:val="center"/>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ANM</w:t>
            </w:r>
          </w:p>
        </w:tc>
        <w:tc>
          <w:tcPr>
            <w:tcW w:w="600" w:type="pct"/>
            <w:noWrap/>
            <w:vAlign w:val="bottom"/>
            <w:hideMark/>
          </w:tcPr>
          <w:p w:rsidRPr="00C8621A" w:rsidR="00793FC7" w:rsidP="00793FC7" w:rsidRDefault="00793FC7" w14:paraId="706892D8"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w:t>
            </w:r>
          </w:p>
        </w:tc>
        <w:tc>
          <w:tcPr>
            <w:tcW w:w="631" w:type="pct"/>
            <w:noWrap/>
            <w:vAlign w:val="bottom"/>
            <w:hideMark/>
          </w:tcPr>
          <w:p w:rsidRPr="00C8621A" w:rsidR="00793FC7" w:rsidP="00793FC7" w:rsidRDefault="00793FC7" w14:paraId="76D65A95"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w:t>
            </w:r>
          </w:p>
        </w:tc>
        <w:tc>
          <w:tcPr>
            <w:tcW w:w="510" w:type="pct"/>
            <w:noWrap/>
            <w:vAlign w:val="bottom"/>
            <w:hideMark/>
          </w:tcPr>
          <w:p w:rsidRPr="00C8621A" w:rsidR="00793FC7" w:rsidP="00793FC7" w:rsidRDefault="00793FC7" w14:paraId="185DF88C"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w:t>
            </w:r>
          </w:p>
        </w:tc>
        <w:tc>
          <w:tcPr>
            <w:tcW w:w="484" w:type="pct"/>
            <w:noWrap/>
            <w:vAlign w:val="bottom"/>
            <w:hideMark/>
          </w:tcPr>
          <w:p w:rsidRPr="00C8621A" w:rsidR="00793FC7" w:rsidP="00793FC7" w:rsidRDefault="00793FC7" w14:paraId="6814D46B"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$ 12.470</w:t>
            </w:r>
          </w:p>
        </w:tc>
        <w:tc>
          <w:tcPr>
            <w:tcW w:w="484" w:type="pct"/>
            <w:noWrap/>
            <w:vAlign w:val="bottom"/>
            <w:hideMark/>
          </w:tcPr>
          <w:p w:rsidRPr="00C8621A" w:rsidR="00793FC7" w:rsidP="00793FC7" w:rsidRDefault="00793FC7" w14:paraId="02260A9B"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w:t>
            </w:r>
          </w:p>
        </w:tc>
        <w:tc>
          <w:tcPr>
            <w:tcW w:w="542" w:type="pct"/>
            <w:noWrap/>
            <w:vAlign w:val="bottom"/>
            <w:hideMark/>
          </w:tcPr>
          <w:p w:rsidRPr="00C8621A" w:rsidR="00793FC7" w:rsidP="00793FC7" w:rsidRDefault="00793FC7" w14:paraId="087187D8"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$ 3.056</w:t>
            </w:r>
          </w:p>
        </w:tc>
        <w:tc>
          <w:tcPr>
            <w:tcW w:w="484" w:type="pct"/>
            <w:noWrap/>
            <w:vAlign w:val="bottom"/>
            <w:hideMark/>
          </w:tcPr>
          <w:p w:rsidRPr="00C8621A" w:rsidR="00793FC7" w:rsidP="00793FC7" w:rsidRDefault="00793FC7" w14:paraId="06753168"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$ 3.973</w:t>
            </w:r>
          </w:p>
        </w:tc>
        <w:tc>
          <w:tcPr>
            <w:tcW w:w="606" w:type="pct"/>
            <w:noWrap/>
            <w:vAlign w:val="bottom"/>
            <w:hideMark/>
          </w:tcPr>
          <w:p w:rsidRPr="00C8621A" w:rsidR="00793FC7" w:rsidP="00793FC7" w:rsidRDefault="00793FC7" w14:paraId="58F51546"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$ 19.500</w:t>
            </w:r>
          </w:p>
        </w:tc>
      </w:tr>
      <w:tr w:rsidRPr="00C8621A" w:rsidR="00793FC7" w:rsidTr="0038515C" w14:paraId="6A17840C" w14:textId="77777777">
        <w:trPr>
          <w:trHeight w:val="283"/>
        </w:trPr>
        <w:tc>
          <w:tcPr>
            <w:tcW w:w="658" w:type="pct"/>
            <w:vAlign w:val="center"/>
            <w:hideMark/>
          </w:tcPr>
          <w:p w:rsidRPr="00C8621A" w:rsidR="00793FC7" w:rsidP="00793FC7" w:rsidRDefault="00793FC7" w14:paraId="5D9392E3" w14:textId="77777777">
            <w:pPr>
              <w:spacing w:after="0" w:line="240" w:lineRule="auto"/>
              <w:jc w:val="center"/>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xml:space="preserve"> IPSE</w:t>
            </w:r>
          </w:p>
        </w:tc>
        <w:tc>
          <w:tcPr>
            <w:tcW w:w="600" w:type="pct"/>
            <w:noWrap/>
            <w:vAlign w:val="bottom"/>
            <w:hideMark/>
          </w:tcPr>
          <w:p w:rsidRPr="00C8621A" w:rsidR="00793FC7" w:rsidP="00793FC7" w:rsidRDefault="00793FC7" w14:paraId="0176FA37"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w:t>
            </w:r>
          </w:p>
        </w:tc>
        <w:tc>
          <w:tcPr>
            <w:tcW w:w="631" w:type="pct"/>
            <w:noWrap/>
            <w:vAlign w:val="bottom"/>
            <w:hideMark/>
          </w:tcPr>
          <w:p w:rsidRPr="00C8621A" w:rsidR="00793FC7" w:rsidP="00793FC7" w:rsidRDefault="00793FC7" w14:paraId="4C69CB19"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$ 229.348</w:t>
            </w:r>
          </w:p>
        </w:tc>
        <w:tc>
          <w:tcPr>
            <w:tcW w:w="510" w:type="pct"/>
            <w:noWrap/>
            <w:vAlign w:val="bottom"/>
            <w:hideMark/>
          </w:tcPr>
          <w:p w:rsidRPr="00C8621A" w:rsidR="00793FC7" w:rsidP="00793FC7" w:rsidRDefault="00793FC7" w14:paraId="11A163FD"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w:t>
            </w:r>
          </w:p>
        </w:tc>
        <w:tc>
          <w:tcPr>
            <w:tcW w:w="484" w:type="pct"/>
            <w:noWrap/>
            <w:vAlign w:val="bottom"/>
            <w:hideMark/>
          </w:tcPr>
          <w:p w:rsidRPr="00C8621A" w:rsidR="00793FC7" w:rsidP="00793FC7" w:rsidRDefault="00793FC7" w14:paraId="7785A10C"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w:t>
            </w:r>
          </w:p>
        </w:tc>
        <w:tc>
          <w:tcPr>
            <w:tcW w:w="484" w:type="pct"/>
            <w:noWrap/>
            <w:vAlign w:val="bottom"/>
            <w:hideMark/>
          </w:tcPr>
          <w:p w:rsidRPr="00C8621A" w:rsidR="00793FC7" w:rsidP="00793FC7" w:rsidRDefault="00793FC7" w14:paraId="5C8035C7"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w:t>
            </w:r>
          </w:p>
        </w:tc>
        <w:tc>
          <w:tcPr>
            <w:tcW w:w="542" w:type="pct"/>
            <w:noWrap/>
            <w:vAlign w:val="bottom"/>
            <w:hideMark/>
          </w:tcPr>
          <w:p w:rsidRPr="00C8621A" w:rsidR="00793FC7" w:rsidP="00793FC7" w:rsidRDefault="00793FC7" w14:paraId="3D9C0D34"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$ 1.090</w:t>
            </w:r>
          </w:p>
        </w:tc>
        <w:tc>
          <w:tcPr>
            <w:tcW w:w="484" w:type="pct"/>
            <w:noWrap/>
            <w:vAlign w:val="bottom"/>
            <w:hideMark/>
          </w:tcPr>
          <w:p w:rsidRPr="00C8621A" w:rsidR="00793FC7" w:rsidP="00793FC7" w:rsidRDefault="00793FC7" w14:paraId="26B34BAC"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$ 5.226</w:t>
            </w:r>
          </w:p>
        </w:tc>
        <w:tc>
          <w:tcPr>
            <w:tcW w:w="606" w:type="pct"/>
            <w:noWrap/>
            <w:vAlign w:val="bottom"/>
            <w:hideMark/>
          </w:tcPr>
          <w:p w:rsidRPr="00C8621A" w:rsidR="00793FC7" w:rsidP="00793FC7" w:rsidRDefault="00793FC7" w14:paraId="476ADFC6"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$ 235.664</w:t>
            </w:r>
          </w:p>
        </w:tc>
      </w:tr>
      <w:tr w:rsidRPr="00C8621A" w:rsidR="00793FC7" w:rsidTr="0038515C" w14:paraId="19727B54" w14:textId="77777777">
        <w:trPr>
          <w:trHeight w:val="283"/>
        </w:trPr>
        <w:tc>
          <w:tcPr>
            <w:tcW w:w="658" w:type="pct"/>
            <w:vAlign w:val="center"/>
            <w:hideMark/>
          </w:tcPr>
          <w:p w:rsidRPr="00C8621A" w:rsidR="00793FC7" w:rsidP="00793FC7" w:rsidRDefault="00793FC7" w14:paraId="2331A763" w14:textId="77777777">
            <w:pPr>
              <w:spacing w:after="0" w:line="240" w:lineRule="auto"/>
              <w:jc w:val="center"/>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CREG</w:t>
            </w:r>
          </w:p>
        </w:tc>
        <w:tc>
          <w:tcPr>
            <w:tcW w:w="600" w:type="pct"/>
            <w:noWrap/>
            <w:vAlign w:val="bottom"/>
            <w:hideMark/>
          </w:tcPr>
          <w:p w:rsidRPr="00C8621A" w:rsidR="00793FC7" w:rsidP="00793FC7" w:rsidRDefault="00793FC7" w14:paraId="42EF5170"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w:t>
            </w:r>
          </w:p>
        </w:tc>
        <w:tc>
          <w:tcPr>
            <w:tcW w:w="631" w:type="pct"/>
            <w:noWrap/>
            <w:vAlign w:val="bottom"/>
            <w:hideMark/>
          </w:tcPr>
          <w:p w:rsidRPr="00C8621A" w:rsidR="00793FC7" w:rsidP="00793FC7" w:rsidRDefault="00793FC7" w14:paraId="721412AC"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w:t>
            </w:r>
          </w:p>
        </w:tc>
        <w:tc>
          <w:tcPr>
            <w:tcW w:w="510" w:type="pct"/>
            <w:noWrap/>
            <w:vAlign w:val="bottom"/>
            <w:hideMark/>
          </w:tcPr>
          <w:p w:rsidRPr="00C8621A" w:rsidR="00793FC7" w:rsidP="00793FC7" w:rsidRDefault="00793FC7" w14:paraId="071D3A49"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w:t>
            </w:r>
          </w:p>
        </w:tc>
        <w:tc>
          <w:tcPr>
            <w:tcW w:w="484" w:type="pct"/>
            <w:noWrap/>
            <w:vAlign w:val="bottom"/>
            <w:hideMark/>
          </w:tcPr>
          <w:p w:rsidRPr="00C8621A" w:rsidR="00793FC7" w:rsidP="00793FC7" w:rsidRDefault="00793FC7" w14:paraId="0751C848"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w:t>
            </w:r>
          </w:p>
        </w:tc>
        <w:tc>
          <w:tcPr>
            <w:tcW w:w="484" w:type="pct"/>
            <w:noWrap/>
            <w:vAlign w:val="bottom"/>
            <w:hideMark/>
          </w:tcPr>
          <w:p w:rsidRPr="00C8621A" w:rsidR="00793FC7" w:rsidP="00793FC7" w:rsidRDefault="00793FC7" w14:paraId="677D29C0"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w:t>
            </w:r>
          </w:p>
        </w:tc>
        <w:tc>
          <w:tcPr>
            <w:tcW w:w="542" w:type="pct"/>
            <w:noWrap/>
            <w:vAlign w:val="bottom"/>
            <w:hideMark/>
          </w:tcPr>
          <w:p w:rsidRPr="00C8621A" w:rsidR="00793FC7" w:rsidP="00793FC7" w:rsidRDefault="00793FC7" w14:paraId="47B7A269"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$ 9.425</w:t>
            </w:r>
          </w:p>
        </w:tc>
        <w:tc>
          <w:tcPr>
            <w:tcW w:w="484" w:type="pct"/>
            <w:noWrap/>
            <w:vAlign w:val="bottom"/>
            <w:hideMark/>
          </w:tcPr>
          <w:p w:rsidRPr="00C8621A" w:rsidR="00793FC7" w:rsidP="00793FC7" w:rsidRDefault="00793FC7" w14:paraId="6ADE730E"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$ 2.097</w:t>
            </w:r>
          </w:p>
        </w:tc>
        <w:tc>
          <w:tcPr>
            <w:tcW w:w="606" w:type="pct"/>
            <w:noWrap/>
            <w:vAlign w:val="bottom"/>
            <w:hideMark/>
          </w:tcPr>
          <w:p w:rsidRPr="00C8621A" w:rsidR="00793FC7" w:rsidP="00793FC7" w:rsidRDefault="00793FC7" w14:paraId="72F0C2EA"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$ 11.523</w:t>
            </w:r>
          </w:p>
        </w:tc>
      </w:tr>
      <w:tr w:rsidRPr="00C8621A" w:rsidR="00793FC7" w:rsidTr="0038515C" w14:paraId="7489CD83" w14:textId="77777777">
        <w:trPr>
          <w:trHeight w:val="283"/>
        </w:trPr>
        <w:tc>
          <w:tcPr>
            <w:tcW w:w="658" w:type="pct"/>
            <w:vAlign w:val="center"/>
            <w:hideMark/>
          </w:tcPr>
          <w:p w:rsidRPr="00C8621A" w:rsidR="00793FC7" w:rsidP="00793FC7" w:rsidRDefault="00793FC7" w14:paraId="57F203C8" w14:textId="77777777">
            <w:pPr>
              <w:spacing w:after="0" w:line="240" w:lineRule="auto"/>
              <w:jc w:val="center"/>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MME</w:t>
            </w:r>
          </w:p>
        </w:tc>
        <w:tc>
          <w:tcPr>
            <w:tcW w:w="600" w:type="pct"/>
            <w:noWrap/>
            <w:vAlign w:val="bottom"/>
            <w:hideMark/>
          </w:tcPr>
          <w:p w:rsidRPr="00C8621A" w:rsidR="00793FC7" w:rsidP="00793FC7" w:rsidRDefault="00793FC7" w14:paraId="7A87E752"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$1.167.005</w:t>
            </w:r>
          </w:p>
        </w:tc>
        <w:tc>
          <w:tcPr>
            <w:tcW w:w="631" w:type="pct"/>
            <w:noWrap/>
            <w:vAlign w:val="bottom"/>
            <w:hideMark/>
          </w:tcPr>
          <w:p w:rsidRPr="00C8621A" w:rsidR="00793FC7" w:rsidP="00793FC7" w:rsidRDefault="00793FC7" w14:paraId="4AC2228F"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$ 2.643.095</w:t>
            </w:r>
          </w:p>
        </w:tc>
        <w:tc>
          <w:tcPr>
            <w:tcW w:w="510" w:type="pct"/>
            <w:noWrap/>
            <w:vAlign w:val="bottom"/>
            <w:hideMark/>
          </w:tcPr>
          <w:p w:rsidRPr="00C8621A" w:rsidR="00793FC7" w:rsidP="00793FC7" w:rsidRDefault="00793FC7" w14:paraId="14B4A5D6"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$ 92.473</w:t>
            </w:r>
          </w:p>
        </w:tc>
        <w:tc>
          <w:tcPr>
            <w:tcW w:w="484" w:type="pct"/>
            <w:noWrap/>
            <w:vAlign w:val="bottom"/>
            <w:hideMark/>
          </w:tcPr>
          <w:p w:rsidRPr="00C8621A" w:rsidR="00793FC7" w:rsidP="00793FC7" w:rsidRDefault="00793FC7" w14:paraId="714ACD12"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$ 18.125</w:t>
            </w:r>
          </w:p>
        </w:tc>
        <w:tc>
          <w:tcPr>
            <w:tcW w:w="484" w:type="pct"/>
            <w:noWrap/>
            <w:vAlign w:val="bottom"/>
            <w:hideMark/>
          </w:tcPr>
          <w:p w:rsidRPr="00C8621A" w:rsidR="00793FC7" w:rsidP="00793FC7" w:rsidRDefault="00793FC7" w14:paraId="5DAA0C92"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$ 16.564</w:t>
            </w:r>
          </w:p>
        </w:tc>
        <w:tc>
          <w:tcPr>
            <w:tcW w:w="542" w:type="pct"/>
            <w:noWrap/>
            <w:vAlign w:val="bottom"/>
            <w:hideMark/>
          </w:tcPr>
          <w:p w:rsidRPr="00C8621A" w:rsidR="00793FC7" w:rsidP="00793FC7" w:rsidRDefault="00793FC7" w14:paraId="5FB11F91"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$ 35.981</w:t>
            </w:r>
          </w:p>
        </w:tc>
        <w:tc>
          <w:tcPr>
            <w:tcW w:w="484" w:type="pct"/>
            <w:noWrap/>
            <w:vAlign w:val="bottom"/>
            <w:hideMark/>
          </w:tcPr>
          <w:p w:rsidRPr="00C8621A" w:rsidR="00793FC7" w:rsidP="00793FC7" w:rsidRDefault="00793FC7" w14:paraId="2914F869"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$ 35.289</w:t>
            </w:r>
          </w:p>
        </w:tc>
        <w:tc>
          <w:tcPr>
            <w:tcW w:w="606" w:type="pct"/>
            <w:noWrap/>
            <w:vAlign w:val="bottom"/>
            <w:hideMark/>
          </w:tcPr>
          <w:p w:rsidRPr="00C8621A" w:rsidR="00793FC7" w:rsidP="00793FC7" w:rsidRDefault="00793FC7" w14:paraId="248A9BDA"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$4.008.535</w:t>
            </w:r>
          </w:p>
        </w:tc>
      </w:tr>
      <w:tr w:rsidRPr="00C8621A" w:rsidR="00793FC7" w:rsidTr="0038515C" w14:paraId="0DDAF41B" w14:textId="77777777">
        <w:trPr>
          <w:trHeight w:val="283"/>
        </w:trPr>
        <w:tc>
          <w:tcPr>
            <w:tcW w:w="658" w:type="pct"/>
            <w:vAlign w:val="center"/>
            <w:hideMark/>
          </w:tcPr>
          <w:p w:rsidRPr="00C8621A" w:rsidR="00793FC7" w:rsidP="00793FC7" w:rsidRDefault="00793FC7" w14:paraId="659E1A31" w14:textId="77777777">
            <w:pPr>
              <w:spacing w:after="0" w:line="240" w:lineRule="auto"/>
              <w:jc w:val="center"/>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SGC</w:t>
            </w:r>
          </w:p>
        </w:tc>
        <w:tc>
          <w:tcPr>
            <w:tcW w:w="600" w:type="pct"/>
            <w:noWrap/>
            <w:vAlign w:val="bottom"/>
            <w:hideMark/>
          </w:tcPr>
          <w:p w:rsidRPr="00C8621A" w:rsidR="00793FC7" w:rsidP="00793FC7" w:rsidRDefault="00793FC7" w14:paraId="7D5FB086"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w:t>
            </w:r>
          </w:p>
        </w:tc>
        <w:tc>
          <w:tcPr>
            <w:tcW w:w="631" w:type="pct"/>
            <w:noWrap/>
            <w:vAlign w:val="bottom"/>
            <w:hideMark/>
          </w:tcPr>
          <w:p w:rsidRPr="00C8621A" w:rsidR="00793FC7" w:rsidP="00793FC7" w:rsidRDefault="00793FC7" w14:paraId="5B040601"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w:t>
            </w:r>
          </w:p>
        </w:tc>
        <w:tc>
          <w:tcPr>
            <w:tcW w:w="510" w:type="pct"/>
            <w:noWrap/>
            <w:vAlign w:val="bottom"/>
            <w:hideMark/>
          </w:tcPr>
          <w:p w:rsidRPr="00C8621A" w:rsidR="00793FC7" w:rsidP="00793FC7" w:rsidRDefault="00793FC7" w14:paraId="446741FC"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w:t>
            </w:r>
          </w:p>
        </w:tc>
        <w:tc>
          <w:tcPr>
            <w:tcW w:w="484" w:type="pct"/>
            <w:noWrap/>
            <w:vAlign w:val="bottom"/>
            <w:hideMark/>
          </w:tcPr>
          <w:p w:rsidRPr="00C8621A" w:rsidR="00793FC7" w:rsidP="00793FC7" w:rsidRDefault="00793FC7" w14:paraId="485B306C"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w:t>
            </w:r>
          </w:p>
        </w:tc>
        <w:tc>
          <w:tcPr>
            <w:tcW w:w="484" w:type="pct"/>
            <w:noWrap/>
            <w:vAlign w:val="bottom"/>
            <w:hideMark/>
          </w:tcPr>
          <w:p w:rsidRPr="00C8621A" w:rsidR="00793FC7" w:rsidP="00793FC7" w:rsidRDefault="00793FC7" w14:paraId="6D5D6AD6"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w:t>
            </w:r>
          </w:p>
        </w:tc>
        <w:tc>
          <w:tcPr>
            <w:tcW w:w="542" w:type="pct"/>
            <w:noWrap/>
            <w:vAlign w:val="bottom"/>
            <w:hideMark/>
          </w:tcPr>
          <w:p w:rsidRPr="00C8621A" w:rsidR="00793FC7" w:rsidP="00793FC7" w:rsidRDefault="00793FC7" w14:paraId="33D87826"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$ 169.952</w:t>
            </w:r>
          </w:p>
        </w:tc>
        <w:tc>
          <w:tcPr>
            <w:tcW w:w="484" w:type="pct"/>
            <w:noWrap/>
            <w:vAlign w:val="bottom"/>
            <w:hideMark/>
          </w:tcPr>
          <w:p w:rsidRPr="00C8621A" w:rsidR="00793FC7" w:rsidP="00793FC7" w:rsidRDefault="00793FC7" w14:paraId="12860C92"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$ 5.271</w:t>
            </w:r>
          </w:p>
        </w:tc>
        <w:tc>
          <w:tcPr>
            <w:tcW w:w="606" w:type="pct"/>
            <w:noWrap/>
            <w:vAlign w:val="bottom"/>
            <w:hideMark/>
          </w:tcPr>
          <w:p w:rsidRPr="00C8621A" w:rsidR="00793FC7" w:rsidP="00793FC7" w:rsidRDefault="00793FC7" w14:paraId="3B9CEA72"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$ 175.224</w:t>
            </w:r>
          </w:p>
        </w:tc>
      </w:tr>
      <w:tr w:rsidRPr="00C8621A" w:rsidR="00793FC7" w:rsidTr="0038515C" w14:paraId="5BD1A80A" w14:textId="77777777">
        <w:trPr>
          <w:trHeight w:val="283"/>
        </w:trPr>
        <w:tc>
          <w:tcPr>
            <w:tcW w:w="658" w:type="pct"/>
            <w:vAlign w:val="center"/>
            <w:hideMark/>
          </w:tcPr>
          <w:p w:rsidRPr="00C8621A" w:rsidR="00793FC7" w:rsidP="00793FC7" w:rsidRDefault="00793FC7" w14:paraId="23D3575F" w14:textId="77777777">
            <w:pPr>
              <w:spacing w:after="0" w:line="240" w:lineRule="auto"/>
              <w:jc w:val="center"/>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UPME</w:t>
            </w:r>
          </w:p>
        </w:tc>
        <w:tc>
          <w:tcPr>
            <w:tcW w:w="600" w:type="pct"/>
            <w:noWrap/>
            <w:vAlign w:val="bottom"/>
            <w:hideMark/>
          </w:tcPr>
          <w:p w:rsidRPr="00C8621A" w:rsidR="00793FC7" w:rsidP="00793FC7" w:rsidRDefault="00793FC7" w14:paraId="7DCBADC0"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w:t>
            </w:r>
          </w:p>
        </w:tc>
        <w:tc>
          <w:tcPr>
            <w:tcW w:w="631" w:type="pct"/>
            <w:noWrap/>
            <w:vAlign w:val="bottom"/>
            <w:hideMark/>
          </w:tcPr>
          <w:p w:rsidRPr="00C8621A" w:rsidR="00793FC7" w:rsidP="00793FC7" w:rsidRDefault="00793FC7" w14:paraId="09D5A194"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$ 6.467</w:t>
            </w:r>
          </w:p>
        </w:tc>
        <w:tc>
          <w:tcPr>
            <w:tcW w:w="510" w:type="pct"/>
            <w:noWrap/>
            <w:vAlign w:val="bottom"/>
            <w:hideMark/>
          </w:tcPr>
          <w:p w:rsidRPr="00C8621A" w:rsidR="00793FC7" w:rsidP="00793FC7" w:rsidRDefault="00793FC7" w14:paraId="63A463EF"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$ 2.940</w:t>
            </w:r>
          </w:p>
        </w:tc>
        <w:tc>
          <w:tcPr>
            <w:tcW w:w="484" w:type="pct"/>
            <w:noWrap/>
            <w:vAlign w:val="bottom"/>
            <w:hideMark/>
          </w:tcPr>
          <w:p w:rsidRPr="00C8621A" w:rsidR="00793FC7" w:rsidP="00793FC7" w:rsidRDefault="00793FC7" w14:paraId="349AB85E"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w:t>
            </w:r>
          </w:p>
        </w:tc>
        <w:tc>
          <w:tcPr>
            <w:tcW w:w="484" w:type="pct"/>
            <w:noWrap/>
            <w:vAlign w:val="bottom"/>
            <w:hideMark/>
          </w:tcPr>
          <w:p w:rsidRPr="00C8621A" w:rsidR="00793FC7" w:rsidP="00793FC7" w:rsidRDefault="00793FC7" w14:paraId="2E9FC13F"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$ 3.200</w:t>
            </w:r>
          </w:p>
        </w:tc>
        <w:tc>
          <w:tcPr>
            <w:tcW w:w="542" w:type="pct"/>
            <w:noWrap/>
            <w:vAlign w:val="bottom"/>
            <w:hideMark/>
          </w:tcPr>
          <w:p w:rsidRPr="00C8621A" w:rsidR="00793FC7" w:rsidP="00793FC7" w:rsidRDefault="00793FC7" w14:paraId="41C55239"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$ 12.996</w:t>
            </w:r>
          </w:p>
        </w:tc>
        <w:tc>
          <w:tcPr>
            <w:tcW w:w="484" w:type="pct"/>
            <w:noWrap/>
            <w:vAlign w:val="bottom"/>
            <w:hideMark/>
          </w:tcPr>
          <w:p w:rsidRPr="00C8621A" w:rsidR="00793FC7" w:rsidP="00793FC7" w:rsidRDefault="00793FC7" w14:paraId="49F0215C"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w:t>
            </w:r>
          </w:p>
        </w:tc>
        <w:tc>
          <w:tcPr>
            <w:tcW w:w="606" w:type="pct"/>
            <w:noWrap/>
            <w:vAlign w:val="bottom"/>
            <w:hideMark/>
          </w:tcPr>
          <w:p w:rsidRPr="00C8621A" w:rsidR="00793FC7" w:rsidP="00793FC7" w:rsidRDefault="00793FC7" w14:paraId="1C3C994C"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$ 25.604</w:t>
            </w:r>
          </w:p>
        </w:tc>
      </w:tr>
      <w:tr w:rsidRPr="00C8621A" w:rsidR="00793FC7" w:rsidTr="0038515C" w14:paraId="0AC3CF77" w14:textId="77777777">
        <w:trPr>
          <w:trHeight w:val="283"/>
        </w:trPr>
        <w:tc>
          <w:tcPr>
            <w:tcW w:w="658" w:type="pct"/>
            <w:shd w:val="clear" w:color="000000" w:fill="BFBFBF"/>
            <w:vAlign w:val="center"/>
            <w:hideMark/>
          </w:tcPr>
          <w:p w:rsidRPr="00C8621A" w:rsidR="00793FC7" w:rsidP="00793FC7" w:rsidRDefault="00793FC7" w14:paraId="152860A7" w14:textId="77777777">
            <w:pPr>
              <w:spacing w:after="0" w:line="240" w:lineRule="auto"/>
              <w:jc w:val="center"/>
              <w:rPr>
                <w:rFonts w:ascii="Verdana" w:hAnsi="Verdana" w:eastAsia="Times New Roman" w:cs="Times New Roman"/>
                <w:b/>
                <w:bCs/>
                <w:color w:val="000000"/>
                <w:sz w:val="16"/>
                <w:szCs w:val="16"/>
                <w:lang w:eastAsia="es-CO"/>
              </w:rPr>
            </w:pPr>
            <w:r w:rsidRPr="00C8621A">
              <w:rPr>
                <w:rFonts w:ascii="Verdana" w:hAnsi="Verdana" w:eastAsia="Times New Roman" w:cs="Times New Roman"/>
                <w:b/>
                <w:bCs/>
                <w:color w:val="000000"/>
                <w:sz w:val="16"/>
                <w:szCs w:val="16"/>
                <w:lang w:eastAsia="es-CO"/>
              </w:rPr>
              <w:t xml:space="preserve">Total </w:t>
            </w:r>
          </w:p>
        </w:tc>
        <w:tc>
          <w:tcPr>
            <w:tcW w:w="600" w:type="pct"/>
            <w:shd w:val="clear" w:color="000000" w:fill="BFBFBF"/>
            <w:noWrap/>
            <w:vAlign w:val="bottom"/>
            <w:hideMark/>
          </w:tcPr>
          <w:p w:rsidRPr="00C8621A" w:rsidR="00793FC7" w:rsidP="00793FC7" w:rsidRDefault="00793FC7" w14:paraId="4910920D"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$1.167.005</w:t>
            </w:r>
          </w:p>
        </w:tc>
        <w:tc>
          <w:tcPr>
            <w:tcW w:w="631" w:type="pct"/>
            <w:shd w:val="clear" w:color="000000" w:fill="BFBFBF"/>
            <w:noWrap/>
            <w:vAlign w:val="bottom"/>
            <w:hideMark/>
          </w:tcPr>
          <w:p w:rsidRPr="00C8621A" w:rsidR="00793FC7" w:rsidP="00793FC7" w:rsidRDefault="00793FC7" w14:paraId="1BBFDD15"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$ 2.878.911</w:t>
            </w:r>
          </w:p>
        </w:tc>
        <w:tc>
          <w:tcPr>
            <w:tcW w:w="510" w:type="pct"/>
            <w:shd w:val="clear" w:color="000000" w:fill="BFBFBF"/>
            <w:noWrap/>
            <w:vAlign w:val="bottom"/>
            <w:hideMark/>
          </w:tcPr>
          <w:p w:rsidRPr="00C8621A" w:rsidR="00793FC7" w:rsidP="00793FC7" w:rsidRDefault="00793FC7" w14:paraId="2A9138BC"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$156.365</w:t>
            </w:r>
          </w:p>
        </w:tc>
        <w:tc>
          <w:tcPr>
            <w:tcW w:w="484" w:type="pct"/>
            <w:shd w:val="clear" w:color="000000" w:fill="BFBFBF"/>
            <w:noWrap/>
            <w:vAlign w:val="bottom"/>
            <w:hideMark/>
          </w:tcPr>
          <w:p w:rsidRPr="00C8621A" w:rsidR="00793FC7" w:rsidP="00793FC7" w:rsidRDefault="00793FC7" w14:paraId="203A506D"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$ 30.595</w:t>
            </w:r>
          </w:p>
        </w:tc>
        <w:tc>
          <w:tcPr>
            <w:tcW w:w="484" w:type="pct"/>
            <w:shd w:val="clear" w:color="000000" w:fill="BFBFBF"/>
            <w:noWrap/>
            <w:vAlign w:val="bottom"/>
            <w:hideMark/>
          </w:tcPr>
          <w:p w:rsidRPr="00C8621A" w:rsidR="00793FC7" w:rsidP="00793FC7" w:rsidRDefault="00793FC7" w14:paraId="782C2E0D"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$ 19.764</w:t>
            </w:r>
          </w:p>
        </w:tc>
        <w:tc>
          <w:tcPr>
            <w:tcW w:w="542" w:type="pct"/>
            <w:shd w:val="clear" w:color="000000" w:fill="BFBFBF"/>
            <w:noWrap/>
            <w:vAlign w:val="bottom"/>
            <w:hideMark/>
          </w:tcPr>
          <w:p w:rsidRPr="00C8621A" w:rsidR="00793FC7" w:rsidP="00793FC7" w:rsidRDefault="00793FC7" w14:paraId="51EF9B5D"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$ 471.752</w:t>
            </w:r>
          </w:p>
        </w:tc>
        <w:tc>
          <w:tcPr>
            <w:tcW w:w="484" w:type="pct"/>
            <w:shd w:val="clear" w:color="000000" w:fill="BFBFBF"/>
            <w:noWrap/>
            <w:vAlign w:val="bottom"/>
            <w:hideMark/>
          </w:tcPr>
          <w:p w:rsidRPr="00C8621A" w:rsidR="00793FC7" w:rsidP="00793FC7" w:rsidRDefault="00793FC7" w14:paraId="70281553"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$ 62.758</w:t>
            </w:r>
          </w:p>
        </w:tc>
        <w:tc>
          <w:tcPr>
            <w:tcW w:w="606" w:type="pct"/>
            <w:shd w:val="clear" w:color="000000" w:fill="BFBFBF"/>
            <w:noWrap/>
            <w:vAlign w:val="bottom"/>
            <w:hideMark/>
          </w:tcPr>
          <w:p w:rsidRPr="00C8621A" w:rsidR="00793FC7" w:rsidP="00793FC7" w:rsidRDefault="00793FC7" w14:paraId="4CC7097D" w14:textId="77777777">
            <w:pPr>
              <w:spacing w:after="0" w:line="240" w:lineRule="auto"/>
              <w:jc w:val="right"/>
              <w:rPr>
                <w:rFonts w:ascii="Verdana" w:hAnsi="Verdana" w:eastAsia="Times New Roman" w:cs="Times New Roman"/>
                <w:color w:val="000000"/>
                <w:sz w:val="16"/>
                <w:szCs w:val="16"/>
                <w:lang w:eastAsia="es-CO"/>
              </w:rPr>
            </w:pPr>
            <w:r w:rsidRPr="00C8621A">
              <w:rPr>
                <w:rFonts w:ascii="Verdana" w:hAnsi="Verdana" w:eastAsia="Times New Roman" w:cs="Times New Roman"/>
                <w:color w:val="000000"/>
                <w:sz w:val="16"/>
                <w:szCs w:val="16"/>
                <w:lang w:eastAsia="es-CO"/>
              </w:rPr>
              <w:t>$4.787.154</w:t>
            </w:r>
          </w:p>
        </w:tc>
      </w:tr>
    </w:tbl>
    <w:p w:rsidRPr="00C8621A" w:rsidR="00C8621A" w:rsidP="00C8621A" w:rsidRDefault="00C8621A" w14:paraId="14FAAD8C" w14:textId="77777777">
      <w:pPr>
        <w:pStyle w:val="Fuente"/>
        <w:spacing w:after="0"/>
        <w:rPr>
          <w:rFonts w:ascii="Verdana" w:hAnsi="Verdana"/>
          <w:sz w:val="10"/>
          <w:szCs w:val="10"/>
        </w:rPr>
      </w:pPr>
    </w:p>
    <w:p w:rsidRPr="00C8621A" w:rsidR="00793FC7" w:rsidP="00C8621A" w:rsidRDefault="00793FC7" w14:paraId="6FE098DE" w14:textId="5F8DD6F0">
      <w:pPr>
        <w:pStyle w:val="Fuente"/>
        <w:spacing w:after="0"/>
        <w:rPr>
          <w:rFonts w:ascii="Verdana" w:hAnsi="Verdana"/>
        </w:rPr>
      </w:pPr>
      <w:r w:rsidRPr="30CF4445" w:rsidR="4C046B6C">
        <w:rPr>
          <w:rFonts w:ascii="Verdana" w:hAnsi="Verdana"/>
        </w:rPr>
        <w:t>Fuente: Elaboración propia del Grupo de Programación y Gestión Estratégica de Proyectos con información del SIIF Nación del MinHacienda. - Apropiación inicial decreto de liquidación.</w:t>
      </w:r>
    </w:p>
    <w:p w:rsidR="00793FC7" w:rsidP="00793FC7" w:rsidRDefault="00793FC7" w14:paraId="165561A8" w14:textId="77777777">
      <w:pPr>
        <w:spacing w:after="0" w:line="360" w:lineRule="auto"/>
        <w:jc w:val="both"/>
        <w:rPr>
          <w:rFonts w:ascii="Verdana" w:hAnsi="Verdana"/>
          <w:sz w:val="24"/>
          <w:szCs w:val="24"/>
        </w:rPr>
      </w:pPr>
    </w:p>
    <w:p w:rsidRPr="00C8621A" w:rsidR="00C8621A" w:rsidP="00C8621A" w:rsidRDefault="00C8621A" w14:paraId="649017CF" w14:textId="77777777">
      <w:pPr>
        <w:spacing w:after="0" w:line="360" w:lineRule="auto"/>
        <w:jc w:val="both"/>
        <w:rPr>
          <w:rFonts w:ascii="Verdana" w:hAnsi="Verdana"/>
          <w:sz w:val="24"/>
          <w:szCs w:val="24"/>
        </w:rPr>
      </w:pPr>
      <w:r w:rsidRPr="00C8621A">
        <w:rPr>
          <w:rFonts w:ascii="Verdana" w:hAnsi="Verdana"/>
          <w:sz w:val="24"/>
          <w:szCs w:val="24"/>
        </w:rPr>
        <w:t>La anterior asignación de apropiación se distribuye en el Ministerio de Minas y Energía y sus entidades adscritas de la siguiente manera:</w:t>
      </w:r>
    </w:p>
    <w:p w:rsidR="0038515C" w:rsidP="00C8621A" w:rsidRDefault="0038515C" w14:paraId="06EE5FBB" w14:textId="77777777">
      <w:pPr>
        <w:pStyle w:val="Descripcin"/>
        <w:spacing w:after="0"/>
        <w:jc w:val="center"/>
        <w:rPr>
          <w:rFonts w:ascii="Verdana" w:hAnsi="Verdana"/>
          <w:i w:val="0"/>
          <w:iCs w:val="0"/>
          <w:color w:val="auto"/>
        </w:rPr>
      </w:pPr>
    </w:p>
    <w:p w:rsidR="00C8621A" w:rsidP="30CF4445" w:rsidRDefault="09553533" w14:paraId="01DB4242" w14:textId="19046FCC">
      <w:pPr>
        <w:pStyle w:val="Descripcin"/>
        <w:spacing w:after="0"/>
        <w:jc w:val="center"/>
        <w:rPr>
          <w:rFonts w:ascii="Verdana" w:hAnsi="Verdana"/>
          <w:i w:val="0"/>
          <w:iCs w:val="0"/>
          <w:color w:val="auto"/>
        </w:rPr>
      </w:pPr>
      <w:r w:rsidRPr="30CF4445" w:rsidR="1906EA28">
        <w:rPr>
          <w:rFonts w:ascii="Verdana" w:hAnsi="Verdana"/>
          <w:i w:val="0"/>
          <w:iCs w:val="0"/>
          <w:color w:val="auto"/>
        </w:rPr>
        <w:t>Tabla</w:t>
      </w:r>
      <w:r w:rsidRPr="30CF4445" w:rsidR="46025180">
        <w:rPr>
          <w:rFonts w:ascii="Verdana" w:hAnsi="Verdana"/>
          <w:i w:val="0"/>
          <w:iCs w:val="0"/>
          <w:color w:val="auto"/>
        </w:rPr>
        <w:t xml:space="preserve"> No. 3</w:t>
      </w:r>
      <w:r w:rsidRPr="30CF4445" w:rsidR="5AC8E77D">
        <w:rPr>
          <w:rFonts w:ascii="Verdana" w:hAnsi="Verdana"/>
          <w:i w:val="0"/>
          <w:iCs w:val="0"/>
          <w:color w:val="auto"/>
        </w:rPr>
        <w:t>4</w:t>
      </w:r>
      <w:r w:rsidRPr="30CF4445" w:rsidR="1906EA28">
        <w:rPr>
          <w:rFonts w:ascii="Verdana" w:hAnsi="Verdana"/>
          <w:i w:val="0"/>
          <w:iCs w:val="0"/>
          <w:color w:val="auto"/>
        </w:rPr>
        <w:t>. Distribución de la Apropiación del Presupuesto General de la Nación 2022 para el Sector Minero</w:t>
      </w:r>
      <w:r w:rsidRPr="30CF4445" w:rsidR="48664F9C">
        <w:rPr>
          <w:rFonts w:ascii="Verdana" w:hAnsi="Verdana"/>
          <w:i w:val="0"/>
          <w:iCs w:val="0"/>
          <w:color w:val="auto"/>
        </w:rPr>
        <w:t xml:space="preserve"> </w:t>
      </w:r>
      <w:r w:rsidRPr="30CF4445" w:rsidR="1906EA28">
        <w:rPr>
          <w:rFonts w:ascii="Verdana" w:hAnsi="Verdana"/>
          <w:i w:val="0"/>
          <w:iCs w:val="0"/>
          <w:color w:val="auto"/>
        </w:rPr>
        <w:t>Energético</w:t>
      </w:r>
    </w:p>
    <w:tbl>
      <w:tblPr>
        <w:tblW w:w="3700" w:type="dxa"/>
        <w:jc w:val="center"/>
        <w:tblCellMar>
          <w:left w:w="70" w:type="dxa"/>
          <w:right w:w="70" w:type="dxa"/>
        </w:tblCellMar>
        <w:tblLook w:val="04A0" w:firstRow="1" w:lastRow="0" w:firstColumn="1" w:lastColumn="0" w:noHBand="0" w:noVBand="1"/>
      </w:tblPr>
      <w:tblGrid>
        <w:gridCol w:w="1200"/>
        <w:gridCol w:w="2500"/>
      </w:tblGrid>
      <w:tr w:rsidRPr="00C8621A" w:rsidR="00C8621A" w:rsidTr="0038515C" w14:paraId="5E72F878" w14:textId="77777777">
        <w:trPr>
          <w:trHeight w:val="460"/>
          <w:jc w:val="center"/>
        </w:trPr>
        <w:tc>
          <w:tcPr>
            <w:tcW w:w="1200" w:type="dxa"/>
            <w:tcBorders>
              <w:top w:val="single" w:color="auto" w:sz="4" w:space="0"/>
              <w:left w:val="single" w:color="auto" w:sz="4" w:space="0"/>
              <w:bottom w:val="single" w:color="auto" w:sz="4" w:space="0"/>
              <w:right w:val="single" w:color="auto" w:sz="4" w:space="0"/>
            </w:tcBorders>
            <w:shd w:val="clear" w:color="auto" w:fill="A6A6A6" w:themeFill="background1" w:themeFillShade="A6"/>
            <w:vAlign w:val="center"/>
            <w:hideMark/>
          </w:tcPr>
          <w:p w:rsidRPr="00C8621A" w:rsidR="00C8621A" w:rsidP="00C8621A" w:rsidRDefault="00C8621A" w14:paraId="53898FBA" w14:textId="77777777">
            <w:pPr>
              <w:spacing w:after="0" w:line="240" w:lineRule="auto"/>
              <w:jc w:val="center"/>
              <w:rPr>
                <w:rFonts w:ascii="Verdana" w:hAnsi="Verdana" w:eastAsia="Times New Roman" w:cs="Times New Roman"/>
                <w:b/>
                <w:bCs/>
                <w:sz w:val="18"/>
                <w:szCs w:val="18"/>
                <w:lang w:eastAsia="es-CO"/>
              </w:rPr>
            </w:pPr>
            <w:r w:rsidRPr="00C8621A">
              <w:rPr>
                <w:rFonts w:ascii="Verdana" w:hAnsi="Verdana" w:eastAsia="Times New Roman" w:cs="Times New Roman"/>
                <w:b/>
                <w:bCs/>
                <w:sz w:val="18"/>
                <w:szCs w:val="18"/>
                <w:lang w:eastAsia="es-CO"/>
              </w:rPr>
              <w:t>ENTIDAD</w:t>
            </w:r>
          </w:p>
        </w:tc>
        <w:tc>
          <w:tcPr>
            <w:tcW w:w="2500" w:type="dxa"/>
            <w:tcBorders>
              <w:top w:val="single" w:color="auto" w:sz="4" w:space="0"/>
              <w:left w:val="nil"/>
              <w:bottom w:val="single" w:color="auto" w:sz="4" w:space="0"/>
              <w:right w:val="single" w:color="auto" w:sz="4" w:space="0"/>
            </w:tcBorders>
            <w:shd w:val="clear" w:color="auto" w:fill="A6A6A6" w:themeFill="background1" w:themeFillShade="A6"/>
            <w:vAlign w:val="center"/>
            <w:hideMark/>
          </w:tcPr>
          <w:p w:rsidRPr="00C8621A" w:rsidR="00C8621A" w:rsidP="00C8621A" w:rsidRDefault="00C8621A" w14:paraId="5F5BC3CA" w14:textId="77777777">
            <w:pPr>
              <w:spacing w:after="0" w:line="240" w:lineRule="auto"/>
              <w:jc w:val="center"/>
              <w:rPr>
                <w:rFonts w:ascii="Verdana" w:hAnsi="Verdana" w:eastAsia="Times New Roman" w:cs="Times New Roman"/>
                <w:b/>
                <w:bCs/>
                <w:sz w:val="18"/>
                <w:szCs w:val="18"/>
                <w:lang w:eastAsia="es-CO"/>
              </w:rPr>
            </w:pPr>
            <w:r w:rsidRPr="00C8621A">
              <w:rPr>
                <w:rFonts w:ascii="Verdana" w:hAnsi="Verdana" w:eastAsia="Times New Roman" w:cs="Times New Roman"/>
                <w:b/>
                <w:bCs/>
                <w:sz w:val="18"/>
                <w:szCs w:val="18"/>
                <w:lang w:eastAsia="es-CO"/>
              </w:rPr>
              <w:t>Apropiación Inicial 2022</w:t>
            </w:r>
          </w:p>
        </w:tc>
      </w:tr>
      <w:tr w:rsidRPr="00C8621A" w:rsidR="00C8621A" w:rsidTr="00C8621A" w14:paraId="7EB4F8DE" w14:textId="77777777">
        <w:trPr>
          <w:trHeight w:val="290"/>
          <w:jc w:val="center"/>
        </w:trPr>
        <w:tc>
          <w:tcPr>
            <w:tcW w:w="1200" w:type="dxa"/>
            <w:tcBorders>
              <w:top w:val="nil"/>
              <w:left w:val="single" w:color="auto" w:sz="4" w:space="0"/>
              <w:bottom w:val="single" w:color="auto" w:sz="4" w:space="0"/>
              <w:right w:val="single" w:color="auto" w:sz="4" w:space="0"/>
            </w:tcBorders>
            <w:vAlign w:val="center"/>
            <w:hideMark/>
          </w:tcPr>
          <w:p w:rsidRPr="00C8621A" w:rsidR="00C8621A" w:rsidP="00C8621A" w:rsidRDefault="00C8621A" w14:paraId="7BB2F67F" w14:textId="77777777">
            <w:pPr>
              <w:spacing w:after="0" w:line="240" w:lineRule="auto"/>
              <w:jc w:val="center"/>
              <w:rPr>
                <w:rFonts w:ascii="Verdana" w:hAnsi="Verdana" w:eastAsia="Times New Roman" w:cs="Times New Roman"/>
                <w:sz w:val="18"/>
                <w:szCs w:val="18"/>
                <w:lang w:eastAsia="es-CO"/>
              </w:rPr>
            </w:pPr>
            <w:r w:rsidRPr="00C8621A">
              <w:rPr>
                <w:rFonts w:ascii="Verdana" w:hAnsi="Verdana" w:eastAsia="Times New Roman" w:cs="Times New Roman"/>
                <w:sz w:val="18"/>
                <w:szCs w:val="18"/>
                <w:lang w:eastAsia="es-CO"/>
              </w:rPr>
              <w:t>ANH</w:t>
            </w:r>
          </w:p>
        </w:tc>
        <w:tc>
          <w:tcPr>
            <w:tcW w:w="2500" w:type="dxa"/>
            <w:tcBorders>
              <w:top w:val="nil"/>
              <w:left w:val="nil"/>
              <w:bottom w:val="single" w:color="auto" w:sz="4" w:space="0"/>
              <w:right w:val="single" w:color="auto" w:sz="4" w:space="0"/>
            </w:tcBorders>
            <w:noWrap/>
            <w:vAlign w:val="center"/>
            <w:hideMark/>
          </w:tcPr>
          <w:p w:rsidRPr="00C8621A" w:rsidR="00C8621A" w:rsidP="00C8621A" w:rsidRDefault="00C8621A" w14:paraId="1BA75D5A" w14:textId="77777777">
            <w:pPr>
              <w:spacing w:after="0" w:line="240" w:lineRule="auto"/>
              <w:jc w:val="center"/>
              <w:rPr>
                <w:rFonts w:ascii="Verdana" w:hAnsi="Verdana" w:eastAsia="Times New Roman" w:cs="Times New Roman"/>
                <w:sz w:val="18"/>
                <w:szCs w:val="18"/>
                <w:lang w:eastAsia="es-CO"/>
              </w:rPr>
            </w:pPr>
            <w:r w:rsidRPr="00C8621A">
              <w:rPr>
                <w:rFonts w:ascii="Verdana" w:hAnsi="Verdana" w:eastAsia="Times New Roman" w:cs="Times New Roman"/>
                <w:sz w:val="18"/>
                <w:szCs w:val="18"/>
                <w:lang w:eastAsia="es-CO"/>
              </w:rPr>
              <w:t>$ 311.103</w:t>
            </w:r>
          </w:p>
        </w:tc>
      </w:tr>
      <w:tr w:rsidRPr="00C8621A" w:rsidR="00C8621A" w:rsidTr="00C8621A" w14:paraId="1478F878" w14:textId="77777777">
        <w:trPr>
          <w:trHeight w:val="290"/>
          <w:jc w:val="center"/>
        </w:trPr>
        <w:tc>
          <w:tcPr>
            <w:tcW w:w="1200" w:type="dxa"/>
            <w:tcBorders>
              <w:top w:val="nil"/>
              <w:left w:val="single" w:color="auto" w:sz="4" w:space="0"/>
              <w:bottom w:val="single" w:color="auto" w:sz="4" w:space="0"/>
              <w:right w:val="single" w:color="auto" w:sz="4" w:space="0"/>
            </w:tcBorders>
            <w:vAlign w:val="center"/>
            <w:hideMark/>
          </w:tcPr>
          <w:p w:rsidRPr="00C8621A" w:rsidR="00C8621A" w:rsidP="00C8621A" w:rsidRDefault="00C8621A" w14:paraId="7FBC5F2C" w14:textId="77777777">
            <w:pPr>
              <w:spacing w:after="0" w:line="240" w:lineRule="auto"/>
              <w:jc w:val="center"/>
              <w:rPr>
                <w:rFonts w:ascii="Verdana" w:hAnsi="Verdana" w:eastAsia="Times New Roman" w:cs="Times New Roman"/>
                <w:sz w:val="18"/>
                <w:szCs w:val="18"/>
                <w:lang w:eastAsia="es-CO"/>
              </w:rPr>
            </w:pPr>
            <w:r w:rsidRPr="00C8621A">
              <w:rPr>
                <w:rFonts w:ascii="Verdana" w:hAnsi="Verdana" w:eastAsia="Times New Roman" w:cs="Times New Roman"/>
                <w:sz w:val="18"/>
                <w:szCs w:val="18"/>
                <w:lang w:eastAsia="es-CO"/>
              </w:rPr>
              <w:t>ANM</w:t>
            </w:r>
          </w:p>
        </w:tc>
        <w:tc>
          <w:tcPr>
            <w:tcW w:w="2500" w:type="dxa"/>
            <w:tcBorders>
              <w:top w:val="nil"/>
              <w:left w:val="nil"/>
              <w:bottom w:val="single" w:color="auto" w:sz="4" w:space="0"/>
              <w:right w:val="single" w:color="auto" w:sz="4" w:space="0"/>
            </w:tcBorders>
            <w:noWrap/>
            <w:vAlign w:val="center"/>
            <w:hideMark/>
          </w:tcPr>
          <w:p w:rsidRPr="00C8621A" w:rsidR="00C8621A" w:rsidP="00C8621A" w:rsidRDefault="00C8621A" w14:paraId="789C0501" w14:textId="77777777">
            <w:pPr>
              <w:spacing w:after="0" w:line="240" w:lineRule="auto"/>
              <w:jc w:val="center"/>
              <w:rPr>
                <w:rFonts w:ascii="Verdana" w:hAnsi="Verdana" w:eastAsia="Times New Roman" w:cs="Times New Roman"/>
                <w:sz w:val="18"/>
                <w:szCs w:val="18"/>
                <w:lang w:eastAsia="es-CO"/>
              </w:rPr>
            </w:pPr>
            <w:r w:rsidRPr="00C8621A">
              <w:rPr>
                <w:rFonts w:ascii="Verdana" w:hAnsi="Verdana" w:eastAsia="Times New Roman" w:cs="Times New Roman"/>
                <w:sz w:val="18"/>
                <w:szCs w:val="18"/>
                <w:lang w:eastAsia="es-CO"/>
              </w:rPr>
              <w:t>$ 19.500</w:t>
            </w:r>
          </w:p>
        </w:tc>
      </w:tr>
      <w:tr w:rsidRPr="00C8621A" w:rsidR="00C8621A" w:rsidTr="00C8621A" w14:paraId="2C5085E8" w14:textId="77777777">
        <w:trPr>
          <w:trHeight w:val="290"/>
          <w:jc w:val="center"/>
        </w:trPr>
        <w:tc>
          <w:tcPr>
            <w:tcW w:w="1200" w:type="dxa"/>
            <w:tcBorders>
              <w:top w:val="nil"/>
              <w:left w:val="single" w:color="auto" w:sz="4" w:space="0"/>
              <w:bottom w:val="single" w:color="auto" w:sz="4" w:space="0"/>
              <w:right w:val="single" w:color="auto" w:sz="4" w:space="0"/>
            </w:tcBorders>
            <w:vAlign w:val="center"/>
            <w:hideMark/>
          </w:tcPr>
          <w:p w:rsidRPr="00C8621A" w:rsidR="00C8621A" w:rsidP="00C8621A" w:rsidRDefault="00C8621A" w14:paraId="7FE0C5DE" w14:textId="77777777">
            <w:pPr>
              <w:spacing w:after="0" w:line="240" w:lineRule="auto"/>
              <w:jc w:val="center"/>
              <w:rPr>
                <w:rFonts w:ascii="Verdana" w:hAnsi="Verdana" w:eastAsia="Times New Roman" w:cs="Times New Roman"/>
                <w:sz w:val="18"/>
                <w:szCs w:val="18"/>
                <w:lang w:eastAsia="es-CO"/>
              </w:rPr>
            </w:pPr>
            <w:r w:rsidRPr="00C8621A">
              <w:rPr>
                <w:rFonts w:ascii="Verdana" w:hAnsi="Verdana" w:eastAsia="Times New Roman" w:cs="Times New Roman"/>
                <w:sz w:val="18"/>
                <w:szCs w:val="18"/>
                <w:lang w:eastAsia="es-CO"/>
              </w:rPr>
              <w:t>CREG</w:t>
            </w:r>
          </w:p>
        </w:tc>
        <w:tc>
          <w:tcPr>
            <w:tcW w:w="2500" w:type="dxa"/>
            <w:tcBorders>
              <w:top w:val="nil"/>
              <w:left w:val="nil"/>
              <w:bottom w:val="single" w:color="auto" w:sz="4" w:space="0"/>
              <w:right w:val="single" w:color="auto" w:sz="4" w:space="0"/>
            </w:tcBorders>
            <w:noWrap/>
            <w:vAlign w:val="center"/>
            <w:hideMark/>
          </w:tcPr>
          <w:p w:rsidRPr="00C8621A" w:rsidR="00C8621A" w:rsidP="00C8621A" w:rsidRDefault="00C8621A" w14:paraId="6D13D147" w14:textId="77777777">
            <w:pPr>
              <w:spacing w:after="0" w:line="240" w:lineRule="auto"/>
              <w:jc w:val="center"/>
              <w:rPr>
                <w:rFonts w:ascii="Verdana" w:hAnsi="Verdana" w:eastAsia="Times New Roman" w:cs="Times New Roman"/>
                <w:sz w:val="18"/>
                <w:szCs w:val="18"/>
                <w:lang w:eastAsia="es-CO"/>
              </w:rPr>
            </w:pPr>
            <w:r w:rsidRPr="00C8621A">
              <w:rPr>
                <w:rFonts w:ascii="Verdana" w:hAnsi="Verdana" w:eastAsia="Times New Roman" w:cs="Times New Roman"/>
                <w:sz w:val="18"/>
                <w:szCs w:val="18"/>
                <w:lang w:eastAsia="es-CO"/>
              </w:rPr>
              <w:t>$ 11.523</w:t>
            </w:r>
          </w:p>
        </w:tc>
      </w:tr>
      <w:tr w:rsidRPr="00C8621A" w:rsidR="00C8621A" w:rsidTr="00C8621A" w14:paraId="215C5477" w14:textId="77777777">
        <w:trPr>
          <w:trHeight w:val="290"/>
          <w:jc w:val="center"/>
        </w:trPr>
        <w:tc>
          <w:tcPr>
            <w:tcW w:w="1200" w:type="dxa"/>
            <w:tcBorders>
              <w:top w:val="nil"/>
              <w:left w:val="single" w:color="auto" w:sz="4" w:space="0"/>
              <w:bottom w:val="single" w:color="auto" w:sz="4" w:space="0"/>
              <w:right w:val="single" w:color="auto" w:sz="4" w:space="0"/>
            </w:tcBorders>
            <w:vAlign w:val="center"/>
            <w:hideMark/>
          </w:tcPr>
          <w:p w:rsidRPr="00C8621A" w:rsidR="00C8621A" w:rsidP="00C8621A" w:rsidRDefault="00C8621A" w14:paraId="282DEB87" w14:textId="77777777">
            <w:pPr>
              <w:spacing w:after="0" w:line="240" w:lineRule="auto"/>
              <w:jc w:val="center"/>
              <w:rPr>
                <w:rFonts w:ascii="Verdana" w:hAnsi="Verdana" w:eastAsia="Times New Roman" w:cs="Times New Roman"/>
                <w:sz w:val="18"/>
                <w:szCs w:val="18"/>
                <w:lang w:eastAsia="es-CO"/>
              </w:rPr>
            </w:pPr>
            <w:r w:rsidRPr="00C8621A">
              <w:rPr>
                <w:rFonts w:ascii="Verdana" w:hAnsi="Verdana" w:eastAsia="Times New Roman" w:cs="Times New Roman"/>
                <w:sz w:val="18"/>
                <w:szCs w:val="18"/>
                <w:lang w:eastAsia="es-CO"/>
              </w:rPr>
              <w:t>IPSE</w:t>
            </w:r>
          </w:p>
        </w:tc>
        <w:tc>
          <w:tcPr>
            <w:tcW w:w="2500" w:type="dxa"/>
            <w:tcBorders>
              <w:top w:val="nil"/>
              <w:left w:val="nil"/>
              <w:bottom w:val="single" w:color="auto" w:sz="4" w:space="0"/>
              <w:right w:val="single" w:color="auto" w:sz="4" w:space="0"/>
            </w:tcBorders>
            <w:noWrap/>
            <w:vAlign w:val="center"/>
            <w:hideMark/>
          </w:tcPr>
          <w:p w:rsidRPr="00C8621A" w:rsidR="00C8621A" w:rsidP="00C8621A" w:rsidRDefault="00C8621A" w14:paraId="04B15025" w14:textId="77777777">
            <w:pPr>
              <w:spacing w:after="0" w:line="240" w:lineRule="auto"/>
              <w:jc w:val="center"/>
              <w:rPr>
                <w:rFonts w:ascii="Verdana" w:hAnsi="Verdana" w:eastAsia="Times New Roman" w:cs="Times New Roman"/>
                <w:sz w:val="18"/>
                <w:szCs w:val="18"/>
                <w:lang w:eastAsia="es-CO"/>
              </w:rPr>
            </w:pPr>
            <w:r w:rsidRPr="00C8621A">
              <w:rPr>
                <w:rFonts w:ascii="Verdana" w:hAnsi="Verdana" w:eastAsia="Times New Roman" w:cs="Times New Roman"/>
                <w:sz w:val="18"/>
                <w:szCs w:val="18"/>
                <w:lang w:eastAsia="es-CO"/>
              </w:rPr>
              <w:t>$ 235.664</w:t>
            </w:r>
          </w:p>
        </w:tc>
      </w:tr>
      <w:tr w:rsidRPr="00C8621A" w:rsidR="00C8621A" w:rsidTr="00C8621A" w14:paraId="1E628D46" w14:textId="77777777">
        <w:trPr>
          <w:trHeight w:val="290"/>
          <w:jc w:val="center"/>
        </w:trPr>
        <w:tc>
          <w:tcPr>
            <w:tcW w:w="1200" w:type="dxa"/>
            <w:tcBorders>
              <w:top w:val="nil"/>
              <w:left w:val="single" w:color="auto" w:sz="4" w:space="0"/>
              <w:bottom w:val="single" w:color="auto" w:sz="4" w:space="0"/>
              <w:right w:val="single" w:color="auto" w:sz="4" w:space="0"/>
            </w:tcBorders>
            <w:vAlign w:val="center"/>
            <w:hideMark/>
          </w:tcPr>
          <w:p w:rsidRPr="00C8621A" w:rsidR="00C8621A" w:rsidP="00C8621A" w:rsidRDefault="00C8621A" w14:paraId="6E211578" w14:textId="77777777">
            <w:pPr>
              <w:spacing w:after="0" w:line="240" w:lineRule="auto"/>
              <w:jc w:val="center"/>
              <w:rPr>
                <w:rFonts w:ascii="Verdana" w:hAnsi="Verdana" w:eastAsia="Times New Roman" w:cs="Times New Roman"/>
                <w:sz w:val="18"/>
                <w:szCs w:val="18"/>
                <w:lang w:eastAsia="es-CO"/>
              </w:rPr>
            </w:pPr>
            <w:r w:rsidRPr="00C8621A">
              <w:rPr>
                <w:rFonts w:ascii="Verdana" w:hAnsi="Verdana" w:eastAsia="Times New Roman" w:cs="Times New Roman"/>
                <w:sz w:val="18"/>
                <w:szCs w:val="18"/>
                <w:lang w:eastAsia="es-CO"/>
              </w:rPr>
              <w:t>MME</w:t>
            </w:r>
          </w:p>
        </w:tc>
        <w:tc>
          <w:tcPr>
            <w:tcW w:w="2500" w:type="dxa"/>
            <w:tcBorders>
              <w:top w:val="nil"/>
              <w:left w:val="nil"/>
              <w:bottom w:val="single" w:color="auto" w:sz="4" w:space="0"/>
              <w:right w:val="single" w:color="auto" w:sz="4" w:space="0"/>
            </w:tcBorders>
            <w:noWrap/>
            <w:vAlign w:val="center"/>
            <w:hideMark/>
          </w:tcPr>
          <w:p w:rsidRPr="00C8621A" w:rsidR="00C8621A" w:rsidP="00C8621A" w:rsidRDefault="00C8621A" w14:paraId="06419E4C" w14:textId="77777777">
            <w:pPr>
              <w:spacing w:after="0" w:line="240" w:lineRule="auto"/>
              <w:jc w:val="center"/>
              <w:rPr>
                <w:rFonts w:ascii="Verdana" w:hAnsi="Verdana" w:eastAsia="Times New Roman" w:cs="Times New Roman"/>
                <w:sz w:val="18"/>
                <w:szCs w:val="18"/>
                <w:lang w:eastAsia="es-CO"/>
              </w:rPr>
            </w:pPr>
            <w:r w:rsidRPr="00C8621A">
              <w:rPr>
                <w:rFonts w:ascii="Verdana" w:hAnsi="Verdana" w:eastAsia="Times New Roman" w:cs="Times New Roman"/>
                <w:sz w:val="18"/>
                <w:szCs w:val="18"/>
                <w:lang w:eastAsia="es-CO"/>
              </w:rPr>
              <w:t>$ 4.008.535</w:t>
            </w:r>
          </w:p>
        </w:tc>
      </w:tr>
      <w:tr w:rsidRPr="00C8621A" w:rsidR="00C8621A" w:rsidTr="00C8621A" w14:paraId="495888D4" w14:textId="77777777">
        <w:trPr>
          <w:trHeight w:val="290"/>
          <w:jc w:val="center"/>
        </w:trPr>
        <w:tc>
          <w:tcPr>
            <w:tcW w:w="1200" w:type="dxa"/>
            <w:tcBorders>
              <w:top w:val="nil"/>
              <w:left w:val="single" w:color="auto" w:sz="4" w:space="0"/>
              <w:bottom w:val="single" w:color="auto" w:sz="4" w:space="0"/>
              <w:right w:val="single" w:color="auto" w:sz="4" w:space="0"/>
            </w:tcBorders>
            <w:vAlign w:val="center"/>
            <w:hideMark/>
          </w:tcPr>
          <w:p w:rsidRPr="00C8621A" w:rsidR="00C8621A" w:rsidP="00C8621A" w:rsidRDefault="00C8621A" w14:paraId="45D26ABB" w14:textId="77777777">
            <w:pPr>
              <w:spacing w:after="0" w:line="240" w:lineRule="auto"/>
              <w:jc w:val="center"/>
              <w:rPr>
                <w:rFonts w:ascii="Verdana" w:hAnsi="Verdana" w:eastAsia="Times New Roman" w:cs="Times New Roman"/>
                <w:sz w:val="18"/>
                <w:szCs w:val="18"/>
                <w:lang w:eastAsia="es-CO"/>
              </w:rPr>
            </w:pPr>
            <w:r w:rsidRPr="00C8621A">
              <w:rPr>
                <w:rFonts w:ascii="Verdana" w:hAnsi="Verdana" w:eastAsia="Times New Roman" w:cs="Times New Roman"/>
                <w:sz w:val="18"/>
                <w:szCs w:val="18"/>
                <w:lang w:eastAsia="es-CO"/>
              </w:rPr>
              <w:t>SGC</w:t>
            </w:r>
          </w:p>
        </w:tc>
        <w:tc>
          <w:tcPr>
            <w:tcW w:w="2500" w:type="dxa"/>
            <w:tcBorders>
              <w:top w:val="nil"/>
              <w:left w:val="nil"/>
              <w:bottom w:val="single" w:color="auto" w:sz="4" w:space="0"/>
              <w:right w:val="single" w:color="auto" w:sz="4" w:space="0"/>
            </w:tcBorders>
            <w:noWrap/>
            <w:vAlign w:val="center"/>
            <w:hideMark/>
          </w:tcPr>
          <w:p w:rsidRPr="00C8621A" w:rsidR="00C8621A" w:rsidP="00C8621A" w:rsidRDefault="00C8621A" w14:paraId="34555988" w14:textId="77777777">
            <w:pPr>
              <w:spacing w:after="0" w:line="240" w:lineRule="auto"/>
              <w:jc w:val="center"/>
              <w:rPr>
                <w:rFonts w:ascii="Verdana" w:hAnsi="Verdana" w:eastAsia="Times New Roman" w:cs="Times New Roman"/>
                <w:sz w:val="18"/>
                <w:szCs w:val="18"/>
                <w:lang w:eastAsia="es-CO"/>
              </w:rPr>
            </w:pPr>
            <w:r w:rsidRPr="00C8621A">
              <w:rPr>
                <w:rFonts w:ascii="Verdana" w:hAnsi="Verdana" w:eastAsia="Times New Roman" w:cs="Times New Roman"/>
                <w:sz w:val="18"/>
                <w:szCs w:val="18"/>
                <w:lang w:eastAsia="es-CO"/>
              </w:rPr>
              <w:t>$ 175.224</w:t>
            </w:r>
          </w:p>
        </w:tc>
      </w:tr>
      <w:tr w:rsidRPr="00C8621A" w:rsidR="00C8621A" w:rsidTr="00C8621A" w14:paraId="070340C3" w14:textId="77777777">
        <w:trPr>
          <w:trHeight w:val="290"/>
          <w:jc w:val="center"/>
        </w:trPr>
        <w:tc>
          <w:tcPr>
            <w:tcW w:w="1200" w:type="dxa"/>
            <w:tcBorders>
              <w:top w:val="nil"/>
              <w:left w:val="single" w:color="auto" w:sz="4" w:space="0"/>
              <w:bottom w:val="single" w:color="auto" w:sz="4" w:space="0"/>
              <w:right w:val="single" w:color="auto" w:sz="4" w:space="0"/>
            </w:tcBorders>
            <w:vAlign w:val="center"/>
            <w:hideMark/>
          </w:tcPr>
          <w:p w:rsidRPr="00C8621A" w:rsidR="00C8621A" w:rsidP="00C8621A" w:rsidRDefault="00C8621A" w14:paraId="6485FF5C" w14:textId="77777777">
            <w:pPr>
              <w:spacing w:after="0" w:line="240" w:lineRule="auto"/>
              <w:jc w:val="center"/>
              <w:rPr>
                <w:rFonts w:ascii="Verdana" w:hAnsi="Verdana" w:eastAsia="Times New Roman" w:cs="Times New Roman"/>
                <w:sz w:val="18"/>
                <w:szCs w:val="18"/>
                <w:lang w:eastAsia="es-CO"/>
              </w:rPr>
            </w:pPr>
            <w:r w:rsidRPr="00C8621A">
              <w:rPr>
                <w:rFonts w:ascii="Verdana" w:hAnsi="Verdana" w:eastAsia="Times New Roman" w:cs="Times New Roman"/>
                <w:sz w:val="18"/>
                <w:szCs w:val="18"/>
                <w:lang w:eastAsia="es-CO"/>
              </w:rPr>
              <w:t>UPME</w:t>
            </w:r>
          </w:p>
        </w:tc>
        <w:tc>
          <w:tcPr>
            <w:tcW w:w="2500" w:type="dxa"/>
            <w:tcBorders>
              <w:top w:val="nil"/>
              <w:left w:val="nil"/>
              <w:bottom w:val="single" w:color="auto" w:sz="4" w:space="0"/>
              <w:right w:val="single" w:color="auto" w:sz="4" w:space="0"/>
            </w:tcBorders>
            <w:noWrap/>
            <w:vAlign w:val="center"/>
            <w:hideMark/>
          </w:tcPr>
          <w:p w:rsidRPr="00C8621A" w:rsidR="00C8621A" w:rsidP="00C8621A" w:rsidRDefault="00C8621A" w14:paraId="03A25E2B" w14:textId="77777777">
            <w:pPr>
              <w:spacing w:after="0" w:line="240" w:lineRule="auto"/>
              <w:jc w:val="center"/>
              <w:rPr>
                <w:rFonts w:ascii="Verdana" w:hAnsi="Verdana" w:eastAsia="Times New Roman" w:cs="Times New Roman"/>
                <w:sz w:val="18"/>
                <w:szCs w:val="18"/>
                <w:lang w:eastAsia="es-CO"/>
              </w:rPr>
            </w:pPr>
            <w:r w:rsidRPr="00C8621A">
              <w:rPr>
                <w:rFonts w:ascii="Verdana" w:hAnsi="Verdana" w:eastAsia="Times New Roman" w:cs="Times New Roman"/>
                <w:sz w:val="18"/>
                <w:szCs w:val="18"/>
                <w:lang w:eastAsia="es-CO"/>
              </w:rPr>
              <w:t>$ 25.604</w:t>
            </w:r>
          </w:p>
        </w:tc>
      </w:tr>
      <w:tr w:rsidRPr="00C8621A" w:rsidR="00C8621A" w:rsidTr="00C8621A" w14:paraId="5660FF1B" w14:textId="77777777">
        <w:trPr>
          <w:trHeight w:val="460"/>
          <w:jc w:val="center"/>
        </w:trPr>
        <w:tc>
          <w:tcPr>
            <w:tcW w:w="1200" w:type="dxa"/>
            <w:tcBorders>
              <w:top w:val="nil"/>
              <w:left w:val="single" w:color="auto" w:sz="4" w:space="0"/>
              <w:bottom w:val="single" w:color="auto" w:sz="4" w:space="0"/>
              <w:right w:val="single" w:color="auto" w:sz="4" w:space="0"/>
            </w:tcBorders>
            <w:shd w:val="clear" w:color="000000" w:fill="BFBFBF"/>
            <w:vAlign w:val="center"/>
            <w:hideMark/>
          </w:tcPr>
          <w:p w:rsidRPr="00C8621A" w:rsidR="00C8621A" w:rsidP="00C8621A" w:rsidRDefault="00C8621A" w14:paraId="22D8219A" w14:textId="77777777">
            <w:pPr>
              <w:spacing w:after="0" w:line="240" w:lineRule="auto"/>
              <w:jc w:val="center"/>
              <w:rPr>
                <w:rFonts w:ascii="Verdana" w:hAnsi="Verdana" w:eastAsia="Times New Roman" w:cs="Times New Roman"/>
                <w:b/>
                <w:bCs/>
                <w:sz w:val="18"/>
                <w:szCs w:val="18"/>
                <w:lang w:eastAsia="es-CO"/>
              </w:rPr>
            </w:pPr>
            <w:r w:rsidRPr="00C8621A">
              <w:rPr>
                <w:rFonts w:ascii="Verdana" w:hAnsi="Verdana" w:eastAsia="Times New Roman" w:cs="Times New Roman"/>
                <w:b/>
                <w:bCs/>
                <w:sz w:val="18"/>
                <w:szCs w:val="18"/>
                <w:lang w:eastAsia="es-CO"/>
              </w:rPr>
              <w:t>Total, Sector</w:t>
            </w:r>
          </w:p>
        </w:tc>
        <w:tc>
          <w:tcPr>
            <w:tcW w:w="2500" w:type="dxa"/>
            <w:tcBorders>
              <w:top w:val="nil"/>
              <w:left w:val="nil"/>
              <w:bottom w:val="single" w:color="auto" w:sz="4" w:space="0"/>
              <w:right w:val="single" w:color="auto" w:sz="4" w:space="0"/>
            </w:tcBorders>
            <w:shd w:val="clear" w:color="000000" w:fill="BFBFBF"/>
            <w:noWrap/>
            <w:vAlign w:val="center"/>
            <w:hideMark/>
          </w:tcPr>
          <w:p w:rsidRPr="00C8621A" w:rsidR="00C8621A" w:rsidP="00C8621A" w:rsidRDefault="00C8621A" w14:paraId="588DE397" w14:textId="77777777">
            <w:pPr>
              <w:spacing w:after="0" w:line="240" w:lineRule="auto"/>
              <w:jc w:val="center"/>
              <w:rPr>
                <w:rFonts w:ascii="Verdana" w:hAnsi="Verdana" w:eastAsia="Times New Roman" w:cs="Times New Roman"/>
                <w:sz w:val="18"/>
                <w:szCs w:val="18"/>
                <w:lang w:eastAsia="es-CO"/>
              </w:rPr>
            </w:pPr>
            <w:r w:rsidRPr="00C8621A">
              <w:rPr>
                <w:rFonts w:ascii="Verdana" w:hAnsi="Verdana" w:eastAsia="Times New Roman" w:cs="Times New Roman"/>
                <w:sz w:val="18"/>
                <w:szCs w:val="18"/>
                <w:lang w:eastAsia="es-CO"/>
              </w:rPr>
              <w:t>$ 4.787.154</w:t>
            </w:r>
          </w:p>
        </w:tc>
      </w:tr>
    </w:tbl>
    <w:p w:rsidRPr="00C8621A" w:rsidR="00C8621A" w:rsidP="00C8621A" w:rsidRDefault="00C8621A" w14:paraId="6227942F" w14:textId="77777777">
      <w:pPr>
        <w:pStyle w:val="Fuente"/>
        <w:spacing w:after="0"/>
        <w:rPr>
          <w:rFonts w:ascii="Verdana" w:hAnsi="Verdana"/>
        </w:rPr>
      </w:pPr>
      <w:r w:rsidRPr="00C8621A">
        <w:rPr>
          <w:rFonts w:ascii="Verdana" w:hAnsi="Verdana"/>
        </w:rPr>
        <w:t>Fuente: Elaboración propia del Grupo de</w:t>
      </w:r>
      <w:r>
        <w:rPr>
          <w:rFonts w:ascii="Verdana" w:hAnsi="Verdana"/>
        </w:rPr>
        <w:t xml:space="preserve"> </w:t>
      </w:r>
      <w:r w:rsidRPr="00C8621A">
        <w:rPr>
          <w:rFonts w:ascii="Verdana" w:hAnsi="Verdana"/>
        </w:rPr>
        <w:t>Programación y Gestión Estratégica de</w:t>
      </w:r>
      <w:r>
        <w:rPr>
          <w:rFonts w:ascii="Verdana" w:hAnsi="Verdana"/>
        </w:rPr>
        <w:t xml:space="preserve"> </w:t>
      </w:r>
      <w:r w:rsidRPr="00C8621A">
        <w:rPr>
          <w:rFonts w:ascii="Verdana" w:hAnsi="Verdana"/>
        </w:rPr>
        <w:t>Proyectos información - Apropiación inicial decreto de liquidación.</w:t>
      </w:r>
    </w:p>
    <w:p w:rsidR="00C8621A" w:rsidP="006A0A13" w:rsidRDefault="00C8621A" w14:paraId="236CC610" w14:textId="77777777">
      <w:pPr>
        <w:spacing w:after="0" w:line="360" w:lineRule="auto"/>
        <w:jc w:val="both"/>
        <w:rPr>
          <w:rFonts w:ascii="Verdana" w:hAnsi="Verdana"/>
          <w:sz w:val="24"/>
          <w:szCs w:val="24"/>
        </w:rPr>
      </w:pPr>
    </w:p>
    <w:p w:rsidRPr="00C8621A" w:rsidR="00C8621A" w:rsidP="006A0A13" w:rsidRDefault="00C8621A" w14:paraId="1EF71860" w14:textId="77777777">
      <w:pPr>
        <w:spacing w:after="0" w:line="360" w:lineRule="auto"/>
        <w:jc w:val="both"/>
        <w:rPr>
          <w:rFonts w:ascii="Verdana" w:hAnsi="Verdana"/>
          <w:b/>
          <w:bCs/>
          <w:sz w:val="24"/>
          <w:szCs w:val="24"/>
        </w:rPr>
      </w:pPr>
      <w:r w:rsidRPr="00C8621A">
        <w:rPr>
          <w:rFonts w:ascii="Verdana" w:hAnsi="Verdana"/>
          <w:b/>
          <w:bCs/>
          <w:sz w:val="24"/>
          <w:szCs w:val="24"/>
        </w:rPr>
        <w:t>Vigencia 2023</w:t>
      </w:r>
    </w:p>
    <w:p w:rsidR="00C8621A" w:rsidP="006A0A13" w:rsidRDefault="00C8621A" w14:paraId="086ED612" w14:textId="77777777">
      <w:pPr>
        <w:spacing w:after="0" w:line="360" w:lineRule="auto"/>
        <w:jc w:val="both"/>
        <w:rPr>
          <w:rFonts w:ascii="Verdana" w:hAnsi="Verdana"/>
          <w:sz w:val="24"/>
          <w:szCs w:val="24"/>
        </w:rPr>
      </w:pPr>
    </w:p>
    <w:p w:rsidR="00C8621A" w:rsidP="006A0A13" w:rsidRDefault="00C8621A" w14:paraId="1F17370D" w14:textId="3D47039E">
      <w:pPr>
        <w:spacing w:after="0" w:line="360" w:lineRule="auto"/>
        <w:jc w:val="both"/>
        <w:rPr>
          <w:rFonts w:ascii="Verdana" w:hAnsi="Verdana"/>
          <w:sz w:val="24"/>
          <w:szCs w:val="24"/>
        </w:rPr>
      </w:pPr>
      <w:r w:rsidRPr="30CF4445" w:rsidR="08E8BA19">
        <w:rPr>
          <w:rFonts w:ascii="Verdana" w:hAnsi="Verdana"/>
          <w:sz w:val="24"/>
          <w:szCs w:val="24"/>
        </w:rPr>
        <w:t xml:space="preserve">De acuerdo con el Decreto 2590 del 23 diciembre de 2022, </w:t>
      </w:r>
      <w:r w:rsidRPr="30CF4445" w:rsidR="11B1FE8F">
        <w:rPr>
          <w:rFonts w:ascii="Verdana" w:hAnsi="Verdana"/>
          <w:sz w:val="24"/>
          <w:szCs w:val="24"/>
        </w:rPr>
        <w:t>p</w:t>
      </w:r>
      <w:r w:rsidRPr="30CF4445" w:rsidR="08E8BA19">
        <w:rPr>
          <w:rFonts w:ascii="Verdana" w:hAnsi="Verdana"/>
          <w:sz w:val="24"/>
          <w:szCs w:val="24"/>
        </w:rPr>
        <w:t>or el cual se liquida el Presupuesto General de la Nación para la vigencia fiscal de 2023, se detallan las apropiaciones, se clasifican y definen los gastos, a continuación, se detalla la distribución por programa presupuestal asociado al Sector Minas y Energía:</w:t>
      </w:r>
    </w:p>
    <w:p w:rsidRPr="00C8621A" w:rsidR="00C8621A" w:rsidRDefault="00C8621A" w14:paraId="58A79E46" w14:textId="77777777">
      <w:pPr>
        <w:pStyle w:val="Prrafodelista"/>
        <w:numPr>
          <w:ilvl w:val="0"/>
          <w:numId w:val="71"/>
        </w:numPr>
        <w:spacing w:after="0" w:line="360" w:lineRule="auto"/>
        <w:jc w:val="both"/>
        <w:rPr>
          <w:rFonts w:ascii="Verdana" w:hAnsi="Verdana"/>
          <w:sz w:val="24"/>
          <w:szCs w:val="24"/>
        </w:rPr>
      </w:pPr>
      <w:r w:rsidRPr="00C8621A">
        <w:rPr>
          <w:rFonts w:ascii="Verdana" w:hAnsi="Verdana"/>
          <w:sz w:val="24"/>
          <w:szCs w:val="24"/>
        </w:rPr>
        <w:t>2101: Acceso al Servicio Público Domiciliario de Gas Combustible:</w:t>
      </w:r>
    </w:p>
    <w:p w:rsidRPr="00C8621A" w:rsidR="00C8621A" w:rsidP="006A0A13" w:rsidRDefault="00C8621A" w14:paraId="316FD83E" w14:textId="77777777">
      <w:pPr>
        <w:pStyle w:val="Prrafodelista"/>
        <w:spacing w:after="0" w:line="360" w:lineRule="auto"/>
        <w:jc w:val="both"/>
        <w:rPr>
          <w:rFonts w:ascii="Verdana" w:hAnsi="Verdana"/>
          <w:sz w:val="24"/>
          <w:szCs w:val="24"/>
        </w:rPr>
      </w:pPr>
      <w:r w:rsidRPr="00C8621A">
        <w:rPr>
          <w:rFonts w:ascii="Verdana" w:hAnsi="Verdana"/>
          <w:sz w:val="24"/>
          <w:szCs w:val="24"/>
        </w:rPr>
        <w:t>$1.099.605 millones.</w:t>
      </w:r>
    </w:p>
    <w:p w:rsidRPr="00C8621A" w:rsidR="00C8621A" w:rsidRDefault="00C8621A" w14:paraId="2AC7A32F" w14:textId="77777777">
      <w:pPr>
        <w:pStyle w:val="Prrafodelista"/>
        <w:numPr>
          <w:ilvl w:val="0"/>
          <w:numId w:val="71"/>
        </w:numPr>
        <w:spacing w:after="0" w:line="360" w:lineRule="auto"/>
        <w:jc w:val="both"/>
        <w:rPr>
          <w:rFonts w:ascii="Verdana" w:hAnsi="Verdana"/>
          <w:sz w:val="24"/>
          <w:szCs w:val="24"/>
        </w:rPr>
      </w:pPr>
      <w:r w:rsidRPr="00C8621A">
        <w:rPr>
          <w:rFonts w:ascii="Verdana" w:hAnsi="Verdana"/>
          <w:sz w:val="24"/>
          <w:szCs w:val="24"/>
        </w:rPr>
        <w:t>2102: Consolidación Productiva del Sector de Energía Eléctrica:</w:t>
      </w:r>
    </w:p>
    <w:p w:rsidRPr="00C8621A" w:rsidR="00C8621A" w:rsidP="006A0A13" w:rsidRDefault="00C8621A" w14:paraId="47CC01B0" w14:textId="77777777">
      <w:pPr>
        <w:pStyle w:val="Prrafodelista"/>
        <w:spacing w:after="0" w:line="360" w:lineRule="auto"/>
        <w:jc w:val="both"/>
        <w:rPr>
          <w:rFonts w:ascii="Verdana" w:hAnsi="Verdana"/>
          <w:sz w:val="24"/>
          <w:szCs w:val="24"/>
        </w:rPr>
      </w:pPr>
      <w:r w:rsidRPr="00C8621A">
        <w:rPr>
          <w:rFonts w:ascii="Verdana" w:hAnsi="Verdana"/>
          <w:sz w:val="24"/>
          <w:szCs w:val="24"/>
        </w:rPr>
        <w:t>$3.867.863 millones.</w:t>
      </w:r>
    </w:p>
    <w:p w:rsidRPr="00C8621A" w:rsidR="00C8621A" w:rsidRDefault="00C8621A" w14:paraId="78699EF1" w14:textId="77777777">
      <w:pPr>
        <w:pStyle w:val="Prrafodelista"/>
        <w:numPr>
          <w:ilvl w:val="0"/>
          <w:numId w:val="71"/>
        </w:numPr>
        <w:spacing w:after="0" w:line="360" w:lineRule="auto"/>
        <w:jc w:val="both"/>
        <w:rPr>
          <w:rFonts w:ascii="Verdana" w:hAnsi="Verdana"/>
          <w:sz w:val="24"/>
          <w:szCs w:val="24"/>
        </w:rPr>
      </w:pPr>
      <w:r w:rsidRPr="00C8621A">
        <w:rPr>
          <w:rFonts w:ascii="Verdana" w:hAnsi="Verdana"/>
          <w:sz w:val="24"/>
          <w:szCs w:val="24"/>
        </w:rPr>
        <w:t xml:space="preserve">2103: Consolidación Productiva del Sector de Hidrocarburos: </w:t>
      </w:r>
    </w:p>
    <w:p w:rsidRPr="00C8621A" w:rsidR="00C8621A" w:rsidP="006A0A13" w:rsidRDefault="00C8621A" w14:paraId="070373DF" w14:textId="77777777">
      <w:pPr>
        <w:pStyle w:val="Prrafodelista"/>
        <w:spacing w:after="0" w:line="360" w:lineRule="auto"/>
        <w:jc w:val="both"/>
        <w:rPr>
          <w:rFonts w:ascii="Verdana" w:hAnsi="Verdana"/>
          <w:sz w:val="24"/>
          <w:szCs w:val="24"/>
        </w:rPr>
      </w:pPr>
      <w:r w:rsidRPr="00C8621A">
        <w:rPr>
          <w:rFonts w:ascii="Verdana" w:hAnsi="Verdana"/>
          <w:sz w:val="24"/>
          <w:szCs w:val="24"/>
        </w:rPr>
        <w:t>$14.273.604 millones.</w:t>
      </w:r>
    </w:p>
    <w:p w:rsidR="00C8621A" w:rsidRDefault="00C8621A" w14:paraId="2A80F047" w14:textId="77777777">
      <w:pPr>
        <w:pStyle w:val="Prrafodelista"/>
        <w:numPr>
          <w:ilvl w:val="0"/>
          <w:numId w:val="71"/>
        </w:numPr>
        <w:spacing w:after="0" w:line="360" w:lineRule="auto"/>
        <w:jc w:val="both"/>
        <w:rPr>
          <w:rFonts w:ascii="Verdana" w:hAnsi="Verdana"/>
          <w:sz w:val="24"/>
          <w:szCs w:val="24"/>
        </w:rPr>
      </w:pPr>
      <w:r w:rsidRPr="00C8621A">
        <w:rPr>
          <w:rFonts w:ascii="Verdana" w:hAnsi="Verdana"/>
          <w:sz w:val="24"/>
          <w:szCs w:val="24"/>
        </w:rPr>
        <w:t xml:space="preserve">2104: Consolidación Productiva del Sector Minero: </w:t>
      </w:r>
    </w:p>
    <w:p w:rsidRPr="00C8621A" w:rsidR="00C8621A" w:rsidP="006A0A13" w:rsidRDefault="00C8621A" w14:paraId="2F8EAB76" w14:textId="77777777">
      <w:pPr>
        <w:pStyle w:val="Prrafodelista"/>
        <w:spacing w:after="0" w:line="360" w:lineRule="auto"/>
        <w:jc w:val="both"/>
        <w:rPr>
          <w:rFonts w:ascii="Verdana" w:hAnsi="Verdana"/>
          <w:sz w:val="24"/>
          <w:szCs w:val="24"/>
        </w:rPr>
      </w:pPr>
      <w:r w:rsidRPr="00C8621A">
        <w:rPr>
          <w:rFonts w:ascii="Verdana" w:hAnsi="Verdana"/>
          <w:sz w:val="24"/>
          <w:szCs w:val="24"/>
        </w:rPr>
        <w:t>$ 48.186 millones.</w:t>
      </w:r>
    </w:p>
    <w:p w:rsidRPr="00C8621A" w:rsidR="00C8621A" w:rsidRDefault="00C8621A" w14:paraId="0F549547" w14:textId="77777777">
      <w:pPr>
        <w:pStyle w:val="Prrafodelista"/>
        <w:numPr>
          <w:ilvl w:val="0"/>
          <w:numId w:val="71"/>
        </w:numPr>
        <w:spacing w:after="0" w:line="360" w:lineRule="auto"/>
        <w:jc w:val="both"/>
        <w:rPr>
          <w:rFonts w:ascii="Verdana" w:hAnsi="Verdana"/>
          <w:sz w:val="24"/>
          <w:szCs w:val="24"/>
        </w:rPr>
      </w:pPr>
      <w:r w:rsidRPr="00C8621A">
        <w:rPr>
          <w:rFonts w:ascii="Verdana" w:hAnsi="Verdana"/>
          <w:sz w:val="24"/>
          <w:szCs w:val="24"/>
        </w:rPr>
        <w:t>2105: Desarrollo Ambiental Sostenible del Sector Minero Energético:</w:t>
      </w:r>
    </w:p>
    <w:p w:rsidRPr="00C8621A" w:rsidR="00C8621A" w:rsidP="006A0A13" w:rsidRDefault="00C8621A" w14:paraId="3AEF7C3E" w14:textId="77777777">
      <w:pPr>
        <w:pStyle w:val="Prrafodelista"/>
        <w:spacing w:after="0" w:line="360" w:lineRule="auto"/>
        <w:jc w:val="both"/>
        <w:rPr>
          <w:rFonts w:ascii="Verdana" w:hAnsi="Verdana"/>
          <w:sz w:val="24"/>
          <w:szCs w:val="24"/>
        </w:rPr>
      </w:pPr>
      <w:r w:rsidRPr="00C8621A">
        <w:rPr>
          <w:rFonts w:ascii="Verdana" w:hAnsi="Verdana"/>
          <w:sz w:val="24"/>
          <w:szCs w:val="24"/>
        </w:rPr>
        <w:t>$ 22.812 millones.</w:t>
      </w:r>
    </w:p>
    <w:p w:rsidRPr="00C8621A" w:rsidR="00C8621A" w:rsidRDefault="00C8621A" w14:paraId="107E19E3" w14:textId="77777777">
      <w:pPr>
        <w:pStyle w:val="Prrafodelista"/>
        <w:numPr>
          <w:ilvl w:val="0"/>
          <w:numId w:val="71"/>
        </w:numPr>
        <w:spacing w:after="0" w:line="360" w:lineRule="auto"/>
        <w:jc w:val="both"/>
        <w:rPr>
          <w:rFonts w:ascii="Verdana" w:hAnsi="Verdana"/>
          <w:sz w:val="24"/>
          <w:szCs w:val="24"/>
        </w:rPr>
      </w:pPr>
      <w:r w:rsidRPr="00C8621A">
        <w:rPr>
          <w:rFonts w:ascii="Verdana" w:hAnsi="Verdana"/>
          <w:sz w:val="24"/>
          <w:szCs w:val="24"/>
        </w:rPr>
        <w:t>2106: Gestión de la Información del Sector Minero Energético:</w:t>
      </w:r>
    </w:p>
    <w:p w:rsidRPr="00C8621A" w:rsidR="00C8621A" w:rsidP="006A0A13" w:rsidRDefault="00C8621A" w14:paraId="50B3D841" w14:textId="77777777">
      <w:pPr>
        <w:pStyle w:val="Prrafodelista"/>
        <w:spacing w:after="0" w:line="360" w:lineRule="auto"/>
        <w:jc w:val="both"/>
        <w:rPr>
          <w:rFonts w:ascii="Verdana" w:hAnsi="Verdana"/>
          <w:sz w:val="24"/>
          <w:szCs w:val="24"/>
        </w:rPr>
      </w:pPr>
      <w:r w:rsidRPr="00C8621A">
        <w:rPr>
          <w:rFonts w:ascii="Verdana" w:hAnsi="Verdana"/>
          <w:sz w:val="24"/>
          <w:szCs w:val="24"/>
        </w:rPr>
        <w:t>$497.831 millones.</w:t>
      </w:r>
    </w:p>
    <w:p w:rsidR="00C8621A" w:rsidRDefault="00C8621A" w14:paraId="1E7C17B2" w14:textId="77777777">
      <w:pPr>
        <w:pStyle w:val="Prrafodelista"/>
        <w:numPr>
          <w:ilvl w:val="0"/>
          <w:numId w:val="71"/>
        </w:numPr>
        <w:spacing w:after="0" w:line="360" w:lineRule="auto"/>
        <w:jc w:val="both"/>
        <w:rPr>
          <w:rFonts w:ascii="Verdana" w:hAnsi="Verdana"/>
          <w:sz w:val="24"/>
          <w:szCs w:val="24"/>
        </w:rPr>
      </w:pPr>
      <w:r w:rsidRPr="00C8621A">
        <w:rPr>
          <w:rFonts w:ascii="Verdana" w:hAnsi="Verdana"/>
          <w:sz w:val="24"/>
          <w:szCs w:val="24"/>
        </w:rPr>
        <w:t xml:space="preserve">2199: Fortalecimiento y Apoyo a la Gestión Institucional: </w:t>
      </w:r>
    </w:p>
    <w:p w:rsidRPr="00C8621A" w:rsidR="00C8621A" w:rsidP="006A0A13" w:rsidRDefault="00C8621A" w14:paraId="19A5D897" w14:textId="77777777">
      <w:pPr>
        <w:pStyle w:val="Prrafodelista"/>
        <w:spacing w:after="0" w:line="360" w:lineRule="auto"/>
        <w:jc w:val="both"/>
        <w:rPr>
          <w:rFonts w:ascii="Verdana" w:hAnsi="Verdana"/>
          <w:sz w:val="24"/>
          <w:szCs w:val="24"/>
        </w:rPr>
      </w:pPr>
      <w:r w:rsidRPr="00C8621A">
        <w:rPr>
          <w:rFonts w:ascii="Verdana" w:hAnsi="Verdana"/>
          <w:sz w:val="24"/>
          <w:szCs w:val="24"/>
        </w:rPr>
        <w:t>$165.551 millones.</w:t>
      </w:r>
    </w:p>
    <w:p w:rsidR="00C8621A" w:rsidP="006A0A13" w:rsidRDefault="00C8621A" w14:paraId="0A72D2EE" w14:textId="77777777">
      <w:pPr>
        <w:spacing w:after="0" w:line="360" w:lineRule="auto"/>
        <w:jc w:val="both"/>
        <w:rPr>
          <w:rFonts w:ascii="Verdana" w:hAnsi="Verdana"/>
          <w:sz w:val="24"/>
          <w:szCs w:val="24"/>
        </w:rPr>
      </w:pPr>
    </w:p>
    <w:p w:rsidR="00C8621A" w:rsidP="006A0A13" w:rsidRDefault="09553533" w14:paraId="72129F2B" w14:textId="0B518F21">
      <w:pPr>
        <w:spacing w:after="0" w:line="360" w:lineRule="auto"/>
        <w:jc w:val="both"/>
        <w:rPr>
          <w:rFonts w:ascii="Verdana" w:hAnsi="Verdana"/>
          <w:sz w:val="24"/>
          <w:szCs w:val="24"/>
        </w:rPr>
      </w:pPr>
      <w:r w:rsidRPr="30CF4445" w:rsidR="1906EA28">
        <w:rPr>
          <w:rFonts w:ascii="Verdana" w:hAnsi="Verdana"/>
          <w:sz w:val="24"/>
          <w:szCs w:val="24"/>
        </w:rPr>
        <w:t>La distribución de los recursos por programa presupuestal y en cada una de las entidades del sector minero</w:t>
      </w:r>
      <w:r w:rsidRPr="30CF4445" w:rsidR="45FD248C">
        <w:rPr>
          <w:rFonts w:ascii="Verdana" w:hAnsi="Verdana"/>
          <w:sz w:val="24"/>
          <w:szCs w:val="24"/>
        </w:rPr>
        <w:t>-</w:t>
      </w:r>
      <w:r w:rsidRPr="30CF4445" w:rsidR="1906EA28">
        <w:rPr>
          <w:rFonts w:ascii="Verdana" w:hAnsi="Verdana"/>
          <w:sz w:val="24"/>
          <w:szCs w:val="24"/>
        </w:rPr>
        <w:t>energético, se puede evidenciar en la siguiente tabla:</w:t>
      </w:r>
    </w:p>
    <w:p w:rsidR="180099B3" w:rsidP="006A0A13" w:rsidRDefault="180099B3" w14:paraId="4F7122FD" w14:textId="77777777">
      <w:pPr>
        <w:spacing w:after="0" w:line="360" w:lineRule="auto"/>
        <w:jc w:val="both"/>
        <w:rPr>
          <w:rFonts w:ascii="Verdana" w:hAnsi="Verdana"/>
          <w:sz w:val="24"/>
          <w:szCs w:val="24"/>
        </w:rPr>
      </w:pPr>
    </w:p>
    <w:p w:rsidRPr="00C8621A" w:rsidR="00C8621A" w:rsidP="180099B3" w:rsidRDefault="09553533" w14:paraId="4258332E" w14:textId="77777777">
      <w:pPr>
        <w:pStyle w:val="Descripcin"/>
        <w:spacing w:after="0"/>
        <w:jc w:val="center"/>
        <w:rPr>
          <w:rFonts w:ascii="Verdana" w:hAnsi="Verdana"/>
          <w:i w:val="0"/>
          <w:iCs w:val="0"/>
          <w:color w:val="auto"/>
        </w:rPr>
      </w:pPr>
      <w:r w:rsidRPr="180099B3">
        <w:rPr>
          <w:rFonts w:ascii="Verdana" w:hAnsi="Verdana"/>
          <w:i w:val="0"/>
          <w:iCs w:val="0"/>
          <w:color w:val="auto"/>
        </w:rPr>
        <w:t>Tabla</w:t>
      </w:r>
      <w:r w:rsidRPr="180099B3" w:rsidR="1F9C8783">
        <w:rPr>
          <w:rFonts w:ascii="Verdana" w:hAnsi="Verdana"/>
          <w:i w:val="0"/>
          <w:iCs w:val="0"/>
          <w:color w:val="auto"/>
        </w:rPr>
        <w:t xml:space="preserve"> No. 3</w:t>
      </w:r>
      <w:r w:rsidRPr="180099B3" w:rsidR="41AB25B2">
        <w:rPr>
          <w:rFonts w:ascii="Verdana" w:hAnsi="Verdana"/>
          <w:i w:val="0"/>
          <w:iCs w:val="0"/>
          <w:color w:val="auto"/>
        </w:rPr>
        <w:t>5</w:t>
      </w:r>
      <w:r w:rsidRPr="180099B3">
        <w:rPr>
          <w:rFonts w:ascii="Verdana" w:hAnsi="Verdana"/>
          <w:i w:val="0"/>
          <w:iCs w:val="0"/>
          <w:color w:val="auto"/>
        </w:rPr>
        <w:t>. Distribución de recursos sector 2023 por programa</w:t>
      </w:r>
    </w:p>
    <w:tbl>
      <w:tblPr>
        <w:tblW w:w="5056" w:type="pct"/>
        <w:tblCellMar>
          <w:left w:w="70" w:type="dxa"/>
          <w:right w:w="70" w:type="dxa"/>
        </w:tblCellMar>
        <w:tblLook w:val="04A0" w:firstRow="1" w:lastRow="0" w:firstColumn="1" w:lastColumn="0" w:noHBand="0" w:noVBand="1"/>
      </w:tblPr>
      <w:tblGrid>
        <w:gridCol w:w="1303"/>
        <w:gridCol w:w="1187"/>
        <w:gridCol w:w="1187"/>
        <w:gridCol w:w="1301"/>
        <w:gridCol w:w="893"/>
        <w:gridCol w:w="893"/>
        <w:gridCol w:w="1007"/>
        <w:gridCol w:w="1007"/>
        <w:gridCol w:w="1187"/>
      </w:tblGrid>
      <w:tr w:rsidRPr="00C8621A" w:rsidR="00C8621A" w:rsidTr="00C8621A" w14:paraId="2DA56A58" w14:textId="77777777">
        <w:trPr>
          <w:trHeight w:val="276"/>
        </w:trPr>
        <w:tc>
          <w:tcPr>
            <w:tcW w:w="645" w:type="pct"/>
            <w:vMerge w:val="restart"/>
            <w:tcBorders>
              <w:top w:val="single" w:color="auto" w:sz="4" w:space="0"/>
              <w:left w:val="single" w:color="auto" w:sz="4" w:space="0"/>
              <w:bottom w:val="single" w:color="auto" w:sz="4" w:space="0"/>
              <w:right w:val="single" w:color="auto" w:sz="4" w:space="0"/>
            </w:tcBorders>
            <w:shd w:val="clear" w:color="auto" w:fill="A6A6A6" w:themeFill="background1" w:themeFillShade="A6"/>
            <w:vAlign w:val="center"/>
            <w:hideMark/>
          </w:tcPr>
          <w:p w:rsidRPr="00C8621A" w:rsidR="00C8621A" w:rsidP="00C8621A" w:rsidRDefault="00C8621A" w14:paraId="4CB03B6F" w14:textId="77777777">
            <w:pPr>
              <w:spacing w:after="0" w:line="240" w:lineRule="auto"/>
              <w:jc w:val="center"/>
              <w:rPr>
                <w:rFonts w:ascii="Verdana" w:hAnsi="Verdana" w:eastAsia="Times New Roman" w:cs="Times New Roman"/>
                <w:b/>
                <w:bCs/>
                <w:color w:val="000000"/>
                <w:sz w:val="18"/>
                <w:szCs w:val="18"/>
                <w:lang w:eastAsia="es-CO"/>
              </w:rPr>
            </w:pPr>
            <w:r w:rsidRPr="00C8621A">
              <w:rPr>
                <w:rFonts w:ascii="Verdana" w:hAnsi="Verdana" w:eastAsia="Times New Roman" w:cs="Times New Roman"/>
                <w:b/>
                <w:bCs/>
                <w:color w:val="000000"/>
                <w:sz w:val="18"/>
                <w:szCs w:val="18"/>
                <w:lang w:eastAsia="es-CO"/>
              </w:rPr>
              <w:t>PROGRAMA</w:t>
            </w:r>
          </w:p>
        </w:tc>
        <w:tc>
          <w:tcPr>
            <w:tcW w:w="4355" w:type="pct"/>
            <w:gridSpan w:val="8"/>
            <w:tcBorders>
              <w:top w:val="single" w:color="auto" w:sz="4" w:space="0"/>
              <w:left w:val="nil"/>
              <w:bottom w:val="single" w:color="auto" w:sz="4" w:space="0"/>
              <w:right w:val="single" w:color="auto" w:sz="4" w:space="0"/>
            </w:tcBorders>
            <w:shd w:val="clear" w:color="auto" w:fill="A6A6A6" w:themeFill="background1" w:themeFillShade="A6"/>
            <w:noWrap/>
            <w:vAlign w:val="center"/>
            <w:hideMark/>
          </w:tcPr>
          <w:p w:rsidRPr="00C8621A" w:rsidR="00C8621A" w:rsidP="006D692F" w:rsidRDefault="00C8621A" w14:paraId="1FE4F55B" w14:textId="77777777">
            <w:pPr>
              <w:spacing w:after="0" w:line="240" w:lineRule="auto"/>
              <w:jc w:val="center"/>
              <w:rPr>
                <w:rFonts w:ascii="Verdana" w:hAnsi="Verdana" w:eastAsia="Times New Roman" w:cs="Times New Roman"/>
                <w:b/>
                <w:bCs/>
                <w:color w:val="000000"/>
                <w:sz w:val="18"/>
                <w:szCs w:val="18"/>
                <w:lang w:eastAsia="es-CO"/>
              </w:rPr>
            </w:pPr>
            <w:r w:rsidRPr="00C8621A">
              <w:rPr>
                <w:rFonts w:ascii="Verdana" w:hAnsi="Verdana" w:eastAsia="Times New Roman" w:cs="Times New Roman"/>
                <w:b/>
                <w:bCs/>
                <w:color w:val="000000"/>
                <w:sz w:val="18"/>
                <w:szCs w:val="18"/>
                <w:lang w:eastAsia="es-CO"/>
              </w:rPr>
              <w:t>Cifras en millones de pesos</w:t>
            </w:r>
          </w:p>
        </w:tc>
      </w:tr>
      <w:tr w:rsidRPr="00C8621A" w:rsidR="00C8621A" w:rsidTr="00C8621A" w14:paraId="65DF38E2" w14:textId="77777777">
        <w:trPr>
          <w:trHeight w:val="276"/>
        </w:trPr>
        <w:tc>
          <w:tcPr>
            <w:tcW w:w="645" w:type="pct"/>
            <w:vMerge/>
            <w:tcBorders>
              <w:top w:val="single" w:color="auto" w:sz="4" w:space="0"/>
              <w:left w:val="single" w:color="auto" w:sz="4" w:space="0"/>
              <w:bottom w:val="single" w:color="auto" w:sz="4" w:space="0"/>
              <w:right w:val="single" w:color="auto" w:sz="4" w:space="0"/>
            </w:tcBorders>
            <w:shd w:val="clear" w:color="auto" w:fill="A6A6A6" w:themeFill="background1" w:themeFillShade="A6"/>
            <w:vAlign w:val="center"/>
            <w:hideMark/>
          </w:tcPr>
          <w:p w:rsidRPr="00C8621A" w:rsidR="00C8621A" w:rsidP="00C8621A" w:rsidRDefault="00C8621A" w14:paraId="3DED73FB" w14:textId="77777777">
            <w:pPr>
              <w:spacing w:after="0" w:line="240" w:lineRule="auto"/>
              <w:jc w:val="center"/>
              <w:rPr>
                <w:rFonts w:ascii="Verdana" w:hAnsi="Verdana" w:eastAsia="Times New Roman" w:cs="Times New Roman"/>
                <w:b/>
                <w:bCs/>
                <w:color w:val="000000"/>
                <w:sz w:val="18"/>
                <w:szCs w:val="18"/>
                <w:lang w:eastAsia="es-CO"/>
              </w:rPr>
            </w:pPr>
          </w:p>
        </w:tc>
        <w:tc>
          <w:tcPr>
            <w:tcW w:w="588" w:type="pct"/>
            <w:tcBorders>
              <w:top w:val="nil"/>
              <w:left w:val="nil"/>
              <w:bottom w:val="single" w:color="auto" w:sz="4" w:space="0"/>
              <w:right w:val="single" w:color="auto" w:sz="4" w:space="0"/>
            </w:tcBorders>
            <w:shd w:val="clear" w:color="auto" w:fill="A6A6A6" w:themeFill="background1" w:themeFillShade="A6"/>
            <w:noWrap/>
            <w:vAlign w:val="center"/>
            <w:hideMark/>
          </w:tcPr>
          <w:p w:rsidRPr="00C8621A" w:rsidR="00C8621A" w:rsidP="00C8621A" w:rsidRDefault="00C8621A" w14:paraId="59873EFF" w14:textId="77777777">
            <w:pPr>
              <w:spacing w:after="0" w:line="240" w:lineRule="auto"/>
              <w:jc w:val="center"/>
              <w:rPr>
                <w:rFonts w:ascii="Verdana" w:hAnsi="Verdana" w:eastAsia="Times New Roman" w:cs="Times New Roman"/>
                <w:b/>
                <w:bCs/>
                <w:color w:val="000000"/>
                <w:sz w:val="18"/>
                <w:szCs w:val="18"/>
                <w:lang w:eastAsia="es-CO"/>
              </w:rPr>
            </w:pPr>
            <w:r w:rsidRPr="00C8621A">
              <w:rPr>
                <w:rFonts w:ascii="Verdana" w:hAnsi="Verdana" w:eastAsia="Times New Roman" w:cs="Times New Roman"/>
                <w:b/>
                <w:bCs/>
                <w:color w:val="000000"/>
                <w:sz w:val="18"/>
                <w:szCs w:val="18"/>
                <w:lang w:eastAsia="es-CO"/>
              </w:rPr>
              <w:t>2101</w:t>
            </w:r>
          </w:p>
        </w:tc>
        <w:tc>
          <w:tcPr>
            <w:tcW w:w="588" w:type="pct"/>
            <w:tcBorders>
              <w:top w:val="nil"/>
              <w:left w:val="nil"/>
              <w:bottom w:val="single" w:color="auto" w:sz="4" w:space="0"/>
              <w:right w:val="single" w:color="auto" w:sz="4" w:space="0"/>
            </w:tcBorders>
            <w:shd w:val="clear" w:color="auto" w:fill="A6A6A6" w:themeFill="background1" w:themeFillShade="A6"/>
            <w:noWrap/>
            <w:vAlign w:val="center"/>
            <w:hideMark/>
          </w:tcPr>
          <w:p w:rsidRPr="00C8621A" w:rsidR="00C8621A" w:rsidP="00C8621A" w:rsidRDefault="00C8621A" w14:paraId="34889C2C" w14:textId="77777777">
            <w:pPr>
              <w:spacing w:after="0" w:line="240" w:lineRule="auto"/>
              <w:jc w:val="center"/>
              <w:rPr>
                <w:rFonts w:ascii="Verdana" w:hAnsi="Verdana" w:eastAsia="Times New Roman" w:cs="Times New Roman"/>
                <w:b/>
                <w:bCs/>
                <w:color w:val="000000"/>
                <w:sz w:val="18"/>
                <w:szCs w:val="18"/>
                <w:lang w:eastAsia="es-CO"/>
              </w:rPr>
            </w:pPr>
            <w:r w:rsidRPr="00C8621A">
              <w:rPr>
                <w:rFonts w:ascii="Verdana" w:hAnsi="Verdana" w:eastAsia="Times New Roman" w:cs="Times New Roman"/>
                <w:b/>
                <w:bCs/>
                <w:color w:val="000000"/>
                <w:sz w:val="18"/>
                <w:szCs w:val="18"/>
                <w:lang w:eastAsia="es-CO"/>
              </w:rPr>
              <w:t>2102</w:t>
            </w:r>
          </w:p>
        </w:tc>
        <w:tc>
          <w:tcPr>
            <w:tcW w:w="644" w:type="pct"/>
            <w:tcBorders>
              <w:top w:val="nil"/>
              <w:left w:val="nil"/>
              <w:bottom w:val="single" w:color="auto" w:sz="4" w:space="0"/>
              <w:right w:val="single" w:color="auto" w:sz="4" w:space="0"/>
            </w:tcBorders>
            <w:shd w:val="clear" w:color="auto" w:fill="A6A6A6" w:themeFill="background1" w:themeFillShade="A6"/>
            <w:noWrap/>
            <w:vAlign w:val="center"/>
            <w:hideMark/>
          </w:tcPr>
          <w:p w:rsidRPr="00C8621A" w:rsidR="00C8621A" w:rsidP="00C8621A" w:rsidRDefault="00C8621A" w14:paraId="77DC0E29" w14:textId="77777777">
            <w:pPr>
              <w:spacing w:after="0" w:line="240" w:lineRule="auto"/>
              <w:jc w:val="center"/>
              <w:rPr>
                <w:rFonts w:ascii="Verdana" w:hAnsi="Verdana" w:eastAsia="Times New Roman" w:cs="Times New Roman"/>
                <w:b/>
                <w:bCs/>
                <w:color w:val="000000"/>
                <w:sz w:val="18"/>
                <w:szCs w:val="18"/>
                <w:lang w:eastAsia="es-CO"/>
              </w:rPr>
            </w:pPr>
            <w:r w:rsidRPr="00C8621A">
              <w:rPr>
                <w:rFonts w:ascii="Verdana" w:hAnsi="Verdana" w:eastAsia="Times New Roman" w:cs="Times New Roman"/>
                <w:b/>
                <w:bCs/>
                <w:color w:val="000000"/>
                <w:sz w:val="18"/>
                <w:szCs w:val="18"/>
                <w:lang w:eastAsia="es-CO"/>
              </w:rPr>
              <w:t>2103</w:t>
            </w:r>
          </w:p>
        </w:tc>
        <w:tc>
          <w:tcPr>
            <w:tcW w:w="445" w:type="pct"/>
            <w:tcBorders>
              <w:top w:val="nil"/>
              <w:left w:val="nil"/>
              <w:bottom w:val="single" w:color="auto" w:sz="4" w:space="0"/>
              <w:right w:val="single" w:color="auto" w:sz="4" w:space="0"/>
            </w:tcBorders>
            <w:shd w:val="clear" w:color="auto" w:fill="A6A6A6" w:themeFill="background1" w:themeFillShade="A6"/>
            <w:noWrap/>
            <w:vAlign w:val="center"/>
            <w:hideMark/>
          </w:tcPr>
          <w:p w:rsidRPr="00C8621A" w:rsidR="00C8621A" w:rsidP="00C8621A" w:rsidRDefault="00C8621A" w14:paraId="5018345A" w14:textId="77777777">
            <w:pPr>
              <w:spacing w:after="0" w:line="240" w:lineRule="auto"/>
              <w:jc w:val="center"/>
              <w:rPr>
                <w:rFonts w:ascii="Verdana" w:hAnsi="Verdana" w:eastAsia="Times New Roman" w:cs="Times New Roman"/>
                <w:b/>
                <w:bCs/>
                <w:color w:val="000000"/>
                <w:sz w:val="18"/>
                <w:szCs w:val="18"/>
                <w:lang w:eastAsia="es-CO"/>
              </w:rPr>
            </w:pPr>
            <w:r w:rsidRPr="00C8621A">
              <w:rPr>
                <w:rFonts w:ascii="Verdana" w:hAnsi="Verdana" w:eastAsia="Times New Roman" w:cs="Times New Roman"/>
                <w:b/>
                <w:bCs/>
                <w:color w:val="000000"/>
                <w:sz w:val="18"/>
                <w:szCs w:val="18"/>
                <w:lang w:eastAsia="es-CO"/>
              </w:rPr>
              <w:t>2104</w:t>
            </w:r>
          </w:p>
        </w:tc>
        <w:tc>
          <w:tcPr>
            <w:tcW w:w="445" w:type="pct"/>
            <w:tcBorders>
              <w:top w:val="nil"/>
              <w:left w:val="nil"/>
              <w:bottom w:val="single" w:color="auto" w:sz="4" w:space="0"/>
              <w:right w:val="single" w:color="auto" w:sz="4" w:space="0"/>
            </w:tcBorders>
            <w:shd w:val="clear" w:color="auto" w:fill="A6A6A6" w:themeFill="background1" w:themeFillShade="A6"/>
            <w:noWrap/>
            <w:vAlign w:val="center"/>
            <w:hideMark/>
          </w:tcPr>
          <w:p w:rsidRPr="00C8621A" w:rsidR="00C8621A" w:rsidP="00C8621A" w:rsidRDefault="00C8621A" w14:paraId="4B9D4B78" w14:textId="77777777">
            <w:pPr>
              <w:spacing w:after="0" w:line="240" w:lineRule="auto"/>
              <w:jc w:val="center"/>
              <w:rPr>
                <w:rFonts w:ascii="Verdana" w:hAnsi="Verdana" w:eastAsia="Times New Roman" w:cs="Times New Roman"/>
                <w:b/>
                <w:bCs/>
                <w:color w:val="000000"/>
                <w:sz w:val="18"/>
                <w:szCs w:val="18"/>
                <w:lang w:eastAsia="es-CO"/>
              </w:rPr>
            </w:pPr>
            <w:r w:rsidRPr="00C8621A">
              <w:rPr>
                <w:rFonts w:ascii="Verdana" w:hAnsi="Verdana" w:eastAsia="Times New Roman" w:cs="Times New Roman"/>
                <w:b/>
                <w:bCs/>
                <w:color w:val="000000"/>
                <w:sz w:val="18"/>
                <w:szCs w:val="18"/>
                <w:lang w:eastAsia="es-CO"/>
              </w:rPr>
              <w:t>2105</w:t>
            </w:r>
          </w:p>
        </w:tc>
        <w:tc>
          <w:tcPr>
            <w:tcW w:w="501" w:type="pct"/>
            <w:tcBorders>
              <w:top w:val="nil"/>
              <w:left w:val="nil"/>
              <w:bottom w:val="single" w:color="auto" w:sz="4" w:space="0"/>
              <w:right w:val="single" w:color="auto" w:sz="4" w:space="0"/>
            </w:tcBorders>
            <w:shd w:val="clear" w:color="auto" w:fill="A6A6A6" w:themeFill="background1" w:themeFillShade="A6"/>
            <w:noWrap/>
            <w:vAlign w:val="center"/>
            <w:hideMark/>
          </w:tcPr>
          <w:p w:rsidRPr="00C8621A" w:rsidR="00C8621A" w:rsidP="00C8621A" w:rsidRDefault="00C8621A" w14:paraId="6C650E36" w14:textId="77777777">
            <w:pPr>
              <w:spacing w:after="0" w:line="240" w:lineRule="auto"/>
              <w:jc w:val="center"/>
              <w:rPr>
                <w:rFonts w:ascii="Verdana" w:hAnsi="Verdana" w:eastAsia="Times New Roman" w:cs="Times New Roman"/>
                <w:b/>
                <w:bCs/>
                <w:color w:val="000000"/>
                <w:sz w:val="18"/>
                <w:szCs w:val="18"/>
                <w:lang w:eastAsia="es-CO"/>
              </w:rPr>
            </w:pPr>
            <w:r w:rsidRPr="00C8621A">
              <w:rPr>
                <w:rFonts w:ascii="Verdana" w:hAnsi="Verdana" w:eastAsia="Times New Roman" w:cs="Times New Roman"/>
                <w:b/>
                <w:bCs/>
                <w:color w:val="000000"/>
                <w:sz w:val="18"/>
                <w:szCs w:val="18"/>
                <w:lang w:eastAsia="es-CO"/>
              </w:rPr>
              <w:t>2106</w:t>
            </w:r>
          </w:p>
        </w:tc>
        <w:tc>
          <w:tcPr>
            <w:tcW w:w="501" w:type="pct"/>
            <w:tcBorders>
              <w:top w:val="nil"/>
              <w:left w:val="nil"/>
              <w:bottom w:val="single" w:color="auto" w:sz="4" w:space="0"/>
              <w:right w:val="single" w:color="auto" w:sz="4" w:space="0"/>
            </w:tcBorders>
            <w:shd w:val="clear" w:color="auto" w:fill="A6A6A6" w:themeFill="background1" w:themeFillShade="A6"/>
            <w:noWrap/>
            <w:vAlign w:val="center"/>
            <w:hideMark/>
          </w:tcPr>
          <w:p w:rsidRPr="00C8621A" w:rsidR="00C8621A" w:rsidP="00C8621A" w:rsidRDefault="00C8621A" w14:paraId="7BDF22BA" w14:textId="77777777">
            <w:pPr>
              <w:spacing w:after="0" w:line="240" w:lineRule="auto"/>
              <w:jc w:val="center"/>
              <w:rPr>
                <w:rFonts w:ascii="Verdana" w:hAnsi="Verdana" w:eastAsia="Times New Roman" w:cs="Times New Roman"/>
                <w:b/>
                <w:bCs/>
                <w:color w:val="000000"/>
                <w:sz w:val="18"/>
                <w:szCs w:val="18"/>
                <w:lang w:eastAsia="es-CO"/>
              </w:rPr>
            </w:pPr>
            <w:r w:rsidRPr="00C8621A">
              <w:rPr>
                <w:rFonts w:ascii="Verdana" w:hAnsi="Verdana" w:eastAsia="Times New Roman" w:cs="Times New Roman"/>
                <w:b/>
                <w:bCs/>
                <w:color w:val="000000"/>
                <w:sz w:val="18"/>
                <w:szCs w:val="18"/>
                <w:lang w:eastAsia="es-CO"/>
              </w:rPr>
              <w:t>2199</w:t>
            </w:r>
          </w:p>
        </w:tc>
        <w:tc>
          <w:tcPr>
            <w:tcW w:w="643" w:type="pct"/>
            <w:tcBorders>
              <w:top w:val="nil"/>
              <w:left w:val="nil"/>
              <w:bottom w:val="single" w:color="auto" w:sz="4" w:space="0"/>
              <w:right w:val="single" w:color="auto" w:sz="4" w:space="0"/>
            </w:tcBorders>
            <w:shd w:val="clear" w:color="auto" w:fill="A6A6A6" w:themeFill="background1" w:themeFillShade="A6"/>
            <w:vAlign w:val="center"/>
            <w:hideMark/>
          </w:tcPr>
          <w:p w:rsidRPr="00C8621A" w:rsidR="00C8621A" w:rsidP="00C8621A" w:rsidRDefault="00C8621A" w14:paraId="3A44362D" w14:textId="77777777">
            <w:pPr>
              <w:spacing w:after="0" w:line="240" w:lineRule="auto"/>
              <w:jc w:val="center"/>
              <w:rPr>
                <w:rFonts w:ascii="Verdana" w:hAnsi="Verdana" w:eastAsia="Times New Roman" w:cs="Times New Roman"/>
                <w:b/>
                <w:bCs/>
                <w:color w:val="000000"/>
                <w:sz w:val="18"/>
                <w:szCs w:val="18"/>
                <w:lang w:eastAsia="es-CO"/>
              </w:rPr>
            </w:pPr>
            <w:r w:rsidRPr="00C8621A">
              <w:rPr>
                <w:rFonts w:ascii="Verdana" w:hAnsi="Verdana" w:eastAsia="Times New Roman" w:cs="Times New Roman"/>
                <w:b/>
                <w:bCs/>
                <w:color w:val="000000"/>
                <w:sz w:val="18"/>
                <w:szCs w:val="18"/>
                <w:lang w:eastAsia="es-CO"/>
              </w:rPr>
              <w:t>TOTAL</w:t>
            </w:r>
          </w:p>
        </w:tc>
      </w:tr>
      <w:tr w:rsidRPr="00C8621A" w:rsidR="00C8621A" w:rsidTr="00C8621A" w14:paraId="055B789F" w14:textId="77777777">
        <w:trPr>
          <w:trHeight w:val="276"/>
        </w:trPr>
        <w:tc>
          <w:tcPr>
            <w:tcW w:w="645" w:type="pct"/>
            <w:tcBorders>
              <w:top w:val="nil"/>
              <w:left w:val="single" w:color="auto" w:sz="4" w:space="0"/>
              <w:bottom w:val="single" w:color="auto" w:sz="4" w:space="0"/>
              <w:right w:val="single" w:color="auto" w:sz="4" w:space="0"/>
            </w:tcBorders>
            <w:noWrap/>
            <w:vAlign w:val="center"/>
            <w:hideMark/>
          </w:tcPr>
          <w:p w:rsidRPr="00C8621A" w:rsidR="00C8621A" w:rsidP="00C8621A" w:rsidRDefault="00C8621A" w14:paraId="3F961C74"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ANH</w:t>
            </w:r>
          </w:p>
        </w:tc>
        <w:tc>
          <w:tcPr>
            <w:tcW w:w="588" w:type="pct"/>
            <w:tcBorders>
              <w:top w:val="nil"/>
              <w:left w:val="nil"/>
              <w:bottom w:val="single" w:color="auto" w:sz="4" w:space="0"/>
              <w:right w:val="single" w:color="auto" w:sz="4" w:space="0"/>
            </w:tcBorders>
            <w:noWrap/>
            <w:vAlign w:val="center"/>
            <w:hideMark/>
          </w:tcPr>
          <w:p w:rsidRPr="00C8621A" w:rsidR="00C8621A" w:rsidP="00C8621A" w:rsidRDefault="00C8621A" w14:paraId="7CCE6C9F" w14:textId="77777777">
            <w:pPr>
              <w:spacing w:after="0" w:line="240" w:lineRule="auto"/>
              <w:jc w:val="center"/>
              <w:rPr>
                <w:rFonts w:ascii="Verdana" w:hAnsi="Verdana" w:eastAsia="Times New Roman" w:cs="Times New Roman"/>
                <w:color w:val="000000"/>
                <w:sz w:val="18"/>
                <w:szCs w:val="18"/>
                <w:lang w:eastAsia="es-CO"/>
              </w:rPr>
            </w:pPr>
          </w:p>
        </w:tc>
        <w:tc>
          <w:tcPr>
            <w:tcW w:w="588" w:type="pct"/>
            <w:tcBorders>
              <w:top w:val="nil"/>
              <w:left w:val="nil"/>
              <w:bottom w:val="single" w:color="auto" w:sz="4" w:space="0"/>
              <w:right w:val="single" w:color="auto" w:sz="4" w:space="0"/>
            </w:tcBorders>
            <w:noWrap/>
            <w:vAlign w:val="center"/>
            <w:hideMark/>
          </w:tcPr>
          <w:p w:rsidRPr="00C8621A" w:rsidR="00C8621A" w:rsidP="00C8621A" w:rsidRDefault="00C8621A" w14:paraId="162A11D7" w14:textId="77777777">
            <w:pPr>
              <w:spacing w:after="0" w:line="240" w:lineRule="auto"/>
              <w:jc w:val="center"/>
              <w:rPr>
                <w:rFonts w:ascii="Verdana" w:hAnsi="Verdana" w:eastAsia="Times New Roman" w:cs="Times New Roman"/>
                <w:color w:val="000000"/>
                <w:sz w:val="18"/>
                <w:szCs w:val="18"/>
                <w:lang w:eastAsia="es-CO"/>
              </w:rPr>
            </w:pPr>
          </w:p>
        </w:tc>
        <w:tc>
          <w:tcPr>
            <w:tcW w:w="644" w:type="pct"/>
            <w:tcBorders>
              <w:top w:val="nil"/>
              <w:left w:val="nil"/>
              <w:bottom w:val="single" w:color="auto" w:sz="4" w:space="0"/>
              <w:right w:val="single" w:color="auto" w:sz="4" w:space="0"/>
            </w:tcBorders>
            <w:noWrap/>
            <w:vAlign w:val="center"/>
            <w:hideMark/>
          </w:tcPr>
          <w:p w:rsidRPr="00C8621A" w:rsidR="00C8621A" w:rsidP="00C8621A" w:rsidRDefault="00C8621A" w14:paraId="66FB252B"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$50.216</w:t>
            </w:r>
          </w:p>
        </w:tc>
        <w:tc>
          <w:tcPr>
            <w:tcW w:w="445" w:type="pct"/>
            <w:tcBorders>
              <w:top w:val="nil"/>
              <w:left w:val="nil"/>
              <w:bottom w:val="single" w:color="auto" w:sz="4" w:space="0"/>
              <w:right w:val="single" w:color="auto" w:sz="4" w:space="0"/>
            </w:tcBorders>
            <w:noWrap/>
            <w:vAlign w:val="center"/>
            <w:hideMark/>
          </w:tcPr>
          <w:p w:rsidRPr="00C8621A" w:rsidR="00C8621A" w:rsidP="00C8621A" w:rsidRDefault="00C8621A" w14:paraId="4BCDC813" w14:textId="77777777">
            <w:pPr>
              <w:spacing w:after="0" w:line="240" w:lineRule="auto"/>
              <w:jc w:val="center"/>
              <w:rPr>
                <w:rFonts w:ascii="Verdana" w:hAnsi="Verdana" w:eastAsia="Times New Roman" w:cs="Times New Roman"/>
                <w:color w:val="000000"/>
                <w:sz w:val="18"/>
                <w:szCs w:val="18"/>
                <w:lang w:eastAsia="es-CO"/>
              </w:rPr>
            </w:pPr>
          </w:p>
        </w:tc>
        <w:tc>
          <w:tcPr>
            <w:tcW w:w="445" w:type="pct"/>
            <w:tcBorders>
              <w:top w:val="nil"/>
              <w:left w:val="nil"/>
              <w:bottom w:val="single" w:color="auto" w:sz="4" w:space="0"/>
              <w:right w:val="single" w:color="auto" w:sz="4" w:space="0"/>
            </w:tcBorders>
            <w:noWrap/>
            <w:vAlign w:val="center"/>
            <w:hideMark/>
          </w:tcPr>
          <w:p w:rsidRPr="00C8621A" w:rsidR="00C8621A" w:rsidP="00C8621A" w:rsidRDefault="00C8621A" w14:paraId="3081587F" w14:textId="77777777">
            <w:pPr>
              <w:spacing w:after="0" w:line="240" w:lineRule="auto"/>
              <w:jc w:val="center"/>
              <w:rPr>
                <w:rFonts w:ascii="Verdana" w:hAnsi="Verdana" w:eastAsia="Times New Roman" w:cs="Times New Roman"/>
                <w:color w:val="000000"/>
                <w:sz w:val="18"/>
                <w:szCs w:val="18"/>
                <w:lang w:eastAsia="es-CO"/>
              </w:rPr>
            </w:pPr>
          </w:p>
        </w:tc>
        <w:tc>
          <w:tcPr>
            <w:tcW w:w="501" w:type="pct"/>
            <w:tcBorders>
              <w:top w:val="nil"/>
              <w:left w:val="nil"/>
              <w:bottom w:val="single" w:color="auto" w:sz="4" w:space="0"/>
              <w:right w:val="single" w:color="auto" w:sz="4" w:space="0"/>
            </w:tcBorders>
            <w:noWrap/>
            <w:vAlign w:val="center"/>
            <w:hideMark/>
          </w:tcPr>
          <w:p w:rsidRPr="00C8621A" w:rsidR="00C8621A" w:rsidP="00C8621A" w:rsidRDefault="00C8621A" w14:paraId="6D2CC093"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$312.157</w:t>
            </w:r>
          </w:p>
        </w:tc>
        <w:tc>
          <w:tcPr>
            <w:tcW w:w="501" w:type="pct"/>
            <w:tcBorders>
              <w:top w:val="nil"/>
              <w:left w:val="nil"/>
              <w:bottom w:val="single" w:color="auto" w:sz="4" w:space="0"/>
              <w:right w:val="single" w:color="auto" w:sz="4" w:space="0"/>
            </w:tcBorders>
            <w:noWrap/>
            <w:vAlign w:val="center"/>
            <w:hideMark/>
          </w:tcPr>
          <w:p w:rsidRPr="00C8621A" w:rsidR="00C8621A" w:rsidP="00C8621A" w:rsidRDefault="00C8621A" w14:paraId="68E4A955"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$12.500</w:t>
            </w:r>
          </w:p>
        </w:tc>
        <w:tc>
          <w:tcPr>
            <w:tcW w:w="643" w:type="pct"/>
            <w:tcBorders>
              <w:top w:val="nil"/>
              <w:left w:val="nil"/>
              <w:bottom w:val="single" w:color="auto" w:sz="4" w:space="0"/>
              <w:right w:val="single" w:color="auto" w:sz="4" w:space="0"/>
            </w:tcBorders>
            <w:noWrap/>
            <w:vAlign w:val="center"/>
            <w:hideMark/>
          </w:tcPr>
          <w:p w:rsidRPr="00C8621A" w:rsidR="00C8621A" w:rsidP="00C8621A" w:rsidRDefault="00C8621A" w14:paraId="27410B4E"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$374.873</w:t>
            </w:r>
          </w:p>
        </w:tc>
      </w:tr>
      <w:tr w:rsidRPr="00C8621A" w:rsidR="00C8621A" w:rsidTr="00C8621A" w14:paraId="270ED8D4" w14:textId="77777777">
        <w:trPr>
          <w:trHeight w:val="276"/>
        </w:trPr>
        <w:tc>
          <w:tcPr>
            <w:tcW w:w="645" w:type="pct"/>
            <w:tcBorders>
              <w:top w:val="nil"/>
              <w:left w:val="single" w:color="auto" w:sz="4" w:space="0"/>
              <w:bottom w:val="single" w:color="auto" w:sz="4" w:space="0"/>
              <w:right w:val="single" w:color="auto" w:sz="4" w:space="0"/>
            </w:tcBorders>
            <w:noWrap/>
            <w:vAlign w:val="center"/>
            <w:hideMark/>
          </w:tcPr>
          <w:p w:rsidRPr="00C8621A" w:rsidR="00C8621A" w:rsidP="00C8621A" w:rsidRDefault="00C8621A" w14:paraId="212F119A"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ANM</w:t>
            </w:r>
          </w:p>
        </w:tc>
        <w:tc>
          <w:tcPr>
            <w:tcW w:w="588" w:type="pct"/>
            <w:tcBorders>
              <w:top w:val="nil"/>
              <w:left w:val="nil"/>
              <w:bottom w:val="single" w:color="auto" w:sz="4" w:space="0"/>
              <w:right w:val="single" w:color="auto" w:sz="4" w:space="0"/>
            </w:tcBorders>
            <w:noWrap/>
            <w:vAlign w:val="center"/>
            <w:hideMark/>
          </w:tcPr>
          <w:p w:rsidRPr="00C8621A" w:rsidR="00C8621A" w:rsidP="00C8621A" w:rsidRDefault="00C8621A" w14:paraId="25C3105F" w14:textId="77777777">
            <w:pPr>
              <w:spacing w:after="0" w:line="240" w:lineRule="auto"/>
              <w:jc w:val="center"/>
              <w:rPr>
                <w:rFonts w:ascii="Verdana" w:hAnsi="Verdana" w:eastAsia="Times New Roman" w:cs="Times New Roman"/>
                <w:color w:val="000000"/>
                <w:sz w:val="18"/>
                <w:szCs w:val="18"/>
                <w:lang w:eastAsia="es-CO"/>
              </w:rPr>
            </w:pPr>
          </w:p>
        </w:tc>
        <w:tc>
          <w:tcPr>
            <w:tcW w:w="588" w:type="pct"/>
            <w:tcBorders>
              <w:top w:val="nil"/>
              <w:left w:val="nil"/>
              <w:bottom w:val="single" w:color="auto" w:sz="4" w:space="0"/>
              <w:right w:val="single" w:color="auto" w:sz="4" w:space="0"/>
            </w:tcBorders>
            <w:noWrap/>
            <w:vAlign w:val="center"/>
            <w:hideMark/>
          </w:tcPr>
          <w:p w:rsidRPr="00C8621A" w:rsidR="00C8621A" w:rsidP="00C8621A" w:rsidRDefault="00C8621A" w14:paraId="4757D4AB" w14:textId="77777777">
            <w:pPr>
              <w:spacing w:after="0" w:line="240" w:lineRule="auto"/>
              <w:jc w:val="center"/>
              <w:rPr>
                <w:rFonts w:ascii="Verdana" w:hAnsi="Verdana" w:eastAsia="Times New Roman" w:cs="Times New Roman"/>
                <w:color w:val="000000"/>
                <w:sz w:val="18"/>
                <w:szCs w:val="18"/>
                <w:lang w:eastAsia="es-CO"/>
              </w:rPr>
            </w:pPr>
          </w:p>
        </w:tc>
        <w:tc>
          <w:tcPr>
            <w:tcW w:w="644" w:type="pct"/>
            <w:tcBorders>
              <w:top w:val="nil"/>
              <w:left w:val="nil"/>
              <w:bottom w:val="single" w:color="auto" w:sz="4" w:space="0"/>
              <w:right w:val="single" w:color="auto" w:sz="4" w:space="0"/>
            </w:tcBorders>
            <w:noWrap/>
            <w:vAlign w:val="center"/>
            <w:hideMark/>
          </w:tcPr>
          <w:p w:rsidRPr="00C8621A" w:rsidR="00C8621A" w:rsidP="00C8621A" w:rsidRDefault="00C8621A" w14:paraId="0F867AE4" w14:textId="77777777">
            <w:pPr>
              <w:spacing w:after="0" w:line="240" w:lineRule="auto"/>
              <w:jc w:val="center"/>
              <w:rPr>
                <w:rFonts w:ascii="Verdana" w:hAnsi="Verdana" w:eastAsia="Times New Roman" w:cs="Times New Roman"/>
                <w:color w:val="000000"/>
                <w:sz w:val="18"/>
                <w:szCs w:val="18"/>
                <w:lang w:eastAsia="es-CO"/>
              </w:rPr>
            </w:pPr>
          </w:p>
        </w:tc>
        <w:tc>
          <w:tcPr>
            <w:tcW w:w="445" w:type="pct"/>
            <w:tcBorders>
              <w:top w:val="nil"/>
              <w:left w:val="nil"/>
              <w:bottom w:val="single" w:color="auto" w:sz="4" w:space="0"/>
              <w:right w:val="single" w:color="auto" w:sz="4" w:space="0"/>
            </w:tcBorders>
            <w:noWrap/>
            <w:vAlign w:val="center"/>
            <w:hideMark/>
          </w:tcPr>
          <w:p w:rsidRPr="00C8621A" w:rsidR="00C8621A" w:rsidP="00C8621A" w:rsidRDefault="00C8621A" w14:paraId="35253D58"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$27.083</w:t>
            </w:r>
          </w:p>
        </w:tc>
        <w:tc>
          <w:tcPr>
            <w:tcW w:w="445" w:type="pct"/>
            <w:tcBorders>
              <w:top w:val="nil"/>
              <w:left w:val="nil"/>
              <w:bottom w:val="single" w:color="auto" w:sz="4" w:space="0"/>
              <w:right w:val="single" w:color="auto" w:sz="4" w:space="0"/>
            </w:tcBorders>
            <w:noWrap/>
            <w:vAlign w:val="center"/>
            <w:hideMark/>
          </w:tcPr>
          <w:p w:rsidRPr="00C8621A" w:rsidR="00C8621A" w:rsidP="00C8621A" w:rsidRDefault="00C8621A" w14:paraId="70AF1B81" w14:textId="77777777">
            <w:pPr>
              <w:spacing w:after="0" w:line="240" w:lineRule="auto"/>
              <w:jc w:val="center"/>
              <w:rPr>
                <w:rFonts w:ascii="Verdana" w:hAnsi="Verdana" w:eastAsia="Times New Roman" w:cs="Times New Roman"/>
                <w:color w:val="000000"/>
                <w:sz w:val="18"/>
                <w:szCs w:val="18"/>
                <w:lang w:eastAsia="es-CO"/>
              </w:rPr>
            </w:pPr>
          </w:p>
        </w:tc>
        <w:tc>
          <w:tcPr>
            <w:tcW w:w="501" w:type="pct"/>
            <w:tcBorders>
              <w:top w:val="nil"/>
              <w:left w:val="nil"/>
              <w:bottom w:val="single" w:color="auto" w:sz="4" w:space="0"/>
              <w:right w:val="single" w:color="auto" w:sz="4" w:space="0"/>
            </w:tcBorders>
            <w:noWrap/>
            <w:vAlign w:val="center"/>
            <w:hideMark/>
          </w:tcPr>
          <w:p w:rsidRPr="00C8621A" w:rsidR="00C8621A" w:rsidP="00C8621A" w:rsidRDefault="00C8621A" w14:paraId="08BF0918"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$ 7.339</w:t>
            </w:r>
          </w:p>
        </w:tc>
        <w:tc>
          <w:tcPr>
            <w:tcW w:w="501" w:type="pct"/>
            <w:tcBorders>
              <w:top w:val="nil"/>
              <w:left w:val="nil"/>
              <w:bottom w:val="single" w:color="auto" w:sz="4" w:space="0"/>
              <w:right w:val="single" w:color="auto" w:sz="4" w:space="0"/>
            </w:tcBorders>
            <w:noWrap/>
            <w:vAlign w:val="center"/>
            <w:hideMark/>
          </w:tcPr>
          <w:p w:rsidRPr="00C8621A" w:rsidR="00C8621A" w:rsidP="00C8621A" w:rsidRDefault="00C8621A" w14:paraId="23CCA07B"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$11.364</w:t>
            </w:r>
          </w:p>
        </w:tc>
        <w:tc>
          <w:tcPr>
            <w:tcW w:w="643" w:type="pct"/>
            <w:tcBorders>
              <w:top w:val="nil"/>
              <w:left w:val="nil"/>
              <w:bottom w:val="single" w:color="auto" w:sz="4" w:space="0"/>
              <w:right w:val="single" w:color="auto" w:sz="4" w:space="0"/>
            </w:tcBorders>
            <w:noWrap/>
            <w:vAlign w:val="center"/>
            <w:hideMark/>
          </w:tcPr>
          <w:p w:rsidRPr="00C8621A" w:rsidR="00C8621A" w:rsidP="00C8621A" w:rsidRDefault="00C8621A" w14:paraId="7C356273"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$ 45.787</w:t>
            </w:r>
          </w:p>
        </w:tc>
      </w:tr>
      <w:tr w:rsidRPr="00C8621A" w:rsidR="00C8621A" w:rsidTr="00C8621A" w14:paraId="665F123C" w14:textId="77777777">
        <w:trPr>
          <w:trHeight w:val="276"/>
        </w:trPr>
        <w:tc>
          <w:tcPr>
            <w:tcW w:w="645" w:type="pct"/>
            <w:tcBorders>
              <w:top w:val="nil"/>
              <w:left w:val="single" w:color="auto" w:sz="4" w:space="0"/>
              <w:bottom w:val="single" w:color="auto" w:sz="4" w:space="0"/>
              <w:right w:val="single" w:color="auto" w:sz="4" w:space="0"/>
            </w:tcBorders>
            <w:noWrap/>
            <w:vAlign w:val="center"/>
            <w:hideMark/>
          </w:tcPr>
          <w:p w:rsidRPr="00C8621A" w:rsidR="00C8621A" w:rsidP="00C8621A" w:rsidRDefault="00C8621A" w14:paraId="7FA10B03"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IPSE</w:t>
            </w:r>
          </w:p>
        </w:tc>
        <w:tc>
          <w:tcPr>
            <w:tcW w:w="588" w:type="pct"/>
            <w:tcBorders>
              <w:top w:val="nil"/>
              <w:left w:val="nil"/>
              <w:bottom w:val="single" w:color="auto" w:sz="4" w:space="0"/>
              <w:right w:val="single" w:color="auto" w:sz="4" w:space="0"/>
            </w:tcBorders>
            <w:noWrap/>
            <w:vAlign w:val="center"/>
            <w:hideMark/>
          </w:tcPr>
          <w:p w:rsidRPr="00C8621A" w:rsidR="00C8621A" w:rsidP="00C8621A" w:rsidRDefault="00C8621A" w14:paraId="603075AA" w14:textId="77777777">
            <w:pPr>
              <w:spacing w:after="0" w:line="240" w:lineRule="auto"/>
              <w:jc w:val="center"/>
              <w:rPr>
                <w:rFonts w:ascii="Verdana" w:hAnsi="Verdana" w:eastAsia="Times New Roman" w:cs="Times New Roman"/>
                <w:color w:val="000000"/>
                <w:sz w:val="18"/>
                <w:szCs w:val="18"/>
                <w:lang w:eastAsia="es-CO"/>
              </w:rPr>
            </w:pPr>
          </w:p>
        </w:tc>
        <w:tc>
          <w:tcPr>
            <w:tcW w:w="588" w:type="pct"/>
            <w:tcBorders>
              <w:top w:val="nil"/>
              <w:left w:val="nil"/>
              <w:bottom w:val="single" w:color="auto" w:sz="4" w:space="0"/>
              <w:right w:val="single" w:color="auto" w:sz="4" w:space="0"/>
            </w:tcBorders>
            <w:noWrap/>
            <w:vAlign w:val="center"/>
            <w:hideMark/>
          </w:tcPr>
          <w:p w:rsidRPr="00C8621A" w:rsidR="00C8621A" w:rsidP="00C8621A" w:rsidRDefault="00C8621A" w14:paraId="3E1ED319"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$93.833</w:t>
            </w:r>
          </w:p>
        </w:tc>
        <w:tc>
          <w:tcPr>
            <w:tcW w:w="644" w:type="pct"/>
            <w:tcBorders>
              <w:top w:val="nil"/>
              <w:left w:val="nil"/>
              <w:bottom w:val="single" w:color="auto" w:sz="4" w:space="0"/>
              <w:right w:val="single" w:color="auto" w:sz="4" w:space="0"/>
            </w:tcBorders>
            <w:noWrap/>
            <w:vAlign w:val="center"/>
            <w:hideMark/>
          </w:tcPr>
          <w:p w:rsidRPr="00C8621A" w:rsidR="00C8621A" w:rsidP="00C8621A" w:rsidRDefault="00C8621A" w14:paraId="3F9545D7" w14:textId="77777777">
            <w:pPr>
              <w:spacing w:after="0" w:line="240" w:lineRule="auto"/>
              <w:jc w:val="center"/>
              <w:rPr>
                <w:rFonts w:ascii="Verdana" w:hAnsi="Verdana" w:eastAsia="Times New Roman" w:cs="Times New Roman"/>
                <w:color w:val="000000"/>
                <w:sz w:val="18"/>
                <w:szCs w:val="18"/>
                <w:lang w:eastAsia="es-CO"/>
              </w:rPr>
            </w:pPr>
          </w:p>
        </w:tc>
        <w:tc>
          <w:tcPr>
            <w:tcW w:w="445" w:type="pct"/>
            <w:tcBorders>
              <w:top w:val="nil"/>
              <w:left w:val="nil"/>
              <w:bottom w:val="single" w:color="auto" w:sz="4" w:space="0"/>
              <w:right w:val="single" w:color="auto" w:sz="4" w:space="0"/>
            </w:tcBorders>
            <w:noWrap/>
            <w:vAlign w:val="center"/>
            <w:hideMark/>
          </w:tcPr>
          <w:p w:rsidRPr="00C8621A" w:rsidR="00C8621A" w:rsidP="00C8621A" w:rsidRDefault="00C8621A" w14:paraId="5CA52830" w14:textId="77777777">
            <w:pPr>
              <w:spacing w:after="0" w:line="240" w:lineRule="auto"/>
              <w:jc w:val="center"/>
              <w:rPr>
                <w:rFonts w:ascii="Verdana" w:hAnsi="Verdana" w:eastAsia="Times New Roman" w:cs="Times New Roman"/>
                <w:color w:val="000000"/>
                <w:sz w:val="18"/>
                <w:szCs w:val="18"/>
                <w:lang w:eastAsia="es-CO"/>
              </w:rPr>
            </w:pPr>
          </w:p>
        </w:tc>
        <w:tc>
          <w:tcPr>
            <w:tcW w:w="445" w:type="pct"/>
            <w:tcBorders>
              <w:top w:val="nil"/>
              <w:left w:val="nil"/>
              <w:bottom w:val="single" w:color="auto" w:sz="4" w:space="0"/>
              <w:right w:val="single" w:color="auto" w:sz="4" w:space="0"/>
            </w:tcBorders>
            <w:noWrap/>
            <w:vAlign w:val="center"/>
            <w:hideMark/>
          </w:tcPr>
          <w:p w:rsidRPr="00C8621A" w:rsidR="00C8621A" w:rsidP="00C8621A" w:rsidRDefault="00C8621A" w14:paraId="4703A688" w14:textId="77777777">
            <w:pPr>
              <w:spacing w:after="0" w:line="240" w:lineRule="auto"/>
              <w:jc w:val="center"/>
              <w:rPr>
                <w:rFonts w:ascii="Verdana" w:hAnsi="Verdana" w:eastAsia="Times New Roman" w:cs="Times New Roman"/>
                <w:color w:val="000000"/>
                <w:sz w:val="18"/>
                <w:szCs w:val="18"/>
                <w:lang w:eastAsia="es-CO"/>
              </w:rPr>
            </w:pPr>
          </w:p>
        </w:tc>
        <w:tc>
          <w:tcPr>
            <w:tcW w:w="501" w:type="pct"/>
            <w:tcBorders>
              <w:top w:val="nil"/>
              <w:left w:val="nil"/>
              <w:bottom w:val="single" w:color="auto" w:sz="4" w:space="0"/>
              <w:right w:val="single" w:color="auto" w:sz="4" w:space="0"/>
            </w:tcBorders>
            <w:noWrap/>
            <w:vAlign w:val="center"/>
            <w:hideMark/>
          </w:tcPr>
          <w:p w:rsidRPr="00C8621A" w:rsidR="00C8621A" w:rsidP="00C8621A" w:rsidRDefault="00C8621A" w14:paraId="72189B3A"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$738</w:t>
            </w:r>
          </w:p>
        </w:tc>
        <w:tc>
          <w:tcPr>
            <w:tcW w:w="501" w:type="pct"/>
            <w:tcBorders>
              <w:top w:val="nil"/>
              <w:left w:val="nil"/>
              <w:bottom w:val="single" w:color="auto" w:sz="4" w:space="0"/>
              <w:right w:val="single" w:color="auto" w:sz="4" w:space="0"/>
            </w:tcBorders>
            <w:noWrap/>
            <w:vAlign w:val="center"/>
            <w:hideMark/>
          </w:tcPr>
          <w:p w:rsidRPr="00C8621A" w:rsidR="00C8621A" w:rsidP="00C8621A" w:rsidRDefault="00C8621A" w14:paraId="3507E885"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$5.428</w:t>
            </w:r>
          </w:p>
        </w:tc>
        <w:tc>
          <w:tcPr>
            <w:tcW w:w="643" w:type="pct"/>
            <w:tcBorders>
              <w:top w:val="nil"/>
              <w:left w:val="nil"/>
              <w:bottom w:val="single" w:color="auto" w:sz="4" w:space="0"/>
              <w:right w:val="single" w:color="auto" w:sz="4" w:space="0"/>
            </w:tcBorders>
            <w:noWrap/>
            <w:vAlign w:val="center"/>
            <w:hideMark/>
          </w:tcPr>
          <w:p w:rsidRPr="00C8621A" w:rsidR="00C8621A" w:rsidP="00C8621A" w:rsidRDefault="00C8621A" w14:paraId="0B701840"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$100.000</w:t>
            </w:r>
          </w:p>
        </w:tc>
      </w:tr>
      <w:tr w:rsidRPr="00C8621A" w:rsidR="00C8621A" w:rsidTr="00C8621A" w14:paraId="56C7C6C4" w14:textId="77777777">
        <w:trPr>
          <w:trHeight w:val="276"/>
        </w:trPr>
        <w:tc>
          <w:tcPr>
            <w:tcW w:w="645" w:type="pct"/>
            <w:tcBorders>
              <w:top w:val="nil"/>
              <w:left w:val="single" w:color="auto" w:sz="4" w:space="0"/>
              <w:bottom w:val="single" w:color="auto" w:sz="4" w:space="0"/>
              <w:right w:val="single" w:color="auto" w:sz="4" w:space="0"/>
            </w:tcBorders>
            <w:noWrap/>
            <w:vAlign w:val="center"/>
            <w:hideMark/>
          </w:tcPr>
          <w:p w:rsidRPr="00C8621A" w:rsidR="00C8621A" w:rsidP="00C8621A" w:rsidRDefault="00C8621A" w14:paraId="684B7078"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CREG</w:t>
            </w:r>
          </w:p>
        </w:tc>
        <w:tc>
          <w:tcPr>
            <w:tcW w:w="588" w:type="pct"/>
            <w:tcBorders>
              <w:top w:val="nil"/>
              <w:left w:val="nil"/>
              <w:bottom w:val="single" w:color="auto" w:sz="4" w:space="0"/>
              <w:right w:val="single" w:color="auto" w:sz="4" w:space="0"/>
            </w:tcBorders>
            <w:noWrap/>
            <w:vAlign w:val="center"/>
            <w:hideMark/>
          </w:tcPr>
          <w:p w:rsidRPr="00C8621A" w:rsidR="00C8621A" w:rsidP="00C8621A" w:rsidRDefault="00C8621A" w14:paraId="3126A248" w14:textId="77777777">
            <w:pPr>
              <w:spacing w:after="0" w:line="240" w:lineRule="auto"/>
              <w:jc w:val="center"/>
              <w:rPr>
                <w:rFonts w:ascii="Verdana" w:hAnsi="Verdana" w:eastAsia="Times New Roman" w:cs="Times New Roman"/>
                <w:color w:val="000000"/>
                <w:sz w:val="18"/>
                <w:szCs w:val="18"/>
                <w:lang w:eastAsia="es-CO"/>
              </w:rPr>
            </w:pPr>
          </w:p>
        </w:tc>
        <w:tc>
          <w:tcPr>
            <w:tcW w:w="588" w:type="pct"/>
            <w:tcBorders>
              <w:top w:val="nil"/>
              <w:left w:val="nil"/>
              <w:bottom w:val="single" w:color="auto" w:sz="4" w:space="0"/>
              <w:right w:val="single" w:color="auto" w:sz="4" w:space="0"/>
            </w:tcBorders>
            <w:noWrap/>
            <w:vAlign w:val="center"/>
            <w:hideMark/>
          </w:tcPr>
          <w:p w:rsidRPr="00C8621A" w:rsidR="00C8621A" w:rsidP="00C8621A" w:rsidRDefault="00C8621A" w14:paraId="322C7335" w14:textId="77777777">
            <w:pPr>
              <w:spacing w:after="0" w:line="240" w:lineRule="auto"/>
              <w:jc w:val="center"/>
              <w:rPr>
                <w:rFonts w:ascii="Verdana" w:hAnsi="Verdana" w:eastAsia="Times New Roman" w:cs="Times New Roman"/>
                <w:color w:val="000000"/>
                <w:sz w:val="18"/>
                <w:szCs w:val="18"/>
                <w:lang w:eastAsia="es-CO"/>
              </w:rPr>
            </w:pPr>
          </w:p>
        </w:tc>
        <w:tc>
          <w:tcPr>
            <w:tcW w:w="644" w:type="pct"/>
            <w:tcBorders>
              <w:top w:val="nil"/>
              <w:left w:val="nil"/>
              <w:bottom w:val="single" w:color="auto" w:sz="4" w:space="0"/>
              <w:right w:val="single" w:color="auto" w:sz="4" w:space="0"/>
            </w:tcBorders>
            <w:noWrap/>
            <w:vAlign w:val="center"/>
            <w:hideMark/>
          </w:tcPr>
          <w:p w:rsidRPr="00C8621A" w:rsidR="00C8621A" w:rsidP="00C8621A" w:rsidRDefault="00C8621A" w14:paraId="6E4C83EE" w14:textId="77777777">
            <w:pPr>
              <w:spacing w:after="0" w:line="240" w:lineRule="auto"/>
              <w:jc w:val="center"/>
              <w:rPr>
                <w:rFonts w:ascii="Verdana" w:hAnsi="Verdana" w:eastAsia="Times New Roman" w:cs="Times New Roman"/>
                <w:color w:val="000000"/>
                <w:sz w:val="18"/>
                <w:szCs w:val="18"/>
                <w:lang w:eastAsia="es-CO"/>
              </w:rPr>
            </w:pPr>
          </w:p>
        </w:tc>
        <w:tc>
          <w:tcPr>
            <w:tcW w:w="445" w:type="pct"/>
            <w:tcBorders>
              <w:top w:val="nil"/>
              <w:left w:val="nil"/>
              <w:bottom w:val="single" w:color="auto" w:sz="4" w:space="0"/>
              <w:right w:val="single" w:color="auto" w:sz="4" w:space="0"/>
            </w:tcBorders>
            <w:noWrap/>
            <w:vAlign w:val="center"/>
            <w:hideMark/>
          </w:tcPr>
          <w:p w:rsidRPr="00C8621A" w:rsidR="00C8621A" w:rsidP="00C8621A" w:rsidRDefault="00C8621A" w14:paraId="086E2CD6" w14:textId="77777777">
            <w:pPr>
              <w:spacing w:after="0" w:line="240" w:lineRule="auto"/>
              <w:jc w:val="center"/>
              <w:rPr>
                <w:rFonts w:ascii="Verdana" w:hAnsi="Verdana" w:eastAsia="Times New Roman" w:cs="Times New Roman"/>
                <w:color w:val="000000"/>
                <w:sz w:val="18"/>
                <w:szCs w:val="18"/>
                <w:lang w:eastAsia="es-CO"/>
              </w:rPr>
            </w:pPr>
          </w:p>
        </w:tc>
        <w:tc>
          <w:tcPr>
            <w:tcW w:w="445" w:type="pct"/>
            <w:tcBorders>
              <w:top w:val="nil"/>
              <w:left w:val="nil"/>
              <w:bottom w:val="single" w:color="auto" w:sz="4" w:space="0"/>
              <w:right w:val="single" w:color="auto" w:sz="4" w:space="0"/>
            </w:tcBorders>
            <w:noWrap/>
            <w:vAlign w:val="center"/>
            <w:hideMark/>
          </w:tcPr>
          <w:p w:rsidRPr="00C8621A" w:rsidR="00C8621A" w:rsidP="00C8621A" w:rsidRDefault="00C8621A" w14:paraId="05BACC76" w14:textId="77777777">
            <w:pPr>
              <w:spacing w:after="0" w:line="240" w:lineRule="auto"/>
              <w:jc w:val="center"/>
              <w:rPr>
                <w:rFonts w:ascii="Verdana" w:hAnsi="Verdana" w:eastAsia="Times New Roman" w:cs="Times New Roman"/>
                <w:color w:val="000000"/>
                <w:sz w:val="18"/>
                <w:szCs w:val="18"/>
                <w:lang w:eastAsia="es-CO"/>
              </w:rPr>
            </w:pPr>
          </w:p>
        </w:tc>
        <w:tc>
          <w:tcPr>
            <w:tcW w:w="501" w:type="pct"/>
            <w:tcBorders>
              <w:top w:val="nil"/>
              <w:left w:val="nil"/>
              <w:bottom w:val="single" w:color="auto" w:sz="4" w:space="0"/>
              <w:right w:val="single" w:color="auto" w:sz="4" w:space="0"/>
            </w:tcBorders>
            <w:noWrap/>
            <w:vAlign w:val="center"/>
            <w:hideMark/>
          </w:tcPr>
          <w:p w:rsidRPr="00C8621A" w:rsidR="00C8621A" w:rsidP="00C8621A" w:rsidRDefault="00C8621A" w14:paraId="6A427F9D"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$7.990</w:t>
            </w:r>
          </w:p>
        </w:tc>
        <w:tc>
          <w:tcPr>
            <w:tcW w:w="501" w:type="pct"/>
            <w:tcBorders>
              <w:top w:val="nil"/>
              <w:left w:val="nil"/>
              <w:bottom w:val="single" w:color="auto" w:sz="4" w:space="0"/>
              <w:right w:val="single" w:color="auto" w:sz="4" w:space="0"/>
            </w:tcBorders>
            <w:noWrap/>
            <w:vAlign w:val="center"/>
            <w:hideMark/>
          </w:tcPr>
          <w:p w:rsidRPr="00C8621A" w:rsidR="00C8621A" w:rsidP="00C8621A" w:rsidRDefault="00C8621A" w14:paraId="1426A572"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$3.210</w:t>
            </w:r>
          </w:p>
        </w:tc>
        <w:tc>
          <w:tcPr>
            <w:tcW w:w="643" w:type="pct"/>
            <w:tcBorders>
              <w:top w:val="nil"/>
              <w:left w:val="nil"/>
              <w:bottom w:val="single" w:color="auto" w:sz="4" w:space="0"/>
              <w:right w:val="single" w:color="auto" w:sz="4" w:space="0"/>
            </w:tcBorders>
            <w:noWrap/>
            <w:vAlign w:val="center"/>
            <w:hideMark/>
          </w:tcPr>
          <w:p w:rsidRPr="00C8621A" w:rsidR="00C8621A" w:rsidP="00C8621A" w:rsidRDefault="00C8621A" w14:paraId="29A5C01C"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$11.200</w:t>
            </w:r>
          </w:p>
        </w:tc>
      </w:tr>
      <w:tr w:rsidRPr="00C8621A" w:rsidR="00C8621A" w:rsidTr="00C8621A" w14:paraId="1CDCC0FF" w14:textId="77777777">
        <w:trPr>
          <w:trHeight w:val="276"/>
        </w:trPr>
        <w:tc>
          <w:tcPr>
            <w:tcW w:w="645" w:type="pct"/>
            <w:tcBorders>
              <w:top w:val="nil"/>
              <w:left w:val="single" w:color="auto" w:sz="4" w:space="0"/>
              <w:bottom w:val="single" w:color="auto" w:sz="4" w:space="0"/>
              <w:right w:val="single" w:color="auto" w:sz="4" w:space="0"/>
            </w:tcBorders>
            <w:noWrap/>
            <w:vAlign w:val="center"/>
            <w:hideMark/>
          </w:tcPr>
          <w:p w:rsidRPr="00C8621A" w:rsidR="00C8621A" w:rsidP="00C8621A" w:rsidRDefault="00C8621A" w14:paraId="492129D0"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MME</w:t>
            </w:r>
          </w:p>
        </w:tc>
        <w:tc>
          <w:tcPr>
            <w:tcW w:w="588" w:type="pct"/>
            <w:tcBorders>
              <w:top w:val="nil"/>
              <w:left w:val="nil"/>
              <w:bottom w:val="single" w:color="auto" w:sz="4" w:space="0"/>
              <w:right w:val="single" w:color="auto" w:sz="4" w:space="0"/>
            </w:tcBorders>
            <w:noWrap/>
            <w:vAlign w:val="center"/>
            <w:hideMark/>
          </w:tcPr>
          <w:p w:rsidRPr="00C8621A" w:rsidR="00C8621A" w:rsidP="00C8621A" w:rsidRDefault="00C8621A" w14:paraId="184DFDE3"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$1.099.605</w:t>
            </w:r>
          </w:p>
        </w:tc>
        <w:tc>
          <w:tcPr>
            <w:tcW w:w="588" w:type="pct"/>
            <w:tcBorders>
              <w:top w:val="nil"/>
              <w:left w:val="nil"/>
              <w:bottom w:val="single" w:color="auto" w:sz="4" w:space="0"/>
              <w:right w:val="single" w:color="auto" w:sz="4" w:space="0"/>
            </w:tcBorders>
            <w:noWrap/>
            <w:vAlign w:val="center"/>
            <w:hideMark/>
          </w:tcPr>
          <w:p w:rsidRPr="00C8621A" w:rsidR="00C8621A" w:rsidP="00C8621A" w:rsidRDefault="00C8621A" w14:paraId="0311A178"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$3.767.562</w:t>
            </w:r>
          </w:p>
        </w:tc>
        <w:tc>
          <w:tcPr>
            <w:tcW w:w="644" w:type="pct"/>
            <w:tcBorders>
              <w:top w:val="nil"/>
              <w:left w:val="nil"/>
              <w:bottom w:val="single" w:color="auto" w:sz="4" w:space="0"/>
              <w:right w:val="single" w:color="auto" w:sz="4" w:space="0"/>
            </w:tcBorders>
            <w:noWrap/>
            <w:vAlign w:val="center"/>
            <w:hideMark/>
          </w:tcPr>
          <w:p w:rsidRPr="00C8621A" w:rsidR="00C8621A" w:rsidP="00C8621A" w:rsidRDefault="00C8621A" w14:paraId="566C2E51"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$ 89.580</w:t>
            </w:r>
          </w:p>
        </w:tc>
        <w:tc>
          <w:tcPr>
            <w:tcW w:w="445" w:type="pct"/>
            <w:tcBorders>
              <w:top w:val="nil"/>
              <w:left w:val="nil"/>
              <w:bottom w:val="single" w:color="auto" w:sz="4" w:space="0"/>
              <w:right w:val="single" w:color="auto" w:sz="4" w:space="0"/>
            </w:tcBorders>
            <w:noWrap/>
            <w:vAlign w:val="center"/>
            <w:hideMark/>
          </w:tcPr>
          <w:p w:rsidRPr="00C8621A" w:rsidR="00C8621A" w:rsidP="00C8621A" w:rsidRDefault="00C8621A" w14:paraId="0F39BC56"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$21.103</w:t>
            </w:r>
          </w:p>
        </w:tc>
        <w:tc>
          <w:tcPr>
            <w:tcW w:w="445" w:type="pct"/>
            <w:tcBorders>
              <w:top w:val="nil"/>
              <w:left w:val="nil"/>
              <w:bottom w:val="single" w:color="auto" w:sz="4" w:space="0"/>
              <w:right w:val="single" w:color="auto" w:sz="4" w:space="0"/>
            </w:tcBorders>
            <w:noWrap/>
            <w:vAlign w:val="center"/>
            <w:hideMark/>
          </w:tcPr>
          <w:p w:rsidRPr="00C8621A" w:rsidR="00C8621A" w:rsidP="00C8621A" w:rsidRDefault="00C8621A" w14:paraId="34FAF0BB"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$20.540</w:t>
            </w:r>
          </w:p>
        </w:tc>
        <w:tc>
          <w:tcPr>
            <w:tcW w:w="501" w:type="pct"/>
            <w:tcBorders>
              <w:top w:val="nil"/>
              <w:left w:val="nil"/>
              <w:bottom w:val="single" w:color="auto" w:sz="4" w:space="0"/>
              <w:right w:val="single" w:color="auto" w:sz="4" w:space="0"/>
            </w:tcBorders>
            <w:noWrap/>
            <w:vAlign w:val="center"/>
            <w:hideMark/>
          </w:tcPr>
          <w:p w:rsidRPr="00C8621A" w:rsidR="00C8621A" w:rsidP="00C8621A" w:rsidRDefault="00C8621A" w14:paraId="19F20656"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$38.883</w:t>
            </w:r>
          </w:p>
        </w:tc>
        <w:tc>
          <w:tcPr>
            <w:tcW w:w="501" w:type="pct"/>
            <w:tcBorders>
              <w:top w:val="nil"/>
              <w:left w:val="nil"/>
              <w:bottom w:val="single" w:color="auto" w:sz="4" w:space="0"/>
              <w:right w:val="single" w:color="auto" w:sz="4" w:space="0"/>
            </w:tcBorders>
            <w:noWrap/>
            <w:vAlign w:val="center"/>
            <w:hideMark/>
          </w:tcPr>
          <w:p w:rsidRPr="00C8621A" w:rsidR="00C8621A" w:rsidP="00C8621A" w:rsidRDefault="00C8621A" w14:paraId="74E9C0E5"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$37.848</w:t>
            </w:r>
          </w:p>
        </w:tc>
        <w:tc>
          <w:tcPr>
            <w:tcW w:w="643" w:type="pct"/>
            <w:tcBorders>
              <w:top w:val="nil"/>
              <w:left w:val="nil"/>
              <w:bottom w:val="single" w:color="auto" w:sz="4" w:space="0"/>
              <w:right w:val="single" w:color="auto" w:sz="4" w:space="0"/>
            </w:tcBorders>
            <w:noWrap/>
            <w:vAlign w:val="center"/>
            <w:hideMark/>
          </w:tcPr>
          <w:p w:rsidRPr="00C8621A" w:rsidR="00C8621A" w:rsidP="00C8621A" w:rsidRDefault="00C8621A" w14:paraId="4699FF1C"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$5.075.124</w:t>
            </w:r>
          </w:p>
        </w:tc>
      </w:tr>
      <w:tr w:rsidRPr="00C8621A" w:rsidR="00C8621A" w:rsidTr="00C8621A" w14:paraId="7C325D8A" w14:textId="77777777">
        <w:trPr>
          <w:trHeight w:val="276"/>
        </w:trPr>
        <w:tc>
          <w:tcPr>
            <w:tcW w:w="645" w:type="pct"/>
            <w:tcBorders>
              <w:top w:val="nil"/>
              <w:left w:val="single" w:color="auto" w:sz="4" w:space="0"/>
              <w:bottom w:val="single" w:color="auto" w:sz="4" w:space="0"/>
              <w:right w:val="single" w:color="auto" w:sz="4" w:space="0"/>
            </w:tcBorders>
            <w:noWrap/>
            <w:vAlign w:val="center"/>
            <w:hideMark/>
          </w:tcPr>
          <w:p w:rsidRPr="00C8621A" w:rsidR="00C8621A" w:rsidP="00C8621A" w:rsidRDefault="00C8621A" w14:paraId="5BE4B8B9"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SGC</w:t>
            </w:r>
          </w:p>
        </w:tc>
        <w:tc>
          <w:tcPr>
            <w:tcW w:w="588" w:type="pct"/>
            <w:tcBorders>
              <w:top w:val="nil"/>
              <w:left w:val="nil"/>
              <w:bottom w:val="single" w:color="auto" w:sz="4" w:space="0"/>
              <w:right w:val="single" w:color="auto" w:sz="4" w:space="0"/>
            </w:tcBorders>
            <w:noWrap/>
            <w:vAlign w:val="center"/>
            <w:hideMark/>
          </w:tcPr>
          <w:p w:rsidRPr="00C8621A" w:rsidR="00C8621A" w:rsidP="00C8621A" w:rsidRDefault="00C8621A" w14:paraId="708F72FC" w14:textId="77777777">
            <w:pPr>
              <w:spacing w:after="0" w:line="240" w:lineRule="auto"/>
              <w:jc w:val="center"/>
              <w:rPr>
                <w:rFonts w:ascii="Verdana" w:hAnsi="Verdana" w:eastAsia="Times New Roman" w:cs="Times New Roman"/>
                <w:color w:val="000000"/>
                <w:sz w:val="18"/>
                <w:szCs w:val="18"/>
                <w:lang w:eastAsia="es-CO"/>
              </w:rPr>
            </w:pPr>
          </w:p>
        </w:tc>
        <w:tc>
          <w:tcPr>
            <w:tcW w:w="588" w:type="pct"/>
            <w:tcBorders>
              <w:top w:val="nil"/>
              <w:left w:val="nil"/>
              <w:bottom w:val="single" w:color="auto" w:sz="4" w:space="0"/>
              <w:right w:val="single" w:color="auto" w:sz="4" w:space="0"/>
            </w:tcBorders>
            <w:noWrap/>
            <w:vAlign w:val="center"/>
            <w:hideMark/>
          </w:tcPr>
          <w:p w:rsidRPr="00C8621A" w:rsidR="00C8621A" w:rsidP="00C8621A" w:rsidRDefault="00C8621A" w14:paraId="4A3B2F53" w14:textId="77777777">
            <w:pPr>
              <w:spacing w:after="0" w:line="240" w:lineRule="auto"/>
              <w:jc w:val="center"/>
              <w:rPr>
                <w:rFonts w:ascii="Verdana" w:hAnsi="Verdana" w:eastAsia="Times New Roman" w:cs="Times New Roman"/>
                <w:color w:val="000000"/>
                <w:sz w:val="18"/>
                <w:szCs w:val="18"/>
                <w:lang w:eastAsia="es-CO"/>
              </w:rPr>
            </w:pPr>
          </w:p>
        </w:tc>
        <w:tc>
          <w:tcPr>
            <w:tcW w:w="644" w:type="pct"/>
            <w:tcBorders>
              <w:top w:val="nil"/>
              <w:left w:val="nil"/>
              <w:bottom w:val="single" w:color="auto" w:sz="4" w:space="0"/>
              <w:right w:val="single" w:color="auto" w:sz="4" w:space="0"/>
            </w:tcBorders>
            <w:noWrap/>
            <w:vAlign w:val="center"/>
            <w:hideMark/>
          </w:tcPr>
          <w:p w:rsidRPr="00C8621A" w:rsidR="00C8621A" w:rsidP="00C8621A" w:rsidRDefault="00C8621A" w14:paraId="5B934DB4" w14:textId="77777777">
            <w:pPr>
              <w:spacing w:after="0" w:line="240" w:lineRule="auto"/>
              <w:jc w:val="center"/>
              <w:rPr>
                <w:rFonts w:ascii="Verdana" w:hAnsi="Verdana" w:eastAsia="Times New Roman" w:cs="Times New Roman"/>
                <w:color w:val="000000"/>
                <w:sz w:val="18"/>
                <w:szCs w:val="18"/>
                <w:lang w:eastAsia="es-CO"/>
              </w:rPr>
            </w:pPr>
          </w:p>
        </w:tc>
        <w:tc>
          <w:tcPr>
            <w:tcW w:w="445" w:type="pct"/>
            <w:tcBorders>
              <w:top w:val="nil"/>
              <w:left w:val="nil"/>
              <w:bottom w:val="single" w:color="auto" w:sz="4" w:space="0"/>
              <w:right w:val="single" w:color="auto" w:sz="4" w:space="0"/>
            </w:tcBorders>
            <w:noWrap/>
            <w:vAlign w:val="center"/>
            <w:hideMark/>
          </w:tcPr>
          <w:p w:rsidRPr="00C8621A" w:rsidR="00C8621A" w:rsidP="00C8621A" w:rsidRDefault="00C8621A" w14:paraId="3D18E854" w14:textId="77777777">
            <w:pPr>
              <w:spacing w:after="0" w:line="240" w:lineRule="auto"/>
              <w:jc w:val="center"/>
              <w:rPr>
                <w:rFonts w:ascii="Verdana" w:hAnsi="Verdana" w:eastAsia="Times New Roman" w:cs="Times New Roman"/>
                <w:color w:val="000000"/>
                <w:sz w:val="18"/>
                <w:szCs w:val="18"/>
                <w:lang w:eastAsia="es-CO"/>
              </w:rPr>
            </w:pPr>
          </w:p>
        </w:tc>
        <w:tc>
          <w:tcPr>
            <w:tcW w:w="445" w:type="pct"/>
            <w:tcBorders>
              <w:top w:val="nil"/>
              <w:left w:val="nil"/>
              <w:bottom w:val="single" w:color="auto" w:sz="4" w:space="0"/>
              <w:right w:val="single" w:color="auto" w:sz="4" w:space="0"/>
            </w:tcBorders>
            <w:noWrap/>
            <w:vAlign w:val="center"/>
            <w:hideMark/>
          </w:tcPr>
          <w:p w:rsidRPr="00C8621A" w:rsidR="00C8621A" w:rsidP="00C8621A" w:rsidRDefault="00C8621A" w14:paraId="7F95B49B" w14:textId="77777777">
            <w:pPr>
              <w:spacing w:after="0" w:line="240" w:lineRule="auto"/>
              <w:jc w:val="center"/>
              <w:rPr>
                <w:rFonts w:ascii="Verdana" w:hAnsi="Verdana" w:eastAsia="Times New Roman" w:cs="Times New Roman"/>
                <w:color w:val="000000"/>
                <w:sz w:val="18"/>
                <w:szCs w:val="18"/>
                <w:lang w:eastAsia="es-CO"/>
              </w:rPr>
            </w:pPr>
          </w:p>
        </w:tc>
        <w:tc>
          <w:tcPr>
            <w:tcW w:w="501" w:type="pct"/>
            <w:tcBorders>
              <w:top w:val="nil"/>
              <w:left w:val="nil"/>
              <w:bottom w:val="single" w:color="auto" w:sz="4" w:space="0"/>
              <w:right w:val="single" w:color="auto" w:sz="4" w:space="0"/>
            </w:tcBorders>
            <w:noWrap/>
            <w:vAlign w:val="center"/>
            <w:hideMark/>
          </w:tcPr>
          <w:p w:rsidRPr="00C8621A" w:rsidR="00C8621A" w:rsidP="00C8621A" w:rsidRDefault="00C8621A" w14:paraId="2D3E9333"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$121.609</w:t>
            </w:r>
          </w:p>
        </w:tc>
        <w:tc>
          <w:tcPr>
            <w:tcW w:w="501" w:type="pct"/>
            <w:tcBorders>
              <w:top w:val="nil"/>
              <w:left w:val="nil"/>
              <w:bottom w:val="single" w:color="auto" w:sz="4" w:space="0"/>
              <w:right w:val="single" w:color="auto" w:sz="4" w:space="0"/>
            </w:tcBorders>
            <w:noWrap/>
            <w:vAlign w:val="center"/>
            <w:hideMark/>
          </w:tcPr>
          <w:p w:rsidRPr="00C8621A" w:rsidR="00C8621A" w:rsidP="00C8621A" w:rsidRDefault="00C8621A" w14:paraId="54A1CCCA"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$89.028</w:t>
            </w:r>
          </w:p>
        </w:tc>
        <w:tc>
          <w:tcPr>
            <w:tcW w:w="643" w:type="pct"/>
            <w:tcBorders>
              <w:top w:val="nil"/>
              <w:left w:val="nil"/>
              <w:bottom w:val="single" w:color="auto" w:sz="4" w:space="0"/>
              <w:right w:val="single" w:color="auto" w:sz="4" w:space="0"/>
            </w:tcBorders>
            <w:noWrap/>
            <w:vAlign w:val="center"/>
            <w:hideMark/>
          </w:tcPr>
          <w:p w:rsidRPr="00C8621A" w:rsidR="00C8621A" w:rsidP="00C8621A" w:rsidRDefault="00C8621A" w14:paraId="5E3A433D"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$210.638</w:t>
            </w:r>
          </w:p>
        </w:tc>
      </w:tr>
      <w:tr w:rsidRPr="00C8621A" w:rsidR="00C8621A" w:rsidTr="00C8621A" w14:paraId="00D7AA69" w14:textId="77777777">
        <w:trPr>
          <w:trHeight w:val="276"/>
        </w:trPr>
        <w:tc>
          <w:tcPr>
            <w:tcW w:w="645" w:type="pct"/>
            <w:tcBorders>
              <w:top w:val="nil"/>
              <w:left w:val="single" w:color="auto" w:sz="4" w:space="0"/>
              <w:bottom w:val="single" w:color="auto" w:sz="4" w:space="0"/>
              <w:right w:val="single" w:color="auto" w:sz="4" w:space="0"/>
            </w:tcBorders>
            <w:noWrap/>
            <w:vAlign w:val="center"/>
            <w:hideMark/>
          </w:tcPr>
          <w:p w:rsidRPr="00C8621A" w:rsidR="00C8621A" w:rsidP="00C8621A" w:rsidRDefault="00C8621A" w14:paraId="333B63EE"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UPME</w:t>
            </w:r>
          </w:p>
        </w:tc>
        <w:tc>
          <w:tcPr>
            <w:tcW w:w="588" w:type="pct"/>
            <w:tcBorders>
              <w:top w:val="nil"/>
              <w:left w:val="nil"/>
              <w:bottom w:val="single" w:color="auto" w:sz="4" w:space="0"/>
              <w:right w:val="single" w:color="auto" w:sz="4" w:space="0"/>
            </w:tcBorders>
            <w:noWrap/>
            <w:vAlign w:val="center"/>
            <w:hideMark/>
          </w:tcPr>
          <w:p w:rsidRPr="00C8621A" w:rsidR="00C8621A" w:rsidP="00C8621A" w:rsidRDefault="00C8621A" w14:paraId="0875716A" w14:textId="77777777">
            <w:pPr>
              <w:spacing w:after="0" w:line="240" w:lineRule="auto"/>
              <w:jc w:val="center"/>
              <w:rPr>
                <w:rFonts w:ascii="Verdana" w:hAnsi="Verdana" w:eastAsia="Times New Roman" w:cs="Times New Roman"/>
                <w:color w:val="000000"/>
                <w:sz w:val="18"/>
                <w:szCs w:val="18"/>
                <w:lang w:eastAsia="es-CO"/>
              </w:rPr>
            </w:pPr>
          </w:p>
        </w:tc>
        <w:tc>
          <w:tcPr>
            <w:tcW w:w="588" w:type="pct"/>
            <w:tcBorders>
              <w:top w:val="nil"/>
              <w:left w:val="nil"/>
              <w:bottom w:val="single" w:color="auto" w:sz="4" w:space="0"/>
              <w:right w:val="single" w:color="auto" w:sz="4" w:space="0"/>
            </w:tcBorders>
            <w:noWrap/>
            <w:vAlign w:val="center"/>
            <w:hideMark/>
          </w:tcPr>
          <w:p w:rsidRPr="00C8621A" w:rsidR="00C8621A" w:rsidP="00C8621A" w:rsidRDefault="00C8621A" w14:paraId="1C8C9BB8"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$6.467</w:t>
            </w:r>
          </w:p>
        </w:tc>
        <w:tc>
          <w:tcPr>
            <w:tcW w:w="644" w:type="pct"/>
            <w:tcBorders>
              <w:top w:val="nil"/>
              <w:left w:val="nil"/>
              <w:bottom w:val="single" w:color="auto" w:sz="4" w:space="0"/>
              <w:right w:val="single" w:color="auto" w:sz="4" w:space="0"/>
            </w:tcBorders>
            <w:noWrap/>
            <w:vAlign w:val="center"/>
            <w:hideMark/>
          </w:tcPr>
          <w:p w:rsidRPr="00C8621A" w:rsidR="00C8621A" w:rsidP="00C8621A" w:rsidRDefault="00C8621A" w14:paraId="593E9BC3"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$2.940</w:t>
            </w:r>
          </w:p>
        </w:tc>
        <w:tc>
          <w:tcPr>
            <w:tcW w:w="445" w:type="pct"/>
            <w:tcBorders>
              <w:top w:val="nil"/>
              <w:left w:val="nil"/>
              <w:bottom w:val="single" w:color="auto" w:sz="4" w:space="0"/>
              <w:right w:val="single" w:color="auto" w:sz="4" w:space="0"/>
            </w:tcBorders>
            <w:noWrap/>
            <w:vAlign w:val="center"/>
            <w:hideMark/>
          </w:tcPr>
          <w:p w:rsidRPr="00C8621A" w:rsidR="00C8621A" w:rsidP="00C8621A" w:rsidRDefault="00C8621A" w14:paraId="51EA7157" w14:textId="77777777">
            <w:pPr>
              <w:spacing w:after="0" w:line="240" w:lineRule="auto"/>
              <w:jc w:val="center"/>
              <w:rPr>
                <w:rFonts w:ascii="Verdana" w:hAnsi="Verdana" w:eastAsia="Times New Roman" w:cs="Times New Roman"/>
                <w:color w:val="000000"/>
                <w:sz w:val="18"/>
                <w:szCs w:val="18"/>
                <w:lang w:eastAsia="es-CO"/>
              </w:rPr>
            </w:pPr>
          </w:p>
        </w:tc>
        <w:tc>
          <w:tcPr>
            <w:tcW w:w="445" w:type="pct"/>
            <w:tcBorders>
              <w:top w:val="nil"/>
              <w:left w:val="nil"/>
              <w:bottom w:val="single" w:color="auto" w:sz="4" w:space="0"/>
              <w:right w:val="single" w:color="auto" w:sz="4" w:space="0"/>
            </w:tcBorders>
            <w:noWrap/>
            <w:vAlign w:val="center"/>
            <w:hideMark/>
          </w:tcPr>
          <w:p w:rsidRPr="00C8621A" w:rsidR="00C8621A" w:rsidP="00C8621A" w:rsidRDefault="00C8621A" w14:paraId="2A0AE6DB"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$2.271</w:t>
            </w:r>
          </w:p>
        </w:tc>
        <w:tc>
          <w:tcPr>
            <w:tcW w:w="501" w:type="pct"/>
            <w:tcBorders>
              <w:top w:val="nil"/>
              <w:left w:val="nil"/>
              <w:bottom w:val="single" w:color="auto" w:sz="4" w:space="0"/>
              <w:right w:val="single" w:color="auto" w:sz="4" w:space="0"/>
            </w:tcBorders>
            <w:noWrap/>
            <w:vAlign w:val="center"/>
            <w:hideMark/>
          </w:tcPr>
          <w:p w:rsidRPr="00C8621A" w:rsidR="00C8621A" w:rsidP="00C8621A" w:rsidRDefault="00C8621A" w14:paraId="7F4727A3"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$9.112</w:t>
            </w:r>
          </w:p>
        </w:tc>
        <w:tc>
          <w:tcPr>
            <w:tcW w:w="501" w:type="pct"/>
            <w:tcBorders>
              <w:top w:val="nil"/>
              <w:left w:val="nil"/>
              <w:bottom w:val="single" w:color="auto" w:sz="4" w:space="0"/>
              <w:right w:val="single" w:color="auto" w:sz="4" w:space="0"/>
            </w:tcBorders>
            <w:noWrap/>
            <w:vAlign w:val="center"/>
            <w:hideMark/>
          </w:tcPr>
          <w:p w:rsidRPr="00C8621A" w:rsidR="00C8621A" w:rsidP="00C8621A" w:rsidRDefault="00C8621A" w14:paraId="67C88E60"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$6.170</w:t>
            </w:r>
          </w:p>
        </w:tc>
        <w:tc>
          <w:tcPr>
            <w:tcW w:w="643" w:type="pct"/>
            <w:tcBorders>
              <w:top w:val="nil"/>
              <w:left w:val="nil"/>
              <w:bottom w:val="single" w:color="auto" w:sz="4" w:space="0"/>
              <w:right w:val="single" w:color="auto" w:sz="4" w:space="0"/>
            </w:tcBorders>
            <w:noWrap/>
            <w:vAlign w:val="center"/>
            <w:hideMark/>
          </w:tcPr>
          <w:p w:rsidRPr="00C8621A" w:rsidR="00C8621A" w:rsidP="00C8621A" w:rsidRDefault="00C8621A" w14:paraId="140AE3F3"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$26.962</w:t>
            </w:r>
          </w:p>
        </w:tc>
      </w:tr>
      <w:tr w:rsidRPr="00C8621A" w:rsidR="00C8621A" w:rsidTr="00C8621A" w14:paraId="77894BC3" w14:textId="77777777">
        <w:trPr>
          <w:trHeight w:val="276"/>
        </w:trPr>
        <w:tc>
          <w:tcPr>
            <w:tcW w:w="645" w:type="pct"/>
            <w:tcBorders>
              <w:top w:val="nil"/>
              <w:left w:val="single" w:color="auto" w:sz="4" w:space="0"/>
              <w:bottom w:val="single" w:color="auto" w:sz="4" w:space="0"/>
              <w:right w:val="single" w:color="auto" w:sz="4" w:space="0"/>
            </w:tcBorders>
            <w:shd w:val="clear" w:color="000000" w:fill="BFBFBF"/>
            <w:noWrap/>
            <w:vAlign w:val="center"/>
            <w:hideMark/>
          </w:tcPr>
          <w:p w:rsidRPr="00C8621A" w:rsidR="00C8621A" w:rsidP="00C8621A" w:rsidRDefault="00C8621A" w14:paraId="6CB13C68" w14:textId="77777777">
            <w:pPr>
              <w:spacing w:after="0" w:line="240" w:lineRule="auto"/>
              <w:jc w:val="center"/>
              <w:rPr>
                <w:rFonts w:ascii="Verdana" w:hAnsi="Verdana" w:eastAsia="Times New Roman" w:cs="Times New Roman"/>
                <w:b/>
                <w:bCs/>
                <w:color w:val="000000"/>
                <w:sz w:val="18"/>
                <w:szCs w:val="18"/>
                <w:lang w:eastAsia="es-CO"/>
              </w:rPr>
            </w:pPr>
            <w:r w:rsidRPr="00C8621A">
              <w:rPr>
                <w:rFonts w:ascii="Verdana" w:hAnsi="Verdana" w:eastAsia="Times New Roman" w:cs="Times New Roman"/>
                <w:b/>
                <w:bCs/>
                <w:color w:val="000000"/>
                <w:sz w:val="18"/>
                <w:szCs w:val="18"/>
                <w:lang w:eastAsia="es-CO"/>
              </w:rPr>
              <w:t>Total</w:t>
            </w:r>
          </w:p>
        </w:tc>
        <w:tc>
          <w:tcPr>
            <w:tcW w:w="588" w:type="pct"/>
            <w:tcBorders>
              <w:top w:val="nil"/>
              <w:left w:val="nil"/>
              <w:bottom w:val="single" w:color="auto" w:sz="4" w:space="0"/>
              <w:right w:val="single" w:color="auto" w:sz="4" w:space="0"/>
            </w:tcBorders>
            <w:shd w:val="clear" w:color="000000" w:fill="BFBFBF"/>
            <w:noWrap/>
            <w:vAlign w:val="center"/>
            <w:hideMark/>
          </w:tcPr>
          <w:p w:rsidRPr="00C8621A" w:rsidR="00C8621A" w:rsidP="00C8621A" w:rsidRDefault="00C8621A" w14:paraId="66675FCF"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$1.099.605</w:t>
            </w:r>
          </w:p>
        </w:tc>
        <w:tc>
          <w:tcPr>
            <w:tcW w:w="588" w:type="pct"/>
            <w:tcBorders>
              <w:top w:val="nil"/>
              <w:left w:val="nil"/>
              <w:bottom w:val="single" w:color="auto" w:sz="4" w:space="0"/>
              <w:right w:val="single" w:color="auto" w:sz="4" w:space="0"/>
            </w:tcBorders>
            <w:shd w:val="clear" w:color="000000" w:fill="BFBFBF"/>
            <w:noWrap/>
            <w:vAlign w:val="center"/>
            <w:hideMark/>
          </w:tcPr>
          <w:p w:rsidRPr="00C8621A" w:rsidR="00C8621A" w:rsidP="00C8621A" w:rsidRDefault="00C8621A" w14:paraId="26D38183"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$3.867.863</w:t>
            </w:r>
          </w:p>
        </w:tc>
        <w:tc>
          <w:tcPr>
            <w:tcW w:w="644" w:type="pct"/>
            <w:tcBorders>
              <w:top w:val="nil"/>
              <w:left w:val="nil"/>
              <w:bottom w:val="single" w:color="auto" w:sz="4" w:space="0"/>
              <w:right w:val="single" w:color="auto" w:sz="4" w:space="0"/>
            </w:tcBorders>
            <w:shd w:val="clear" w:color="000000" w:fill="BFBFBF"/>
            <w:noWrap/>
            <w:vAlign w:val="center"/>
            <w:hideMark/>
          </w:tcPr>
          <w:p w:rsidRPr="00C8621A" w:rsidR="00C8621A" w:rsidP="00C8621A" w:rsidRDefault="00C8621A" w14:paraId="1B1C34FE"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$14.273.604</w:t>
            </w:r>
          </w:p>
        </w:tc>
        <w:tc>
          <w:tcPr>
            <w:tcW w:w="445" w:type="pct"/>
            <w:tcBorders>
              <w:top w:val="nil"/>
              <w:left w:val="nil"/>
              <w:bottom w:val="single" w:color="auto" w:sz="4" w:space="0"/>
              <w:right w:val="single" w:color="auto" w:sz="4" w:space="0"/>
            </w:tcBorders>
            <w:shd w:val="clear" w:color="000000" w:fill="BFBFBF"/>
            <w:noWrap/>
            <w:vAlign w:val="center"/>
            <w:hideMark/>
          </w:tcPr>
          <w:p w:rsidRPr="00C8621A" w:rsidR="00C8621A" w:rsidP="00C8621A" w:rsidRDefault="00C8621A" w14:paraId="2429A2CE"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$48.186</w:t>
            </w:r>
          </w:p>
        </w:tc>
        <w:tc>
          <w:tcPr>
            <w:tcW w:w="445" w:type="pct"/>
            <w:tcBorders>
              <w:top w:val="nil"/>
              <w:left w:val="nil"/>
              <w:bottom w:val="single" w:color="auto" w:sz="4" w:space="0"/>
              <w:right w:val="single" w:color="auto" w:sz="4" w:space="0"/>
            </w:tcBorders>
            <w:shd w:val="clear" w:color="000000" w:fill="BFBFBF"/>
            <w:noWrap/>
            <w:vAlign w:val="center"/>
            <w:hideMark/>
          </w:tcPr>
          <w:p w:rsidRPr="00C8621A" w:rsidR="00C8621A" w:rsidP="00C8621A" w:rsidRDefault="00C8621A" w14:paraId="6C578AF4"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$22.812</w:t>
            </w:r>
          </w:p>
        </w:tc>
        <w:tc>
          <w:tcPr>
            <w:tcW w:w="501" w:type="pct"/>
            <w:tcBorders>
              <w:top w:val="nil"/>
              <w:left w:val="nil"/>
              <w:bottom w:val="single" w:color="auto" w:sz="4" w:space="0"/>
              <w:right w:val="single" w:color="auto" w:sz="4" w:space="0"/>
            </w:tcBorders>
            <w:shd w:val="clear" w:color="000000" w:fill="BFBFBF"/>
            <w:noWrap/>
            <w:vAlign w:val="center"/>
            <w:hideMark/>
          </w:tcPr>
          <w:p w:rsidRPr="00C8621A" w:rsidR="00C8621A" w:rsidP="00C8621A" w:rsidRDefault="00C8621A" w14:paraId="757AB5D6"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$497.831</w:t>
            </w:r>
          </w:p>
        </w:tc>
        <w:tc>
          <w:tcPr>
            <w:tcW w:w="501" w:type="pct"/>
            <w:tcBorders>
              <w:top w:val="nil"/>
              <w:left w:val="nil"/>
              <w:bottom w:val="single" w:color="auto" w:sz="4" w:space="0"/>
              <w:right w:val="single" w:color="auto" w:sz="4" w:space="0"/>
            </w:tcBorders>
            <w:shd w:val="clear" w:color="000000" w:fill="BFBFBF"/>
            <w:noWrap/>
            <w:vAlign w:val="center"/>
            <w:hideMark/>
          </w:tcPr>
          <w:p w:rsidRPr="00C8621A" w:rsidR="00C8621A" w:rsidP="00C8621A" w:rsidRDefault="00C8621A" w14:paraId="7F9ED50A"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$165.551</w:t>
            </w:r>
          </w:p>
        </w:tc>
        <w:tc>
          <w:tcPr>
            <w:tcW w:w="643" w:type="pct"/>
            <w:tcBorders>
              <w:top w:val="nil"/>
              <w:left w:val="nil"/>
              <w:bottom w:val="single" w:color="auto" w:sz="4" w:space="0"/>
              <w:right w:val="single" w:color="auto" w:sz="4" w:space="0"/>
            </w:tcBorders>
            <w:shd w:val="clear" w:color="000000" w:fill="BFBFBF"/>
            <w:noWrap/>
            <w:vAlign w:val="center"/>
            <w:hideMark/>
          </w:tcPr>
          <w:p w:rsidRPr="00C8621A" w:rsidR="00C8621A" w:rsidP="00C8621A" w:rsidRDefault="00C8621A" w14:paraId="0B5FDC0B" w14:textId="77777777">
            <w:pPr>
              <w:spacing w:after="0" w:line="240" w:lineRule="auto"/>
              <w:jc w:val="center"/>
              <w:rPr>
                <w:rFonts w:ascii="Verdana" w:hAnsi="Verdana" w:eastAsia="Times New Roman" w:cs="Times New Roman"/>
                <w:color w:val="000000"/>
                <w:sz w:val="18"/>
                <w:szCs w:val="18"/>
                <w:lang w:eastAsia="es-CO"/>
              </w:rPr>
            </w:pPr>
            <w:r w:rsidRPr="00C8621A">
              <w:rPr>
                <w:rFonts w:ascii="Verdana" w:hAnsi="Verdana" w:eastAsia="Times New Roman" w:cs="Times New Roman"/>
                <w:color w:val="000000"/>
                <w:sz w:val="18"/>
                <w:szCs w:val="18"/>
                <w:lang w:eastAsia="es-CO"/>
              </w:rPr>
              <w:t>$5.844.589</w:t>
            </w:r>
          </w:p>
        </w:tc>
      </w:tr>
    </w:tbl>
    <w:p w:rsidRPr="00C8621A" w:rsidR="00C8621A" w:rsidP="00C8621A" w:rsidRDefault="00C8621A" w14:paraId="692C79C3" w14:textId="7A8D7FA9">
      <w:pPr>
        <w:pStyle w:val="Fuente"/>
        <w:spacing w:after="0"/>
        <w:rPr>
          <w:rFonts w:ascii="Verdana" w:hAnsi="Verdana"/>
        </w:rPr>
      </w:pPr>
      <w:r w:rsidRPr="30CF4445" w:rsidR="08E8BA19">
        <w:rPr>
          <w:rFonts w:ascii="Verdana" w:hAnsi="Verdana"/>
        </w:rPr>
        <w:t>Fuente: Elaboración propia del Grupo de Programación y Gestión Estratégica de Proyectos con información del SIIF Nación del MinHacienda. - Apropiación inicial decreto de liquidación.</w:t>
      </w:r>
    </w:p>
    <w:p w:rsidR="00793FC7" w:rsidP="006A0A13" w:rsidRDefault="00793FC7" w14:paraId="6A482CD7" w14:textId="77777777">
      <w:pPr>
        <w:spacing w:after="0" w:line="360" w:lineRule="auto"/>
        <w:jc w:val="both"/>
        <w:rPr>
          <w:rFonts w:ascii="Verdana" w:hAnsi="Verdana"/>
          <w:sz w:val="24"/>
          <w:szCs w:val="24"/>
        </w:rPr>
      </w:pPr>
    </w:p>
    <w:p w:rsidRPr="00C8621A" w:rsidR="00C8621A" w:rsidP="006A0A13" w:rsidRDefault="2B6D679F" w14:paraId="6DED2FBC" w14:textId="77777777">
      <w:pPr>
        <w:spacing w:after="0" w:line="360" w:lineRule="auto"/>
        <w:jc w:val="both"/>
        <w:rPr>
          <w:rFonts w:ascii="Verdana" w:hAnsi="Verdana"/>
          <w:sz w:val="24"/>
          <w:szCs w:val="24"/>
        </w:rPr>
      </w:pPr>
      <w:r w:rsidRPr="0FF05B1B">
        <w:rPr>
          <w:rFonts w:ascii="Verdana" w:hAnsi="Verdana"/>
          <w:sz w:val="24"/>
          <w:szCs w:val="24"/>
        </w:rPr>
        <w:t>La anterior asignación de apropiación se distribuye en el Ministerio de Minas y Energía y sus entidades adscritas de la siguiente manera:</w:t>
      </w:r>
    </w:p>
    <w:p w:rsidR="180099B3" w:rsidP="006A0A13" w:rsidRDefault="180099B3" w14:paraId="3F4D3443" w14:textId="77777777">
      <w:pPr>
        <w:pStyle w:val="Descripcin"/>
        <w:spacing w:after="0" w:line="360" w:lineRule="auto"/>
        <w:jc w:val="center"/>
        <w:rPr>
          <w:rFonts w:ascii="Verdana" w:hAnsi="Verdana"/>
          <w:i w:val="0"/>
          <w:iCs w:val="0"/>
          <w:color w:val="auto"/>
        </w:rPr>
      </w:pPr>
    </w:p>
    <w:p w:rsidRPr="006D692F" w:rsidR="00C8621A" w:rsidP="180099B3" w:rsidRDefault="1F9C8783" w14:paraId="0FDAB6A6" w14:textId="77777777">
      <w:pPr>
        <w:pStyle w:val="Descripcin"/>
        <w:spacing w:after="0"/>
        <w:jc w:val="center"/>
        <w:rPr>
          <w:rFonts w:ascii="Verdana" w:hAnsi="Verdana"/>
          <w:i w:val="0"/>
          <w:iCs w:val="0"/>
          <w:color w:val="auto"/>
        </w:rPr>
      </w:pPr>
      <w:r w:rsidRPr="180099B3">
        <w:rPr>
          <w:rFonts w:ascii="Verdana" w:hAnsi="Verdana"/>
          <w:i w:val="0"/>
          <w:iCs w:val="0"/>
          <w:color w:val="auto"/>
        </w:rPr>
        <w:t>Tabla No. 3</w:t>
      </w:r>
      <w:r w:rsidRPr="180099B3" w:rsidR="33BCE382">
        <w:rPr>
          <w:rFonts w:ascii="Verdana" w:hAnsi="Verdana"/>
          <w:i w:val="0"/>
          <w:iCs w:val="0"/>
          <w:color w:val="auto"/>
        </w:rPr>
        <w:t>6</w:t>
      </w:r>
      <w:r w:rsidRPr="180099B3">
        <w:rPr>
          <w:rFonts w:ascii="Verdana" w:hAnsi="Verdana"/>
          <w:i w:val="0"/>
          <w:iCs w:val="0"/>
          <w:color w:val="auto"/>
        </w:rPr>
        <w:t xml:space="preserve">. </w:t>
      </w:r>
      <w:r w:rsidRPr="180099B3" w:rsidR="09553533">
        <w:rPr>
          <w:rFonts w:ascii="Verdana" w:hAnsi="Verdana"/>
          <w:i w:val="0"/>
          <w:iCs w:val="0"/>
          <w:color w:val="auto"/>
        </w:rPr>
        <w:t>Distribución de la Apropiación del Presupuesto General de la Nación 2023 para el Sector Minero Energético.</w:t>
      </w:r>
    </w:p>
    <w:tbl>
      <w:tblPr>
        <w:tblW w:w="3700"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left w:w="70" w:type="dxa"/>
          <w:right w:w="70" w:type="dxa"/>
        </w:tblCellMar>
        <w:tblLook w:val="04A0" w:firstRow="1" w:lastRow="0" w:firstColumn="1" w:lastColumn="0" w:noHBand="0" w:noVBand="1"/>
      </w:tblPr>
      <w:tblGrid>
        <w:gridCol w:w="1200"/>
        <w:gridCol w:w="2500"/>
      </w:tblGrid>
      <w:tr w:rsidRPr="006D692F" w:rsidR="00C8621A" w:rsidTr="0038515C" w14:paraId="33FFC50D" w14:textId="77777777">
        <w:trPr>
          <w:trHeight w:val="460"/>
          <w:jc w:val="center"/>
        </w:trPr>
        <w:tc>
          <w:tcPr>
            <w:tcW w:w="1200" w:type="dxa"/>
            <w:shd w:val="clear" w:color="auto" w:fill="A6A6A6" w:themeFill="background1" w:themeFillShade="A6"/>
            <w:vAlign w:val="center"/>
            <w:hideMark/>
          </w:tcPr>
          <w:p w:rsidRPr="006D692F" w:rsidR="00C8621A" w:rsidP="00C8621A" w:rsidRDefault="00C8621A" w14:paraId="549DBCA5" w14:textId="77777777">
            <w:pPr>
              <w:spacing w:after="0" w:line="240" w:lineRule="auto"/>
              <w:jc w:val="center"/>
              <w:rPr>
                <w:rFonts w:ascii="Verdana" w:hAnsi="Verdana" w:eastAsia="Times New Roman" w:cs="Times New Roman"/>
                <w:b/>
                <w:bCs/>
                <w:sz w:val="18"/>
                <w:szCs w:val="18"/>
                <w:lang w:eastAsia="es-CO"/>
              </w:rPr>
            </w:pPr>
            <w:r w:rsidRPr="006D692F">
              <w:rPr>
                <w:rFonts w:ascii="Verdana" w:hAnsi="Verdana" w:eastAsia="Times New Roman" w:cs="Times New Roman"/>
                <w:b/>
                <w:bCs/>
                <w:sz w:val="18"/>
                <w:szCs w:val="18"/>
                <w:lang w:eastAsia="es-CO"/>
              </w:rPr>
              <w:t>ENTIDAD</w:t>
            </w:r>
          </w:p>
        </w:tc>
        <w:tc>
          <w:tcPr>
            <w:tcW w:w="2500" w:type="dxa"/>
            <w:shd w:val="clear" w:color="auto" w:fill="A6A6A6" w:themeFill="background1" w:themeFillShade="A6"/>
            <w:vAlign w:val="center"/>
            <w:hideMark/>
          </w:tcPr>
          <w:p w:rsidRPr="006D692F" w:rsidR="00C8621A" w:rsidP="00C8621A" w:rsidRDefault="00C8621A" w14:paraId="425AE493" w14:textId="77777777">
            <w:pPr>
              <w:spacing w:after="0" w:line="240" w:lineRule="auto"/>
              <w:jc w:val="center"/>
              <w:rPr>
                <w:rFonts w:ascii="Verdana" w:hAnsi="Verdana" w:eastAsia="Times New Roman" w:cs="Times New Roman"/>
                <w:b/>
                <w:bCs/>
                <w:sz w:val="18"/>
                <w:szCs w:val="18"/>
                <w:lang w:eastAsia="es-CO"/>
              </w:rPr>
            </w:pPr>
            <w:r w:rsidRPr="006D692F">
              <w:rPr>
                <w:rFonts w:ascii="Verdana" w:hAnsi="Verdana" w:eastAsia="Times New Roman" w:cs="Times New Roman"/>
                <w:b/>
                <w:bCs/>
                <w:sz w:val="18"/>
                <w:szCs w:val="18"/>
                <w:lang w:eastAsia="es-CO"/>
              </w:rPr>
              <w:t>Apropiación Inicial 2023</w:t>
            </w:r>
          </w:p>
        </w:tc>
      </w:tr>
      <w:tr w:rsidRPr="006D692F" w:rsidR="00C8621A" w:rsidTr="0038515C" w14:paraId="21C45099" w14:textId="77777777">
        <w:trPr>
          <w:trHeight w:val="290"/>
          <w:jc w:val="center"/>
        </w:trPr>
        <w:tc>
          <w:tcPr>
            <w:tcW w:w="1200" w:type="dxa"/>
            <w:noWrap/>
            <w:vAlign w:val="center"/>
            <w:hideMark/>
          </w:tcPr>
          <w:p w:rsidRPr="006D692F" w:rsidR="00C8621A" w:rsidP="00C8621A" w:rsidRDefault="00C8621A" w14:paraId="763761E8" w14:textId="77777777">
            <w:pPr>
              <w:spacing w:after="0" w:line="240" w:lineRule="auto"/>
              <w:rPr>
                <w:rFonts w:ascii="Verdana" w:hAnsi="Verdana" w:eastAsia="Times New Roman" w:cs="Times New Roman"/>
                <w:sz w:val="18"/>
                <w:szCs w:val="18"/>
                <w:lang w:eastAsia="es-CO"/>
              </w:rPr>
            </w:pPr>
            <w:r w:rsidRPr="006D692F">
              <w:rPr>
                <w:rFonts w:ascii="Verdana" w:hAnsi="Verdana" w:eastAsia="Times New Roman" w:cs="Times New Roman"/>
                <w:sz w:val="18"/>
                <w:szCs w:val="18"/>
                <w:lang w:eastAsia="es-CO"/>
              </w:rPr>
              <w:t>ANH</w:t>
            </w:r>
          </w:p>
        </w:tc>
        <w:tc>
          <w:tcPr>
            <w:tcW w:w="2500" w:type="dxa"/>
            <w:noWrap/>
            <w:vAlign w:val="bottom"/>
            <w:hideMark/>
          </w:tcPr>
          <w:p w:rsidRPr="006D692F" w:rsidR="00C8621A" w:rsidP="00C8621A" w:rsidRDefault="00C8621A" w14:paraId="45B3E77C" w14:textId="77777777">
            <w:pPr>
              <w:spacing w:after="0" w:line="240" w:lineRule="auto"/>
              <w:jc w:val="right"/>
              <w:rPr>
                <w:rFonts w:ascii="Verdana" w:hAnsi="Verdana" w:eastAsia="Times New Roman" w:cs="Times New Roman"/>
                <w:sz w:val="18"/>
                <w:szCs w:val="18"/>
                <w:lang w:eastAsia="es-CO"/>
              </w:rPr>
            </w:pPr>
            <w:r w:rsidRPr="006D692F">
              <w:rPr>
                <w:rFonts w:ascii="Verdana" w:hAnsi="Verdana" w:eastAsia="Times New Roman" w:cs="Times New Roman"/>
                <w:sz w:val="18"/>
                <w:szCs w:val="18"/>
                <w:lang w:eastAsia="es-CO"/>
              </w:rPr>
              <w:t>$ 374.873</w:t>
            </w:r>
          </w:p>
        </w:tc>
      </w:tr>
      <w:tr w:rsidRPr="006D692F" w:rsidR="00C8621A" w:rsidTr="0038515C" w14:paraId="065E7BE6" w14:textId="77777777">
        <w:trPr>
          <w:trHeight w:val="290"/>
          <w:jc w:val="center"/>
        </w:trPr>
        <w:tc>
          <w:tcPr>
            <w:tcW w:w="1200" w:type="dxa"/>
            <w:noWrap/>
            <w:vAlign w:val="center"/>
            <w:hideMark/>
          </w:tcPr>
          <w:p w:rsidRPr="006D692F" w:rsidR="00C8621A" w:rsidP="00C8621A" w:rsidRDefault="00C8621A" w14:paraId="0354BB2D" w14:textId="77777777">
            <w:pPr>
              <w:spacing w:after="0" w:line="240" w:lineRule="auto"/>
              <w:rPr>
                <w:rFonts w:ascii="Verdana" w:hAnsi="Verdana" w:eastAsia="Times New Roman" w:cs="Times New Roman"/>
                <w:sz w:val="18"/>
                <w:szCs w:val="18"/>
                <w:lang w:eastAsia="es-CO"/>
              </w:rPr>
            </w:pPr>
            <w:r w:rsidRPr="006D692F">
              <w:rPr>
                <w:rFonts w:ascii="Verdana" w:hAnsi="Verdana" w:eastAsia="Times New Roman" w:cs="Times New Roman"/>
                <w:sz w:val="18"/>
                <w:szCs w:val="18"/>
                <w:lang w:eastAsia="es-CO"/>
              </w:rPr>
              <w:t>ANM</w:t>
            </w:r>
          </w:p>
        </w:tc>
        <w:tc>
          <w:tcPr>
            <w:tcW w:w="2500" w:type="dxa"/>
            <w:noWrap/>
            <w:vAlign w:val="bottom"/>
            <w:hideMark/>
          </w:tcPr>
          <w:p w:rsidRPr="006D692F" w:rsidR="00C8621A" w:rsidP="00C8621A" w:rsidRDefault="00C8621A" w14:paraId="649D6CA9" w14:textId="77777777">
            <w:pPr>
              <w:spacing w:after="0" w:line="240" w:lineRule="auto"/>
              <w:jc w:val="right"/>
              <w:rPr>
                <w:rFonts w:ascii="Verdana" w:hAnsi="Verdana" w:eastAsia="Times New Roman" w:cs="Times New Roman"/>
                <w:sz w:val="18"/>
                <w:szCs w:val="18"/>
                <w:lang w:eastAsia="es-CO"/>
              </w:rPr>
            </w:pPr>
            <w:r w:rsidRPr="006D692F">
              <w:rPr>
                <w:rFonts w:ascii="Verdana" w:hAnsi="Verdana" w:eastAsia="Times New Roman" w:cs="Times New Roman"/>
                <w:sz w:val="18"/>
                <w:szCs w:val="18"/>
                <w:lang w:eastAsia="es-CO"/>
              </w:rPr>
              <w:t>$ 45.787</w:t>
            </w:r>
          </w:p>
        </w:tc>
      </w:tr>
      <w:tr w:rsidRPr="006D692F" w:rsidR="00C8621A" w:rsidTr="0038515C" w14:paraId="385B28C5" w14:textId="77777777">
        <w:trPr>
          <w:trHeight w:val="290"/>
          <w:jc w:val="center"/>
        </w:trPr>
        <w:tc>
          <w:tcPr>
            <w:tcW w:w="1200" w:type="dxa"/>
            <w:noWrap/>
            <w:vAlign w:val="center"/>
            <w:hideMark/>
          </w:tcPr>
          <w:p w:rsidRPr="006D692F" w:rsidR="00C8621A" w:rsidP="00C8621A" w:rsidRDefault="00C8621A" w14:paraId="71C3CB44" w14:textId="77777777">
            <w:pPr>
              <w:spacing w:after="0" w:line="240" w:lineRule="auto"/>
              <w:rPr>
                <w:rFonts w:ascii="Verdana" w:hAnsi="Verdana" w:eastAsia="Times New Roman" w:cs="Times New Roman"/>
                <w:sz w:val="18"/>
                <w:szCs w:val="18"/>
                <w:lang w:eastAsia="es-CO"/>
              </w:rPr>
            </w:pPr>
            <w:r w:rsidRPr="006D692F">
              <w:rPr>
                <w:rFonts w:ascii="Verdana" w:hAnsi="Verdana" w:eastAsia="Times New Roman" w:cs="Times New Roman"/>
                <w:sz w:val="18"/>
                <w:szCs w:val="18"/>
                <w:lang w:eastAsia="es-CO"/>
              </w:rPr>
              <w:t>IPSE</w:t>
            </w:r>
          </w:p>
        </w:tc>
        <w:tc>
          <w:tcPr>
            <w:tcW w:w="2500" w:type="dxa"/>
            <w:noWrap/>
            <w:vAlign w:val="bottom"/>
            <w:hideMark/>
          </w:tcPr>
          <w:p w:rsidRPr="006D692F" w:rsidR="00C8621A" w:rsidP="00C8621A" w:rsidRDefault="00C8621A" w14:paraId="7F59F00D" w14:textId="77777777">
            <w:pPr>
              <w:spacing w:after="0" w:line="240" w:lineRule="auto"/>
              <w:jc w:val="right"/>
              <w:rPr>
                <w:rFonts w:ascii="Verdana" w:hAnsi="Verdana" w:eastAsia="Times New Roman" w:cs="Times New Roman"/>
                <w:sz w:val="18"/>
                <w:szCs w:val="18"/>
                <w:lang w:eastAsia="es-CO"/>
              </w:rPr>
            </w:pPr>
            <w:r w:rsidRPr="006D692F">
              <w:rPr>
                <w:rFonts w:ascii="Verdana" w:hAnsi="Verdana" w:eastAsia="Times New Roman" w:cs="Times New Roman"/>
                <w:sz w:val="18"/>
                <w:szCs w:val="18"/>
                <w:lang w:eastAsia="es-CO"/>
              </w:rPr>
              <w:t>$ 100.000</w:t>
            </w:r>
          </w:p>
        </w:tc>
      </w:tr>
      <w:tr w:rsidRPr="006D692F" w:rsidR="00C8621A" w:rsidTr="0038515C" w14:paraId="781BEBEF" w14:textId="77777777">
        <w:trPr>
          <w:trHeight w:val="290"/>
          <w:jc w:val="center"/>
        </w:trPr>
        <w:tc>
          <w:tcPr>
            <w:tcW w:w="1200" w:type="dxa"/>
            <w:noWrap/>
            <w:vAlign w:val="center"/>
            <w:hideMark/>
          </w:tcPr>
          <w:p w:rsidRPr="006D692F" w:rsidR="00C8621A" w:rsidP="00C8621A" w:rsidRDefault="00C8621A" w14:paraId="1C37E5C2" w14:textId="77777777">
            <w:pPr>
              <w:spacing w:after="0" w:line="240" w:lineRule="auto"/>
              <w:rPr>
                <w:rFonts w:ascii="Verdana" w:hAnsi="Verdana" w:eastAsia="Times New Roman" w:cs="Times New Roman"/>
                <w:sz w:val="18"/>
                <w:szCs w:val="18"/>
                <w:lang w:eastAsia="es-CO"/>
              </w:rPr>
            </w:pPr>
            <w:r w:rsidRPr="006D692F">
              <w:rPr>
                <w:rFonts w:ascii="Verdana" w:hAnsi="Verdana" w:eastAsia="Times New Roman" w:cs="Times New Roman"/>
                <w:sz w:val="18"/>
                <w:szCs w:val="18"/>
                <w:lang w:eastAsia="es-CO"/>
              </w:rPr>
              <w:t>CREG</w:t>
            </w:r>
          </w:p>
        </w:tc>
        <w:tc>
          <w:tcPr>
            <w:tcW w:w="2500" w:type="dxa"/>
            <w:noWrap/>
            <w:vAlign w:val="bottom"/>
            <w:hideMark/>
          </w:tcPr>
          <w:p w:rsidRPr="006D692F" w:rsidR="00C8621A" w:rsidP="00C8621A" w:rsidRDefault="00C8621A" w14:paraId="2776154D" w14:textId="77777777">
            <w:pPr>
              <w:spacing w:after="0" w:line="240" w:lineRule="auto"/>
              <w:jc w:val="right"/>
              <w:rPr>
                <w:rFonts w:ascii="Verdana" w:hAnsi="Verdana" w:eastAsia="Times New Roman" w:cs="Times New Roman"/>
                <w:sz w:val="18"/>
                <w:szCs w:val="18"/>
                <w:lang w:eastAsia="es-CO"/>
              </w:rPr>
            </w:pPr>
            <w:r w:rsidRPr="006D692F">
              <w:rPr>
                <w:rFonts w:ascii="Verdana" w:hAnsi="Verdana" w:eastAsia="Times New Roman" w:cs="Times New Roman"/>
                <w:sz w:val="18"/>
                <w:szCs w:val="18"/>
                <w:lang w:eastAsia="es-CO"/>
              </w:rPr>
              <w:t>$ 11.200</w:t>
            </w:r>
          </w:p>
        </w:tc>
      </w:tr>
      <w:tr w:rsidRPr="006D692F" w:rsidR="00C8621A" w:rsidTr="0038515C" w14:paraId="02F99017" w14:textId="77777777">
        <w:trPr>
          <w:trHeight w:val="290"/>
          <w:jc w:val="center"/>
        </w:trPr>
        <w:tc>
          <w:tcPr>
            <w:tcW w:w="1200" w:type="dxa"/>
            <w:noWrap/>
            <w:vAlign w:val="center"/>
            <w:hideMark/>
          </w:tcPr>
          <w:p w:rsidRPr="006D692F" w:rsidR="00C8621A" w:rsidP="00C8621A" w:rsidRDefault="00C8621A" w14:paraId="62371C2B" w14:textId="77777777">
            <w:pPr>
              <w:spacing w:after="0" w:line="240" w:lineRule="auto"/>
              <w:rPr>
                <w:rFonts w:ascii="Verdana" w:hAnsi="Verdana" w:eastAsia="Times New Roman" w:cs="Times New Roman"/>
                <w:sz w:val="18"/>
                <w:szCs w:val="18"/>
                <w:lang w:eastAsia="es-CO"/>
              </w:rPr>
            </w:pPr>
            <w:r w:rsidRPr="006D692F">
              <w:rPr>
                <w:rFonts w:ascii="Verdana" w:hAnsi="Verdana" w:eastAsia="Times New Roman" w:cs="Times New Roman"/>
                <w:sz w:val="18"/>
                <w:szCs w:val="18"/>
                <w:lang w:eastAsia="es-CO"/>
              </w:rPr>
              <w:t>MME</w:t>
            </w:r>
          </w:p>
        </w:tc>
        <w:tc>
          <w:tcPr>
            <w:tcW w:w="2500" w:type="dxa"/>
            <w:noWrap/>
            <w:vAlign w:val="bottom"/>
            <w:hideMark/>
          </w:tcPr>
          <w:p w:rsidRPr="006D692F" w:rsidR="00C8621A" w:rsidP="00C8621A" w:rsidRDefault="00C8621A" w14:paraId="774090A2" w14:textId="77777777">
            <w:pPr>
              <w:spacing w:after="0" w:line="240" w:lineRule="auto"/>
              <w:jc w:val="right"/>
              <w:rPr>
                <w:rFonts w:ascii="Verdana" w:hAnsi="Verdana" w:eastAsia="Times New Roman" w:cs="Times New Roman"/>
                <w:sz w:val="18"/>
                <w:szCs w:val="18"/>
                <w:lang w:eastAsia="es-CO"/>
              </w:rPr>
            </w:pPr>
            <w:r w:rsidRPr="006D692F">
              <w:rPr>
                <w:rFonts w:ascii="Verdana" w:hAnsi="Verdana" w:eastAsia="Times New Roman" w:cs="Times New Roman"/>
                <w:sz w:val="18"/>
                <w:szCs w:val="18"/>
                <w:lang w:eastAsia="es-CO"/>
              </w:rPr>
              <w:t>$ 5.075.124</w:t>
            </w:r>
          </w:p>
        </w:tc>
      </w:tr>
      <w:tr w:rsidRPr="006D692F" w:rsidR="00C8621A" w:rsidTr="0038515C" w14:paraId="356DE6CD" w14:textId="77777777">
        <w:trPr>
          <w:trHeight w:val="290"/>
          <w:jc w:val="center"/>
        </w:trPr>
        <w:tc>
          <w:tcPr>
            <w:tcW w:w="1200" w:type="dxa"/>
            <w:noWrap/>
            <w:vAlign w:val="center"/>
            <w:hideMark/>
          </w:tcPr>
          <w:p w:rsidRPr="006D692F" w:rsidR="00C8621A" w:rsidP="00C8621A" w:rsidRDefault="00C8621A" w14:paraId="3B1971F0" w14:textId="77777777">
            <w:pPr>
              <w:spacing w:after="0" w:line="240" w:lineRule="auto"/>
              <w:rPr>
                <w:rFonts w:ascii="Verdana" w:hAnsi="Verdana" w:eastAsia="Times New Roman" w:cs="Times New Roman"/>
                <w:sz w:val="18"/>
                <w:szCs w:val="18"/>
                <w:lang w:eastAsia="es-CO"/>
              </w:rPr>
            </w:pPr>
            <w:r w:rsidRPr="006D692F">
              <w:rPr>
                <w:rFonts w:ascii="Verdana" w:hAnsi="Verdana" w:eastAsia="Times New Roman" w:cs="Times New Roman"/>
                <w:sz w:val="18"/>
                <w:szCs w:val="18"/>
                <w:lang w:eastAsia="es-CO"/>
              </w:rPr>
              <w:t>SGC</w:t>
            </w:r>
          </w:p>
        </w:tc>
        <w:tc>
          <w:tcPr>
            <w:tcW w:w="2500" w:type="dxa"/>
            <w:noWrap/>
            <w:vAlign w:val="bottom"/>
            <w:hideMark/>
          </w:tcPr>
          <w:p w:rsidRPr="006D692F" w:rsidR="00C8621A" w:rsidP="00C8621A" w:rsidRDefault="00C8621A" w14:paraId="5A34C4C7" w14:textId="77777777">
            <w:pPr>
              <w:spacing w:after="0" w:line="240" w:lineRule="auto"/>
              <w:jc w:val="right"/>
              <w:rPr>
                <w:rFonts w:ascii="Verdana" w:hAnsi="Verdana" w:eastAsia="Times New Roman" w:cs="Times New Roman"/>
                <w:sz w:val="18"/>
                <w:szCs w:val="18"/>
                <w:lang w:eastAsia="es-CO"/>
              </w:rPr>
            </w:pPr>
            <w:r w:rsidRPr="006D692F">
              <w:rPr>
                <w:rFonts w:ascii="Verdana" w:hAnsi="Verdana" w:eastAsia="Times New Roman" w:cs="Times New Roman"/>
                <w:sz w:val="18"/>
                <w:szCs w:val="18"/>
                <w:lang w:eastAsia="es-CO"/>
              </w:rPr>
              <w:t>$ 210.638</w:t>
            </w:r>
          </w:p>
        </w:tc>
      </w:tr>
      <w:tr w:rsidRPr="006D692F" w:rsidR="00C8621A" w:rsidTr="0038515C" w14:paraId="31FB0E50" w14:textId="77777777">
        <w:trPr>
          <w:trHeight w:val="290"/>
          <w:jc w:val="center"/>
        </w:trPr>
        <w:tc>
          <w:tcPr>
            <w:tcW w:w="1200" w:type="dxa"/>
            <w:noWrap/>
            <w:vAlign w:val="center"/>
            <w:hideMark/>
          </w:tcPr>
          <w:p w:rsidRPr="006D692F" w:rsidR="00C8621A" w:rsidP="00C8621A" w:rsidRDefault="00C8621A" w14:paraId="543C1E83" w14:textId="77777777">
            <w:pPr>
              <w:spacing w:after="0" w:line="240" w:lineRule="auto"/>
              <w:rPr>
                <w:rFonts w:ascii="Verdana" w:hAnsi="Verdana" w:eastAsia="Times New Roman" w:cs="Times New Roman"/>
                <w:sz w:val="18"/>
                <w:szCs w:val="18"/>
                <w:lang w:eastAsia="es-CO"/>
              </w:rPr>
            </w:pPr>
            <w:r w:rsidRPr="006D692F">
              <w:rPr>
                <w:rFonts w:ascii="Verdana" w:hAnsi="Verdana" w:eastAsia="Times New Roman" w:cs="Times New Roman"/>
                <w:sz w:val="18"/>
                <w:szCs w:val="18"/>
                <w:lang w:eastAsia="es-CO"/>
              </w:rPr>
              <w:t>UPME</w:t>
            </w:r>
          </w:p>
        </w:tc>
        <w:tc>
          <w:tcPr>
            <w:tcW w:w="2500" w:type="dxa"/>
            <w:noWrap/>
            <w:vAlign w:val="bottom"/>
            <w:hideMark/>
          </w:tcPr>
          <w:p w:rsidRPr="006D692F" w:rsidR="00C8621A" w:rsidP="00C8621A" w:rsidRDefault="00C8621A" w14:paraId="216B71D7" w14:textId="77777777">
            <w:pPr>
              <w:spacing w:after="0" w:line="240" w:lineRule="auto"/>
              <w:jc w:val="right"/>
              <w:rPr>
                <w:rFonts w:ascii="Verdana" w:hAnsi="Verdana" w:eastAsia="Times New Roman" w:cs="Times New Roman"/>
                <w:sz w:val="18"/>
                <w:szCs w:val="18"/>
                <w:lang w:eastAsia="es-CO"/>
              </w:rPr>
            </w:pPr>
            <w:r w:rsidRPr="006D692F">
              <w:rPr>
                <w:rFonts w:ascii="Verdana" w:hAnsi="Verdana" w:eastAsia="Times New Roman" w:cs="Times New Roman"/>
                <w:sz w:val="18"/>
                <w:szCs w:val="18"/>
                <w:lang w:eastAsia="es-CO"/>
              </w:rPr>
              <w:t>$ 26.962</w:t>
            </w:r>
          </w:p>
        </w:tc>
      </w:tr>
      <w:tr w:rsidRPr="006D692F" w:rsidR="00C8621A" w:rsidTr="0038515C" w14:paraId="7D8A594F" w14:textId="77777777">
        <w:trPr>
          <w:trHeight w:val="290"/>
          <w:jc w:val="center"/>
        </w:trPr>
        <w:tc>
          <w:tcPr>
            <w:tcW w:w="1200" w:type="dxa"/>
            <w:shd w:val="clear" w:color="000000" w:fill="BFBFBF"/>
            <w:noWrap/>
            <w:vAlign w:val="center"/>
            <w:hideMark/>
          </w:tcPr>
          <w:p w:rsidRPr="006D692F" w:rsidR="00C8621A" w:rsidP="00C8621A" w:rsidRDefault="00C8621A" w14:paraId="0760D84D" w14:textId="77777777">
            <w:pPr>
              <w:spacing w:after="0" w:line="240" w:lineRule="auto"/>
              <w:rPr>
                <w:rFonts w:ascii="Verdana" w:hAnsi="Verdana" w:eastAsia="Times New Roman" w:cs="Times New Roman"/>
                <w:b/>
                <w:bCs/>
                <w:sz w:val="18"/>
                <w:szCs w:val="18"/>
                <w:lang w:eastAsia="es-CO"/>
              </w:rPr>
            </w:pPr>
            <w:r w:rsidRPr="006D692F">
              <w:rPr>
                <w:rFonts w:ascii="Verdana" w:hAnsi="Verdana" w:eastAsia="Times New Roman" w:cs="Times New Roman"/>
                <w:b/>
                <w:bCs/>
                <w:sz w:val="18"/>
                <w:szCs w:val="18"/>
                <w:lang w:eastAsia="es-CO"/>
              </w:rPr>
              <w:t xml:space="preserve">Total </w:t>
            </w:r>
          </w:p>
        </w:tc>
        <w:tc>
          <w:tcPr>
            <w:tcW w:w="2500" w:type="dxa"/>
            <w:shd w:val="clear" w:color="000000" w:fill="BFBFBF"/>
            <w:noWrap/>
            <w:vAlign w:val="bottom"/>
            <w:hideMark/>
          </w:tcPr>
          <w:p w:rsidRPr="006D692F" w:rsidR="00C8621A" w:rsidP="00C8621A" w:rsidRDefault="00C8621A" w14:paraId="2956AF28" w14:textId="77777777">
            <w:pPr>
              <w:spacing w:after="0" w:line="240" w:lineRule="auto"/>
              <w:jc w:val="right"/>
              <w:rPr>
                <w:rFonts w:ascii="Verdana" w:hAnsi="Verdana" w:eastAsia="Times New Roman" w:cs="Times New Roman"/>
                <w:sz w:val="18"/>
                <w:szCs w:val="18"/>
                <w:lang w:eastAsia="es-CO"/>
              </w:rPr>
            </w:pPr>
            <w:r w:rsidRPr="006D692F">
              <w:rPr>
                <w:rFonts w:ascii="Verdana" w:hAnsi="Verdana" w:eastAsia="Times New Roman" w:cs="Times New Roman"/>
                <w:sz w:val="18"/>
                <w:szCs w:val="18"/>
                <w:lang w:eastAsia="es-CO"/>
              </w:rPr>
              <w:t>$ 5.844.589</w:t>
            </w:r>
          </w:p>
        </w:tc>
      </w:tr>
    </w:tbl>
    <w:p w:rsidRPr="006D692F" w:rsidR="00C8621A" w:rsidP="006D692F" w:rsidRDefault="00C8621A" w14:paraId="3F912C5A" w14:textId="77777777">
      <w:pPr>
        <w:pStyle w:val="Fuente"/>
        <w:spacing w:after="0"/>
        <w:rPr>
          <w:rFonts w:ascii="Verdana" w:hAnsi="Verdana"/>
        </w:rPr>
      </w:pPr>
      <w:r w:rsidRPr="006D692F">
        <w:rPr>
          <w:rFonts w:ascii="Verdana" w:hAnsi="Verdana"/>
        </w:rPr>
        <w:t>Fuente: Elaboración propia del Grupo de</w:t>
      </w:r>
      <w:r w:rsidRPr="006D692F" w:rsidR="006D692F">
        <w:rPr>
          <w:rFonts w:ascii="Verdana" w:hAnsi="Verdana"/>
        </w:rPr>
        <w:t xml:space="preserve"> </w:t>
      </w:r>
      <w:r w:rsidRPr="006D692F">
        <w:rPr>
          <w:rFonts w:ascii="Verdana" w:hAnsi="Verdana"/>
        </w:rPr>
        <w:t>Programación y Gestión Estratégica de</w:t>
      </w:r>
      <w:r w:rsidRPr="006D692F" w:rsidR="006D692F">
        <w:rPr>
          <w:rFonts w:ascii="Verdana" w:hAnsi="Verdana"/>
        </w:rPr>
        <w:t xml:space="preserve"> </w:t>
      </w:r>
      <w:r w:rsidRPr="006D692F">
        <w:rPr>
          <w:rFonts w:ascii="Verdana" w:hAnsi="Verdana"/>
        </w:rPr>
        <w:t xml:space="preserve">Proyectos con información </w:t>
      </w:r>
      <w:r w:rsidRPr="006D692F">
        <w:rPr>
          <w:rFonts w:ascii="Verdana" w:hAnsi="Verdana" w:eastAsia="Verdana" w:cs="Verdana"/>
        </w:rPr>
        <w:t>- Apropiación inicial decreto de liquidación.</w:t>
      </w:r>
    </w:p>
    <w:p w:rsidR="00793FC7" w:rsidP="006A0A13" w:rsidRDefault="00793FC7" w14:paraId="3F5F4DE4" w14:textId="77777777">
      <w:pPr>
        <w:spacing w:after="0" w:line="360" w:lineRule="auto"/>
        <w:jc w:val="both"/>
        <w:rPr>
          <w:rFonts w:ascii="Verdana" w:hAnsi="Verdana"/>
          <w:sz w:val="24"/>
          <w:szCs w:val="24"/>
        </w:rPr>
      </w:pPr>
    </w:p>
    <w:p w:rsidR="006D692F" w:rsidP="006A0A13" w:rsidRDefault="006D692F" w14:paraId="463BEB76" w14:textId="77777777">
      <w:pPr>
        <w:spacing w:after="0" w:line="360" w:lineRule="auto"/>
        <w:jc w:val="both"/>
        <w:rPr>
          <w:rFonts w:ascii="Verdana" w:hAnsi="Verdana"/>
          <w:b/>
          <w:bCs/>
          <w:sz w:val="24"/>
          <w:szCs w:val="24"/>
        </w:rPr>
      </w:pPr>
      <w:r w:rsidRPr="006D692F">
        <w:rPr>
          <w:rFonts w:ascii="Verdana" w:hAnsi="Verdana"/>
          <w:b/>
          <w:bCs/>
          <w:sz w:val="24"/>
          <w:szCs w:val="24"/>
        </w:rPr>
        <w:t>Vigencia 2024</w:t>
      </w:r>
    </w:p>
    <w:p w:rsidRPr="006D692F" w:rsidR="006D692F" w:rsidP="006A0A13" w:rsidRDefault="006D692F" w14:paraId="03C4DA39" w14:textId="77777777">
      <w:pPr>
        <w:spacing w:after="0" w:line="360" w:lineRule="auto"/>
        <w:jc w:val="both"/>
        <w:rPr>
          <w:rFonts w:ascii="Verdana" w:hAnsi="Verdana"/>
          <w:b/>
          <w:bCs/>
          <w:sz w:val="24"/>
          <w:szCs w:val="24"/>
        </w:rPr>
      </w:pPr>
    </w:p>
    <w:p w:rsidR="006D692F" w:rsidP="006A0A13" w:rsidRDefault="7B742E5E" w14:paraId="31F473B5" w14:textId="5BC53BC0">
      <w:pPr>
        <w:spacing w:after="0" w:line="360" w:lineRule="auto"/>
        <w:jc w:val="both"/>
        <w:rPr>
          <w:rFonts w:ascii="Verdana" w:hAnsi="Verdana"/>
          <w:sz w:val="24"/>
          <w:szCs w:val="24"/>
        </w:rPr>
      </w:pPr>
      <w:r w:rsidRPr="30CF4445" w:rsidR="3E45DA87">
        <w:rPr>
          <w:rFonts w:ascii="Verdana" w:hAnsi="Verdana"/>
          <w:sz w:val="24"/>
          <w:szCs w:val="24"/>
        </w:rPr>
        <w:t>De acuerdo con el Decreto 2295 de</w:t>
      </w:r>
      <w:r w:rsidRPr="30CF4445" w:rsidR="0479AA70">
        <w:rPr>
          <w:rFonts w:ascii="Verdana" w:hAnsi="Verdana"/>
          <w:sz w:val="24"/>
          <w:szCs w:val="24"/>
        </w:rPr>
        <w:t xml:space="preserve"> </w:t>
      </w:r>
      <w:r w:rsidRPr="30CF4445" w:rsidR="3E45DA87">
        <w:rPr>
          <w:rFonts w:ascii="Verdana" w:hAnsi="Verdana"/>
          <w:sz w:val="24"/>
          <w:szCs w:val="24"/>
        </w:rPr>
        <w:t xml:space="preserve">29 diciembre de 2023, </w:t>
      </w:r>
      <w:r w:rsidRPr="30CF4445" w:rsidR="5BD3EB99">
        <w:rPr>
          <w:rFonts w:ascii="Verdana" w:hAnsi="Verdana"/>
          <w:sz w:val="24"/>
          <w:szCs w:val="24"/>
        </w:rPr>
        <w:t>p</w:t>
      </w:r>
      <w:r w:rsidRPr="30CF4445" w:rsidR="3E45DA87">
        <w:rPr>
          <w:rFonts w:ascii="Verdana" w:hAnsi="Verdana"/>
          <w:sz w:val="24"/>
          <w:szCs w:val="24"/>
        </w:rPr>
        <w:t>or el cual se liquida el Presupuesto General de la Nación para la vigencia fiscal de 2024, se detallan las apropiaciones, se clasifican y definen los gastos, a continuación, se detalla la distribución por programa presupuestal asociado al Sector Minas y Energía:</w:t>
      </w:r>
    </w:p>
    <w:p w:rsidRPr="006D692F" w:rsidR="006D692F" w:rsidRDefault="006D692F" w14:paraId="0A07A6AC" w14:textId="77777777">
      <w:pPr>
        <w:pStyle w:val="Prrafodelista"/>
        <w:numPr>
          <w:ilvl w:val="0"/>
          <w:numId w:val="71"/>
        </w:numPr>
        <w:spacing w:after="0" w:line="360" w:lineRule="auto"/>
        <w:jc w:val="both"/>
        <w:rPr>
          <w:rFonts w:ascii="Verdana" w:hAnsi="Verdana"/>
          <w:sz w:val="24"/>
          <w:szCs w:val="24"/>
        </w:rPr>
      </w:pPr>
      <w:r w:rsidRPr="006D692F">
        <w:rPr>
          <w:rFonts w:ascii="Verdana" w:hAnsi="Verdana"/>
          <w:sz w:val="24"/>
          <w:szCs w:val="24"/>
        </w:rPr>
        <w:t>2101: Acceso al Servicio Público Domiciliario de Gas Combustible: $1.353.130 millones.</w:t>
      </w:r>
    </w:p>
    <w:p w:rsidRPr="006D692F" w:rsidR="006D692F" w:rsidRDefault="006D692F" w14:paraId="6291C5A3" w14:textId="77777777">
      <w:pPr>
        <w:pStyle w:val="Prrafodelista"/>
        <w:numPr>
          <w:ilvl w:val="0"/>
          <w:numId w:val="71"/>
        </w:numPr>
        <w:spacing w:after="0" w:line="360" w:lineRule="auto"/>
        <w:jc w:val="both"/>
        <w:rPr>
          <w:rFonts w:ascii="Verdana" w:hAnsi="Verdana"/>
          <w:sz w:val="24"/>
          <w:szCs w:val="24"/>
        </w:rPr>
      </w:pPr>
      <w:r w:rsidRPr="006D692F">
        <w:rPr>
          <w:rFonts w:ascii="Verdana" w:hAnsi="Verdana"/>
          <w:sz w:val="24"/>
          <w:szCs w:val="24"/>
        </w:rPr>
        <w:t xml:space="preserve">2102: Consolidación Productiva del Sector de Energía Eléctrica: </w:t>
      </w:r>
    </w:p>
    <w:p w:rsidRPr="006D692F" w:rsidR="006D692F" w:rsidRDefault="006D692F" w14:paraId="0D57DE0D" w14:textId="77777777">
      <w:pPr>
        <w:pStyle w:val="Prrafodelista"/>
        <w:numPr>
          <w:ilvl w:val="0"/>
          <w:numId w:val="71"/>
        </w:numPr>
        <w:spacing w:after="0" w:line="360" w:lineRule="auto"/>
        <w:jc w:val="both"/>
        <w:rPr>
          <w:rFonts w:ascii="Verdana" w:hAnsi="Verdana"/>
          <w:sz w:val="24"/>
          <w:szCs w:val="24"/>
        </w:rPr>
      </w:pPr>
      <w:r w:rsidRPr="006D692F">
        <w:rPr>
          <w:rFonts w:ascii="Verdana" w:hAnsi="Verdana"/>
          <w:sz w:val="24"/>
          <w:szCs w:val="24"/>
        </w:rPr>
        <w:t>$ 5.799.707 millones.</w:t>
      </w:r>
    </w:p>
    <w:p w:rsidRPr="006D692F" w:rsidR="006D692F" w:rsidRDefault="006D692F" w14:paraId="7EEE5868" w14:textId="77777777">
      <w:pPr>
        <w:pStyle w:val="Prrafodelista"/>
        <w:numPr>
          <w:ilvl w:val="0"/>
          <w:numId w:val="71"/>
        </w:numPr>
        <w:spacing w:after="0" w:line="360" w:lineRule="auto"/>
        <w:jc w:val="both"/>
        <w:rPr>
          <w:rFonts w:ascii="Verdana" w:hAnsi="Verdana"/>
          <w:sz w:val="24"/>
          <w:szCs w:val="24"/>
        </w:rPr>
      </w:pPr>
      <w:r w:rsidRPr="006D692F">
        <w:rPr>
          <w:rFonts w:ascii="Verdana" w:hAnsi="Verdana"/>
          <w:sz w:val="24"/>
          <w:szCs w:val="24"/>
        </w:rPr>
        <w:t>2103: Consolidación Productiva del Sector de Hidrocarburos:</w:t>
      </w:r>
    </w:p>
    <w:p w:rsidRPr="006D692F" w:rsidR="006D692F" w:rsidRDefault="006D692F" w14:paraId="18C29D1F" w14:textId="77777777">
      <w:pPr>
        <w:pStyle w:val="Prrafodelista"/>
        <w:numPr>
          <w:ilvl w:val="0"/>
          <w:numId w:val="71"/>
        </w:numPr>
        <w:spacing w:after="0" w:line="360" w:lineRule="auto"/>
        <w:jc w:val="both"/>
        <w:rPr>
          <w:rFonts w:ascii="Verdana" w:hAnsi="Verdana"/>
          <w:sz w:val="24"/>
          <w:szCs w:val="24"/>
        </w:rPr>
      </w:pPr>
      <w:r w:rsidRPr="006D692F">
        <w:rPr>
          <w:rFonts w:ascii="Verdana" w:hAnsi="Verdana"/>
          <w:sz w:val="24"/>
          <w:szCs w:val="24"/>
        </w:rPr>
        <w:t>$ 135.937 millones.</w:t>
      </w:r>
    </w:p>
    <w:p w:rsidRPr="006D692F" w:rsidR="006D692F" w:rsidRDefault="006D692F" w14:paraId="7D12742B" w14:textId="77777777">
      <w:pPr>
        <w:pStyle w:val="Prrafodelista"/>
        <w:numPr>
          <w:ilvl w:val="0"/>
          <w:numId w:val="71"/>
        </w:numPr>
        <w:spacing w:after="0" w:line="360" w:lineRule="auto"/>
        <w:jc w:val="both"/>
        <w:rPr>
          <w:rFonts w:ascii="Verdana" w:hAnsi="Verdana"/>
          <w:sz w:val="24"/>
          <w:szCs w:val="24"/>
        </w:rPr>
      </w:pPr>
      <w:r w:rsidRPr="006D692F">
        <w:rPr>
          <w:rFonts w:ascii="Verdana" w:hAnsi="Verdana"/>
          <w:sz w:val="24"/>
          <w:szCs w:val="24"/>
        </w:rPr>
        <w:t>2104: Consolidación Productiva del Sector Minero:</w:t>
      </w:r>
    </w:p>
    <w:p w:rsidRPr="006D692F" w:rsidR="006D692F" w:rsidRDefault="006D692F" w14:paraId="47FF8185" w14:textId="77777777">
      <w:pPr>
        <w:pStyle w:val="Prrafodelista"/>
        <w:numPr>
          <w:ilvl w:val="0"/>
          <w:numId w:val="71"/>
        </w:numPr>
        <w:spacing w:after="0" w:line="360" w:lineRule="auto"/>
        <w:jc w:val="both"/>
        <w:rPr>
          <w:rFonts w:ascii="Verdana" w:hAnsi="Verdana"/>
          <w:sz w:val="24"/>
          <w:szCs w:val="24"/>
        </w:rPr>
      </w:pPr>
      <w:r w:rsidRPr="006D692F">
        <w:rPr>
          <w:rFonts w:ascii="Verdana" w:hAnsi="Verdana"/>
          <w:sz w:val="24"/>
          <w:szCs w:val="24"/>
        </w:rPr>
        <w:t>$ 91.153 millones.</w:t>
      </w:r>
    </w:p>
    <w:p w:rsidRPr="006D692F" w:rsidR="006D692F" w:rsidRDefault="006D692F" w14:paraId="3018945F" w14:textId="77777777">
      <w:pPr>
        <w:pStyle w:val="Prrafodelista"/>
        <w:numPr>
          <w:ilvl w:val="0"/>
          <w:numId w:val="71"/>
        </w:numPr>
        <w:spacing w:after="0" w:line="360" w:lineRule="auto"/>
        <w:jc w:val="both"/>
        <w:rPr>
          <w:rFonts w:ascii="Verdana" w:hAnsi="Verdana"/>
          <w:sz w:val="24"/>
          <w:szCs w:val="24"/>
        </w:rPr>
      </w:pPr>
      <w:r w:rsidRPr="006D692F">
        <w:rPr>
          <w:rFonts w:ascii="Verdana" w:hAnsi="Verdana"/>
          <w:sz w:val="24"/>
          <w:szCs w:val="24"/>
        </w:rPr>
        <w:t>2105: Desarrollo Ambiental Sostenible del Sector Minero Energético: $56.236 millones.</w:t>
      </w:r>
    </w:p>
    <w:p w:rsidRPr="006D692F" w:rsidR="006D692F" w:rsidRDefault="006D692F" w14:paraId="3A00DE2C" w14:textId="77777777">
      <w:pPr>
        <w:pStyle w:val="Prrafodelista"/>
        <w:numPr>
          <w:ilvl w:val="0"/>
          <w:numId w:val="71"/>
        </w:numPr>
        <w:spacing w:after="0" w:line="360" w:lineRule="auto"/>
        <w:jc w:val="both"/>
        <w:rPr>
          <w:rFonts w:ascii="Verdana" w:hAnsi="Verdana"/>
          <w:sz w:val="24"/>
          <w:szCs w:val="24"/>
        </w:rPr>
      </w:pPr>
      <w:r w:rsidRPr="006D692F">
        <w:rPr>
          <w:rFonts w:ascii="Verdana" w:hAnsi="Verdana"/>
          <w:sz w:val="24"/>
          <w:szCs w:val="24"/>
        </w:rPr>
        <w:t>2106: Gestión de la Información del Sector Minero Energético:</w:t>
      </w:r>
    </w:p>
    <w:p w:rsidRPr="006D692F" w:rsidR="006D692F" w:rsidRDefault="006D692F" w14:paraId="4E5819C5" w14:textId="77777777">
      <w:pPr>
        <w:pStyle w:val="Prrafodelista"/>
        <w:numPr>
          <w:ilvl w:val="0"/>
          <w:numId w:val="71"/>
        </w:numPr>
        <w:spacing w:after="0" w:line="360" w:lineRule="auto"/>
        <w:jc w:val="both"/>
        <w:rPr>
          <w:rFonts w:ascii="Verdana" w:hAnsi="Verdana"/>
          <w:sz w:val="24"/>
          <w:szCs w:val="24"/>
        </w:rPr>
      </w:pPr>
      <w:r w:rsidRPr="006D692F">
        <w:rPr>
          <w:rFonts w:ascii="Verdana" w:hAnsi="Verdana"/>
          <w:sz w:val="24"/>
          <w:szCs w:val="24"/>
        </w:rPr>
        <w:t>$ 431.340 millones.</w:t>
      </w:r>
    </w:p>
    <w:p w:rsidRPr="006D692F" w:rsidR="006D692F" w:rsidRDefault="006D692F" w14:paraId="24E187F7" w14:textId="77777777">
      <w:pPr>
        <w:pStyle w:val="Prrafodelista"/>
        <w:numPr>
          <w:ilvl w:val="0"/>
          <w:numId w:val="71"/>
        </w:numPr>
        <w:spacing w:after="0" w:line="360" w:lineRule="auto"/>
        <w:jc w:val="both"/>
        <w:rPr>
          <w:rFonts w:ascii="Verdana" w:hAnsi="Verdana"/>
          <w:sz w:val="24"/>
          <w:szCs w:val="24"/>
        </w:rPr>
      </w:pPr>
      <w:r w:rsidRPr="006D692F">
        <w:rPr>
          <w:rFonts w:ascii="Verdana" w:hAnsi="Verdana"/>
          <w:sz w:val="24"/>
          <w:szCs w:val="24"/>
        </w:rPr>
        <w:t>2199: Fortalecimiento y Apoyo a la Gestión Institucional:</w:t>
      </w:r>
    </w:p>
    <w:p w:rsidRPr="006D692F" w:rsidR="006D692F" w:rsidRDefault="006D692F" w14:paraId="7B29C9B2" w14:textId="77777777">
      <w:pPr>
        <w:pStyle w:val="Prrafodelista"/>
        <w:numPr>
          <w:ilvl w:val="0"/>
          <w:numId w:val="71"/>
        </w:numPr>
        <w:spacing w:after="0" w:line="360" w:lineRule="auto"/>
        <w:jc w:val="both"/>
        <w:rPr>
          <w:rFonts w:ascii="Verdana" w:hAnsi="Verdana"/>
          <w:sz w:val="24"/>
          <w:szCs w:val="24"/>
        </w:rPr>
      </w:pPr>
      <w:r w:rsidRPr="006D692F">
        <w:rPr>
          <w:rFonts w:ascii="Verdana" w:hAnsi="Verdana"/>
          <w:sz w:val="24"/>
          <w:szCs w:val="24"/>
        </w:rPr>
        <w:t>$185.931 millones.</w:t>
      </w:r>
    </w:p>
    <w:p w:rsidR="006D692F" w:rsidP="006A0A13" w:rsidRDefault="006D692F" w14:paraId="0D2BAFFF" w14:textId="77777777">
      <w:pPr>
        <w:spacing w:after="0" w:line="360" w:lineRule="auto"/>
        <w:jc w:val="both"/>
        <w:rPr>
          <w:rFonts w:ascii="Verdana" w:hAnsi="Verdana"/>
          <w:sz w:val="24"/>
          <w:szCs w:val="24"/>
        </w:rPr>
      </w:pPr>
    </w:p>
    <w:p w:rsidR="006D692F" w:rsidP="006A0A13" w:rsidRDefault="7B742E5E" w14:paraId="600B86B4" w14:textId="4A2764DB">
      <w:pPr>
        <w:spacing w:after="0" w:line="360" w:lineRule="auto"/>
        <w:jc w:val="both"/>
      </w:pPr>
      <w:r w:rsidRPr="30CF4445" w:rsidR="3E45DA87">
        <w:rPr>
          <w:rFonts w:ascii="Verdana" w:hAnsi="Verdana"/>
          <w:sz w:val="24"/>
          <w:szCs w:val="24"/>
        </w:rPr>
        <w:t xml:space="preserve">La distribución de los recursos por </w:t>
      </w:r>
      <w:r w:rsidRPr="30CF4445" w:rsidR="6171BFCD">
        <w:rPr>
          <w:rFonts w:ascii="Verdana" w:hAnsi="Verdana"/>
          <w:sz w:val="24"/>
          <w:szCs w:val="24"/>
        </w:rPr>
        <w:t>p</w:t>
      </w:r>
      <w:r w:rsidRPr="30CF4445" w:rsidR="3E45DA87">
        <w:rPr>
          <w:rFonts w:ascii="Verdana" w:hAnsi="Verdana"/>
          <w:sz w:val="24"/>
          <w:szCs w:val="24"/>
        </w:rPr>
        <w:t xml:space="preserve">rograma </w:t>
      </w:r>
      <w:r w:rsidRPr="30CF4445" w:rsidR="4AD00A2E">
        <w:rPr>
          <w:rFonts w:ascii="Verdana" w:hAnsi="Verdana"/>
          <w:sz w:val="24"/>
          <w:szCs w:val="24"/>
        </w:rPr>
        <w:t>p</w:t>
      </w:r>
      <w:r w:rsidRPr="30CF4445" w:rsidR="3E45DA87">
        <w:rPr>
          <w:rFonts w:ascii="Verdana" w:hAnsi="Verdana"/>
          <w:sz w:val="24"/>
          <w:szCs w:val="24"/>
        </w:rPr>
        <w:t>resupuestal y en cada una de las entidades del sector minero</w:t>
      </w:r>
      <w:r w:rsidRPr="30CF4445" w:rsidR="48D5B3C7">
        <w:rPr>
          <w:rFonts w:ascii="Verdana" w:hAnsi="Verdana"/>
          <w:sz w:val="24"/>
          <w:szCs w:val="24"/>
        </w:rPr>
        <w:t>-</w:t>
      </w:r>
      <w:r w:rsidRPr="30CF4445" w:rsidR="3E45DA87">
        <w:rPr>
          <w:rFonts w:ascii="Verdana" w:hAnsi="Verdana"/>
          <w:sz w:val="24"/>
          <w:szCs w:val="24"/>
        </w:rPr>
        <w:t>energético, se puede evidenciar en la siguiente tabla:</w:t>
      </w:r>
    </w:p>
    <w:p w:rsidR="0FF05B1B" w:rsidP="006A0A13" w:rsidRDefault="0FF05B1B" w14:paraId="0699DFF0" w14:textId="353B4AF9">
      <w:pPr>
        <w:spacing w:after="0" w:line="360" w:lineRule="auto"/>
        <w:jc w:val="both"/>
        <w:rPr>
          <w:rFonts w:ascii="Verdana" w:hAnsi="Verdana"/>
          <w:sz w:val="24"/>
          <w:szCs w:val="24"/>
        </w:rPr>
      </w:pPr>
    </w:p>
    <w:p w:rsidRPr="0038515C" w:rsidR="006D692F" w:rsidP="180099B3" w:rsidRDefault="128C860B" w14:paraId="353B82A7" w14:textId="77777777">
      <w:pPr>
        <w:pStyle w:val="Descripcin"/>
        <w:spacing w:after="0"/>
        <w:jc w:val="center"/>
        <w:rPr>
          <w:rFonts w:ascii="Verdana" w:hAnsi="Verdana"/>
          <w:i w:val="0"/>
          <w:iCs w:val="0"/>
          <w:color w:val="auto"/>
        </w:rPr>
      </w:pPr>
      <w:r w:rsidRPr="180099B3">
        <w:rPr>
          <w:rFonts w:ascii="Verdana" w:hAnsi="Verdana"/>
          <w:i w:val="0"/>
          <w:iCs w:val="0"/>
          <w:color w:val="auto"/>
        </w:rPr>
        <w:t>Tabla</w:t>
      </w:r>
      <w:r w:rsidRPr="180099B3" w:rsidR="1F9C8783">
        <w:rPr>
          <w:rFonts w:ascii="Verdana" w:hAnsi="Verdana"/>
          <w:i w:val="0"/>
          <w:iCs w:val="0"/>
          <w:color w:val="auto"/>
        </w:rPr>
        <w:t xml:space="preserve"> No. 3</w:t>
      </w:r>
      <w:r w:rsidRPr="180099B3" w:rsidR="16B64681">
        <w:rPr>
          <w:rFonts w:ascii="Verdana" w:hAnsi="Verdana"/>
          <w:i w:val="0"/>
          <w:iCs w:val="0"/>
          <w:color w:val="auto"/>
        </w:rPr>
        <w:t>7</w:t>
      </w:r>
      <w:r w:rsidRPr="180099B3">
        <w:rPr>
          <w:rFonts w:ascii="Verdana" w:hAnsi="Verdana"/>
          <w:i w:val="0"/>
          <w:iCs w:val="0"/>
          <w:color w:val="auto"/>
        </w:rPr>
        <w:t>. Distribución de recursos sector 2024 por programa</w:t>
      </w:r>
    </w:p>
    <w:tbl>
      <w:tblPr>
        <w:tblW w:w="5135"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1303"/>
        <w:gridCol w:w="1187"/>
        <w:gridCol w:w="1187"/>
        <w:gridCol w:w="1007"/>
        <w:gridCol w:w="893"/>
        <w:gridCol w:w="893"/>
        <w:gridCol w:w="1007"/>
        <w:gridCol w:w="1007"/>
        <w:gridCol w:w="1187"/>
      </w:tblGrid>
      <w:tr w:rsidRPr="006D692F" w:rsidR="006D692F" w:rsidTr="006D692F" w14:paraId="6397CD9A" w14:textId="77777777">
        <w:trPr>
          <w:trHeight w:val="298"/>
        </w:trPr>
        <w:tc>
          <w:tcPr>
            <w:tcW w:w="654" w:type="pct"/>
            <w:vMerge w:val="restart"/>
            <w:shd w:val="clear" w:color="auto" w:fill="A6A6A6" w:themeFill="background1" w:themeFillShade="A6"/>
            <w:noWrap/>
            <w:vAlign w:val="center"/>
            <w:hideMark/>
          </w:tcPr>
          <w:p w:rsidRPr="006D692F" w:rsidR="006D692F" w:rsidP="006D692F" w:rsidRDefault="006D692F" w14:paraId="471023A6" w14:textId="77777777">
            <w:pPr>
              <w:spacing w:after="0" w:line="240" w:lineRule="auto"/>
              <w:jc w:val="center"/>
              <w:rPr>
                <w:rFonts w:ascii="Verdana" w:hAnsi="Verdana" w:eastAsia="Times New Roman" w:cs="Times New Roman"/>
                <w:b/>
                <w:bCs/>
                <w:color w:val="000000"/>
                <w:sz w:val="18"/>
                <w:szCs w:val="18"/>
                <w:lang w:eastAsia="es-CO"/>
              </w:rPr>
            </w:pPr>
            <w:r w:rsidRPr="006D692F">
              <w:rPr>
                <w:rFonts w:ascii="Verdana" w:hAnsi="Verdana" w:eastAsia="Times New Roman" w:cs="Times New Roman"/>
                <w:b/>
                <w:bCs/>
                <w:color w:val="000000"/>
                <w:sz w:val="18"/>
                <w:szCs w:val="18"/>
                <w:lang w:eastAsia="es-CO"/>
              </w:rPr>
              <w:t>PROGRAMA</w:t>
            </w:r>
          </w:p>
        </w:tc>
        <w:tc>
          <w:tcPr>
            <w:tcW w:w="4346" w:type="pct"/>
            <w:gridSpan w:val="8"/>
            <w:shd w:val="clear" w:color="auto" w:fill="A6A6A6" w:themeFill="background1" w:themeFillShade="A6"/>
            <w:noWrap/>
            <w:vAlign w:val="center"/>
            <w:hideMark/>
          </w:tcPr>
          <w:p w:rsidRPr="006D692F" w:rsidR="006D692F" w:rsidP="006D692F" w:rsidRDefault="006D692F" w14:paraId="51346F1F" w14:textId="77777777">
            <w:pPr>
              <w:spacing w:after="0" w:line="240" w:lineRule="auto"/>
              <w:jc w:val="center"/>
              <w:rPr>
                <w:rFonts w:ascii="Verdana" w:hAnsi="Verdana" w:eastAsia="Times New Roman" w:cs="Times New Roman"/>
                <w:b/>
                <w:bCs/>
                <w:color w:val="000000"/>
                <w:sz w:val="18"/>
                <w:szCs w:val="18"/>
                <w:lang w:eastAsia="es-CO"/>
              </w:rPr>
            </w:pPr>
            <w:r w:rsidRPr="006D692F">
              <w:rPr>
                <w:rFonts w:ascii="Verdana" w:hAnsi="Verdana" w:eastAsia="Times New Roman" w:cs="Times New Roman"/>
                <w:b/>
                <w:bCs/>
                <w:color w:val="000000"/>
                <w:sz w:val="18"/>
                <w:szCs w:val="18"/>
                <w:lang w:eastAsia="es-CO"/>
              </w:rPr>
              <w:t>Cifras en millones de pesos</w:t>
            </w:r>
          </w:p>
        </w:tc>
      </w:tr>
      <w:tr w:rsidRPr="006D692F" w:rsidR="006D692F" w:rsidTr="006D692F" w14:paraId="6AA0A66A" w14:textId="77777777">
        <w:trPr>
          <w:trHeight w:val="298"/>
        </w:trPr>
        <w:tc>
          <w:tcPr>
            <w:tcW w:w="654" w:type="pct"/>
            <w:vMerge/>
            <w:shd w:val="clear" w:color="auto" w:fill="A6A6A6" w:themeFill="background1" w:themeFillShade="A6"/>
            <w:vAlign w:val="center"/>
            <w:hideMark/>
          </w:tcPr>
          <w:p w:rsidRPr="006D692F" w:rsidR="006D692F" w:rsidP="006D692F" w:rsidRDefault="006D692F" w14:paraId="51B788E0" w14:textId="77777777">
            <w:pPr>
              <w:spacing w:after="0" w:line="240" w:lineRule="auto"/>
              <w:jc w:val="center"/>
              <w:rPr>
                <w:rFonts w:ascii="Verdana" w:hAnsi="Verdana" w:eastAsia="Times New Roman" w:cs="Times New Roman"/>
                <w:b/>
                <w:bCs/>
                <w:color w:val="000000"/>
                <w:sz w:val="18"/>
                <w:szCs w:val="18"/>
                <w:lang w:eastAsia="es-CO"/>
              </w:rPr>
            </w:pPr>
          </w:p>
        </w:tc>
        <w:tc>
          <w:tcPr>
            <w:tcW w:w="597" w:type="pct"/>
            <w:shd w:val="clear" w:color="auto" w:fill="A6A6A6" w:themeFill="background1" w:themeFillShade="A6"/>
            <w:noWrap/>
            <w:vAlign w:val="center"/>
            <w:hideMark/>
          </w:tcPr>
          <w:p w:rsidRPr="006D692F" w:rsidR="006D692F" w:rsidP="006D692F" w:rsidRDefault="006D692F" w14:paraId="090AE3DA" w14:textId="77777777">
            <w:pPr>
              <w:spacing w:after="0" w:line="240" w:lineRule="auto"/>
              <w:jc w:val="center"/>
              <w:rPr>
                <w:rFonts w:ascii="Verdana" w:hAnsi="Verdana" w:eastAsia="Times New Roman" w:cs="Times New Roman"/>
                <w:b/>
                <w:bCs/>
                <w:color w:val="000000"/>
                <w:sz w:val="18"/>
                <w:szCs w:val="18"/>
                <w:lang w:eastAsia="es-CO"/>
              </w:rPr>
            </w:pPr>
            <w:r w:rsidRPr="006D692F">
              <w:rPr>
                <w:rFonts w:ascii="Verdana" w:hAnsi="Verdana" w:eastAsia="Times New Roman" w:cs="Times New Roman"/>
                <w:b/>
                <w:bCs/>
                <w:color w:val="000000"/>
                <w:sz w:val="18"/>
                <w:szCs w:val="18"/>
                <w:lang w:eastAsia="es-CO"/>
              </w:rPr>
              <w:t>2101</w:t>
            </w:r>
          </w:p>
        </w:tc>
        <w:tc>
          <w:tcPr>
            <w:tcW w:w="597" w:type="pct"/>
            <w:shd w:val="clear" w:color="auto" w:fill="A6A6A6" w:themeFill="background1" w:themeFillShade="A6"/>
            <w:noWrap/>
            <w:vAlign w:val="center"/>
            <w:hideMark/>
          </w:tcPr>
          <w:p w:rsidRPr="006D692F" w:rsidR="006D692F" w:rsidP="006D692F" w:rsidRDefault="006D692F" w14:paraId="01D3D9F2" w14:textId="77777777">
            <w:pPr>
              <w:spacing w:after="0" w:line="240" w:lineRule="auto"/>
              <w:jc w:val="center"/>
              <w:rPr>
                <w:rFonts w:ascii="Verdana" w:hAnsi="Verdana" w:eastAsia="Times New Roman" w:cs="Times New Roman"/>
                <w:b/>
                <w:bCs/>
                <w:color w:val="000000"/>
                <w:sz w:val="18"/>
                <w:szCs w:val="18"/>
                <w:lang w:eastAsia="es-CO"/>
              </w:rPr>
            </w:pPr>
            <w:r w:rsidRPr="006D692F">
              <w:rPr>
                <w:rFonts w:ascii="Verdana" w:hAnsi="Verdana" w:eastAsia="Times New Roman" w:cs="Times New Roman"/>
                <w:b/>
                <w:bCs/>
                <w:color w:val="000000"/>
                <w:sz w:val="18"/>
                <w:szCs w:val="18"/>
                <w:lang w:eastAsia="es-CO"/>
              </w:rPr>
              <w:t>2102</w:t>
            </w:r>
          </w:p>
        </w:tc>
        <w:tc>
          <w:tcPr>
            <w:tcW w:w="507" w:type="pct"/>
            <w:shd w:val="clear" w:color="auto" w:fill="A6A6A6" w:themeFill="background1" w:themeFillShade="A6"/>
            <w:noWrap/>
            <w:vAlign w:val="center"/>
            <w:hideMark/>
          </w:tcPr>
          <w:p w:rsidRPr="006D692F" w:rsidR="006D692F" w:rsidP="006D692F" w:rsidRDefault="006D692F" w14:paraId="375CD1C9" w14:textId="77777777">
            <w:pPr>
              <w:spacing w:after="0" w:line="240" w:lineRule="auto"/>
              <w:jc w:val="center"/>
              <w:rPr>
                <w:rFonts w:ascii="Verdana" w:hAnsi="Verdana" w:eastAsia="Times New Roman" w:cs="Times New Roman"/>
                <w:b/>
                <w:bCs/>
                <w:color w:val="000000"/>
                <w:sz w:val="18"/>
                <w:szCs w:val="18"/>
                <w:lang w:eastAsia="es-CO"/>
              </w:rPr>
            </w:pPr>
            <w:r w:rsidRPr="006D692F">
              <w:rPr>
                <w:rFonts w:ascii="Verdana" w:hAnsi="Verdana" w:eastAsia="Times New Roman" w:cs="Times New Roman"/>
                <w:b/>
                <w:bCs/>
                <w:color w:val="000000"/>
                <w:sz w:val="18"/>
                <w:szCs w:val="18"/>
                <w:lang w:eastAsia="es-CO"/>
              </w:rPr>
              <w:t>2103</w:t>
            </w:r>
          </w:p>
        </w:tc>
        <w:tc>
          <w:tcPr>
            <w:tcW w:w="451" w:type="pct"/>
            <w:shd w:val="clear" w:color="auto" w:fill="A6A6A6" w:themeFill="background1" w:themeFillShade="A6"/>
            <w:noWrap/>
            <w:vAlign w:val="center"/>
            <w:hideMark/>
          </w:tcPr>
          <w:p w:rsidRPr="006D692F" w:rsidR="006D692F" w:rsidP="006D692F" w:rsidRDefault="006D692F" w14:paraId="7EE8E0B0" w14:textId="77777777">
            <w:pPr>
              <w:spacing w:after="0" w:line="240" w:lineRule="auto"/>
              <w:jc w:val="center"/>
              <w:rPr>
                <w:rFonts w:ascii="Verdana" w:hAnsi="Verdana" w:eastAsia="Times New Roman" w:cs="Times New Roman"/>
                <w:b/>
                <w:bCs/>
                <w:color w:val="000000"/>
                <w:sz w:val="18"/>
                <w:szCs w:val="18"/>
                <w:lang w:eastAsia="es-CO"/>
              </w:rPr>
            </w:pPr>
            <w:r w:rsidRPr="006D692F">
              <w:rPr>
                <w:rFonts w:ascii="Verdana" w:hAnsi="Verdana" w:eastAsia="Times New Roman" w:cs="Times New Roman"/>
                <w:b/>
                <w:bCs/>
                <w:color w:val="000000"/>
                <w:sz w:val="18"/>
                <w:szCs w:val="18"/>
                <w:lang w:eastAsia="es-CO"/>
              </w:rPr>
              <w:t>2104</w:t>
            </w:r>
          </w:p>
        </w:tc>
        <w:tc>
          <w:tcPr>
            <w:tcW w:w="451" w:type="pct"/>
            <w:shd w:val="clear" w:color="auto" w:fill="A6A6A6" w:themeFill="background1" w:themeFillShade="A6"/>
            <w:noWrap/>
            <w:vAlign w:val="center"/>
            <w:hideMark/>
          </w:tcPr>
          <w:p w:rsidRPr="006D692F" w:rsidR="006D692F" w:rsidP="006D692F" w:rsidRDefault="006D692F" w14:paraId="4700BA85" w14:textId="77777777">
            <w:pPr>
              <w:spacing w:after="0" w:line="240" w:lineRule="auto"/>
              <w:jc w:val="center"/>
              <w:rPr>
                <w:rFonts w:ascii="Verdana" w:hAnsi="Verdana" w:eastAsia="Times New Roman" w:cs="Times New Roman"/>
                <w:b/>
                <w:bCs/>
                <w:color w:val="000000"/>
                <w:sz w:val="18"/>
                <w:szCs w:val="18"/>
                <w:lang w:eastAsia="es-CO"/>
              </w:rPr>
            </w:pPr>
            <w:r w:rsidRPr="006D692F">
              <w:rPr>
                <w:rFonts w:ascii="Verdana" w:hAnsi="Verdana" w:eastAsia="Times New Roman" w:cs="Times New Roman"/>
                <w:b/>
                <w:bCs/>
                <w:color w:val="000000"/>
                <w:sz w:val="18"/>
                <w:szCs w:val="18"/>
                <w:lang w:eastAsia="es-CO"/>
              </w:rPr>
              <w:t>2105</w:t>
            </w:r>
          </w:p>
        </w:tc>
        <w:tc>
          <w:tcPr>
            <w:tcW w:w="507" w:type="pct"/>
            <w:shd w:val="clear" w:color="auto" w:fill="A6A6A6" w:themeFill="background1" w:themeFillShade="A6"/>
            <w:noWrap/>
            <w:vAlign w:val="center"/>
            <w:hideMark/>
          </w:tcPr>
          <w:p w:rsidRPr="006D692F" w:rsidR="006D692F" w:rsidP="006D692F" w:rsidRDefault="006D692F" w14:paraId="02006074" w14:textId="77777777">
            <w:pPr>
              <w:spacing w:after="0" w:line="240" w:lineRule="auto"/>
              <w:jc w:val="center"/>
              <w:rPr>
                <w:rFonts w:ascii="Verdana" w:hAnsi="Verdana" w:eastAsia="Times New Roman" w:cs="Times New Roman"/>
                <w:b/>
                <w:bCs/>
                <w:color w:val="000000"/>
                <w:sz w:val="18"/>
                <w:szCs w:val="18"/>
                <w:lang w:eastAsia="es-CO"/>
              </w:rPr>
            </w:pPr>
            <w:r w:rsidRPr="006D692F">
              <w:rPr>
                <w:rFonts w:ascii="Verdana" w:hAnsi="Verdana" w:eastAsia="Times New Roman" w:cs="Times New Roman"/>
                <w:b/>
                <w:bCs/>
                <w:color w:val="000000"/>
                <w:sz w:val="18"/>
                <w:szCs w:val="18"/>
                <w:lang w:eastAsia="es-CO"/>
              </w:rPr>
              <w:t>2106</w:t>
            </w:r>
          </w:p>
        </w:tc>
        <w:tc>
          <w:tcPr>
            <w:tcW w:w="507" w:type="pct"/>
            <w:shd w:val="clear" w:color="auto" w:fill="A6A6A6" w:themeFill="background1" w:themeFillShade="A6"/>
            <w:noWrap/>
            <w:vAlign w:val="center"/>
            <w:hideMark/>
          </w:tcPr>
          <w:p w:rsidRPr="006D692F" w:rsidR="006D692F" w:rsidP="006D692F" w:rsidRDefault="006D692F" w14:paraId="6380F756" w14:textId="77777777">
            <w:pPr>
              <w:spacing w:after="0" w:line="240" w:lineRule="auto"/>
              <w:jc w:val="center"/>
              <w:rPr>
                <w:rFonts w:ascii="Verdana" w:hAnsi="Verdana" w:eastAsia="Times New Roman" w:cs="Times New Roman"/>
                <w:b/>
                <w:bCs/>
                <w:color w:val="000000"/>
                <w:sz w:val="18"/>
                <w:szCs w:val="18"/>
                <w:lang w:eastAsia="es-CO"/>
              </w:rPr>
            </w:pPr>
            <w:r w:rsidRPr="006D692F">
              <w:rPr>
                <w:rFonts w:ascii="Verdana" w:hAnsi="Verdana" w:eastAsia="Times New Roman" w:cs="Times New Roman"/>
                <w:b/>
                <w:bCs/>
                <w:color w:val="000000"/>
                <w:sz w:val="18"/>
                <w:szCs w:val="18"/>
                <w:lang w:eastAsia="es-CO"/>
              </w:rPr>
              <w:t>2199</w:t>
            </w:r>
          </w:p>
        </w:tc>
        <w:tc>
          <w:tcPr>
            <w:tcW w:w="728" w:type="pct"/>
            <w:shd w:val="clear" w:color="auto" w:fill="A6A6A6" w:themeFill="background1" w:themeFillShade="A6"/>
            <w:noWrap/>
            <w:vAlign w:val="center"/>
            <w:hideMark/>
          </w:tcPr>
          <w:p w:rsidRPr="006D692F" w:rsidR="006D692F" w:rsidP="006D692F" w:rsidRDefault="006D692F" w14:paraId="659D9D19" w14:textId="77777777">
            <w:pPr>
              <w:spacing w:after="0" w:line="240" w:lineRule="auto"/>
              <w:jc w:val="center"/>
              <w:rPr>
                <w:rFonts w:ascii="Verdana" w:hAnsi="Verdana" w:eastAsia="Times New Roman" w:cs="Times New Roman"/>
                <w:b/>
                <w:bCs/>
                <w:color w:val="000000"/>
                <w:sz w:val="18"/>
                <w:szCs w:val="18"/>
                <w:lang w:eastAsia="es-CO"/>
              </w:rPr>
            </w:pPr>
            <w:r w:rsidRPr="006D692F">
              <w:rPr>
                <w:rFonts w:ascii="Verdana" w:hAnsi="Verdana" w:eastAsia="Times New Roman" w:cs="Times New Roman"/>
                <w:b/>
                <w:bCs/>
                <w:color w:val="000000"/>
                <w:sz w:val="18"/>
                <w:szCs w:val="18"/>
                <w:lang w:eastAsia="es-CO"/>
              </w:rPr>
              <w:t>TOTAL</w:t>
            </w:r>
          </w:p>
        </w:tc>
      </w:tr>
      <w:tr w:rsidRPr="006D692F" w:rsidR="006D692F" w:rsidTr="006D692F" w14:paraId="1DADE535" w14:textId="77777777">
        <w:trPr>
          <w:trHeight w:val="298"/>
        </w:trPr>
        <w:tc>
          <w:tcPr>
            <w:tcW w:w="654" w:type="pct"/>
            <w:noWrap/>
            <w:vAlign w:val="center"/>
            <w:hideMark/>
          </w:tcPr>
          <w:p w:rsidRPr="006D692F" w:rsidR="006D692F" w:rsidP="006D692F" w:rsidRDefault="006D692F" w14:paraId="301D24A6"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ANH</w:t>
            </w:r>
          </w:p>
        </w:tc>
        <w:tc>
          <w:tcPr>
            <w:tcW w:w="597" w:type="pct"/>
            <w:noWrap/>
            <w:vAlign w:val="center"/>
            <w:hideMark/>
          </w:tcPr>
          <w:p w:rsidRPr="006D692F" w:rsidR="006D692F" w:rsidP="006D692F" w:rsidRDefault="006D692F" w14:paraId="6913BC9C" w14:textId="77777777">
            <w:pPr>
              <w:spacing w:after="0" w:line="240" w:lineRule="auto"/>
              <w:jc w:val="center"/>
              <w:rPr>
                <w:rFonts w:ascii="Verdana" w:hAnsi="Verdana" w:eastAsia="Times New Roman" w:cs="Times New Roman"/>
                <w:color w:val="000000"/>
                <w:sz w:val="18"/>
                <w:szCs w:val="18"/>
                <w:lang w:eastAsia="es-CO"/>
              </w:rPr>
            </w:pPr>
          </w:p>
        </w:tc>
        <w:tc>
          <w:tcPr>
            <w:tcW w:w="597" w:type="pct"/>
            <w:noWrap/>
            <w:vAlign w:val="center"/>
            <w:hideMark/>
          </w:tcPr>
          <w:p w:rsidRPr="006D692F" w:rsidR="006D692F" w:rsidP="006D692F" w:rsidRDefault="006D692F" w14:paraId="35379160" w14:textId="77777777">
            <w:pPr>
              <w:spacing w:after="0" w:line="240" w:lineRule="auto"/>
              <w:jc w:val="center"/>
              <w:rPr>
                <w:rFonts w:ascii="Verdana" w:hAnsi="Verdana" w:eastAsia="Times New Roman" w:cs="Times New Roman"/>
                <w:color w:val="000000"/>
                <w:sz w:val="18"/>
                <w:szCs w:val="18"/>
                <w:lang w:eastAsia="es-CO"/>
              </w:rPr>
            </w:pPr>
          </w:p>
        </w:tc>
        <w:tc>
          <w:tcPr>
            <w:tcW w:w="507" w:type="pct"/>
            <w:noWrap/>
            <w:vAlign w:val="center"/>
            <w:hideMark/>
          </w:tcPr>
          <w:p w:rsidRPr="006D692F" w:rsidR="006D692F" w:rsidP="006D692F" w:rsidRDefault="006D692F" w14:paraId="2FD0EE83"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$52.564</w:t>
            </w:r>
          </w:p>
        </w:tc>
        <w:tc>
          <w:tcPr>
            <w:tcW w:w="451" w:type="pct"/>
            <w:noWrap/>
            <w:vAlign w:val="center"/>
            <w:hideMark/>
          </w:tcPr>
          <w:p w:rsidRPr="006D692F" w:rsidR="006D692F" w:rsidP="006D692F" w:rsidRDefault="006D692F" w14:paraId="7D5ADADF" w14:textId="77777777">
            <w:pPr>
              <w:spacing w:after="0" w:line="240" w:lineRule="auto"/>
              <w:jc w:val="center"/>
              <w:rPr>
                <w:rFonts w:ascii="Verdana" w:hAnsi="Verdana" w:eastAsia="Times New Roman" w:cs="Times New Roman"/>
                <w:color w:val="000000"/>
                <w:sz w:val="18"/>
                <w:szCs w:val="18"/>
                <w:lang w:eastAsia="es-CO"/>
              </w:rPr>
            </w:pPr>
          </w:p>
        </w:tc>
        <w:tc>
          <w:tcPr>
            <w:tcW w:w="451" w:type="pct"/>
            <w:noWrap/>
            <w:vAlign w:val="center"/>
            <w:hideMark/>
          </w:tcPr>
          <w:p w:rsidRPr="006D692F" w:rsidR="006D692F" w:rsidP="006D692F" w:rsidRDefault="006D692F" w14:paraId="218BA190" w14:textId="77777777">
            <w:pPr>
              <w:spacing w:after="0" w:line="240" w:lineRule="auto"/>
              <w:jc w:val="center"/>
              <w:rPr>
                <w:rFonts w:ascii="Verdana" w:hAnsi="Verdana" w:eastAsia="Times New Roman" w:cs="Times New Roman"/>
                <w:color w:val="000000"/>
                <w:sz w:val="18"/>
                <w:szCs w:val="18"/>
                <w:lang w:eastAsia="es-CO"/>
              </w:rPr>
            </w:pPr>
          </w:p>
        </w:tc>
        <w:tc>
          <w:tcPr>
            <w:tcW w:w="507" w:type="pct"/>
            <w:noWrap/>
            <w:vAlign w:val="center"/>
            <w:hideMark/>
          </w:tcPr>
          <w:p w:rsidRPr="006D692F" w:rsidR="006D692F" w:rsidP="006D692F" w:rsidRDefault="006D692F" w14:paraId="04C1D13B"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$313.948</w:t>
            </w:r>
          </w:p>
        </w:tc>
        <w:tc>
          <w:tcPr>
            <w:tcW w:w="507" w:type="pct"/>
            <w:noWrap/>
            <w:vAlign w:val="center"/>
            <w:hideMark/>
          </w:tcPr>
          <w:p w:rsidRPr="006D692F" w:rsidR="006D692F" w:rsidP="006D692F" w:rsidRDefault="006D692F" w14:paraId="1A847597"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$16.012</w:t>
            </w:r>
          </w:p>
        </w:tc>
        <w:tc>
          <w:tcPr>
            <w:tcW w:w="728" w:type="pct"/>
            <w:noWrap/>
            <w:vAlign w:val="center"/>
            <w:hideMark/>
          </w:tcPr>
          <w:p w:rsidRPr="006D692F" w:rsidR="006D692F" w:rsidP="006D692F" w:rsidRDefault="006D692F" w14:paraId="669FDB53"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$382.525</w:t>
            </w:r>
          </w:p>
        </w:tc>
      </w:tr>
      <w:tr w:rsidRPr="006D692F" w:rsidR="006D692F" w:rsidTr="006D692F" w14:paraId="730CE889" w14:textId="77777777">
        <w:trPr>
          <w:trHeight w:val="298"/>
        </w:trPr>
        <w:tc>
          <w:tcPr>
            <w:tcW w:w="654" w:type="pct"/>
            <w:noWrap/>
            <w:vAlign w:val="center"/>
            <w:hideMark/>
          </w:tcPr>
          <w:p w:rsidRPr="006D692F" w:rsidR="006D692F" w:rsidP="006D692F" w:rsidRDefault="006D692F" w14:paraId="333EE4DE"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ANM</w:t>
            </w:r>
          </w:p>
        </w:tc>
        <w:tc>
          <w:tcPr>
            <w:tcW w:w="597" w:type="pct"/>
            <w:noWrap/>
            <w:vAlign w:val="center"/>
            <w:hideMark/>
          </w:tcPr>
          <w:p w:rsidRPr="006D692F" w:rsidR="006D692F" w:rsidP="006D692F" w:rsidRDefault="006D692F" w14:paraId="0EDEDE7C" w14:textId="77777777">
            <w:pPr>
              <w:spacing w:after="0" w:line="240" w:lineRule="auto"/>
              <w:jc w:val="center"/>
              <w:rPr>
                <w:rFonts w:ascii="Verdana" w:hAnsi="Verdana" w:eastAsia="Times New Roman" w:cs="Times New Roman"/>
                <w:color w:val="000000"/>
                <w:sz w:val="18"/>
                <w:szCs w:val="18"/>
                <w:lang w:eastAsia="es-CO"/>
              </w:rPr>
            </w:pPr>
          </w:p>
        </w:tc>
        <w:tc>
          <w:tcPr>
            <w:tcW w:w="597" w:type="pct"/>
            <w:noWrap/>
            <w:vAlign w:val="center"/>
            <w:hideMark/>
          </w:tcPr>
          <w:p w:rsidRPr="006D692F" w:rsidR="006D692F" w:rsidP="006D692F" w:rsidRDefault="006D692F" w14:paraId="1709F99D" w14:textId="77777777">
            <w:pPr>
              <w:spacing w:after="0" w:line="240" w:lineRule="auto"/>
              <w:jc w:val="center"/>
              <w:rPr>
                <w:rFonts w:ascii="Verdana" w:hAnsi="Verdana" w:eastAsia="Times New Roman" w:cs="Times New Roman"/>
                <w:color w:val="000000"/>
                <w:sz w:val="18"/>
                <w:szCs w:val="18"/>
                <w:lang w:eastAsia="es-CO"/>
              </w:rPr>
            </w:pPr>
          </w:p>
        </w:tc>
        <w:tc>
          <w:tcPr>
            <w:tcW w:w="507" w:type="pct"/>
            <w:noWrap/>
            <w:vAlign w:val="center"/>
            <w:hideMark/>
          </w:tcPr>
          <w:p w:rsidRPr="006D692F" w:rsidR="006D692F" w:rsidP="006D692F" w:rsidRDefault="006D692F" w14:paraId="74B9C935" w14:textId="77777777">
            <w:pPr>
              <w:spacing w:after="0" w:line="240" w:lineRule="auto"/>
              <w:jc w:val="center"/>
              <w:rPr>
                <w:rFonts w:ascii="Verdana" w:hAnsi="Verdana" w:eastAsia="Times New Roman" w:cs="Times New Roman"/>
                <w:color w:val="000000"/>
                <w:sz w:val="18"/>
                <w:szCs w:val="18"/>
                <w:lang w:eastAsia="es-CO"/>
              </w:rPr>
            </w:pPr>
          </w:p>
        </w:tc>
        <w:tc>
          <w:tcPr>
            <w:tcW w:w="451" w:type="pct"/>
            <w:noWrap/>
            <w:vAlign w:val="center"/>
            <w:hideMark/>
          </w:tcPr>
          <w:p w:rsidRPr="006D692F" w:rsidR="006D692F" w:rsidP="006D692F" w:rsidRDefault="006D692F" w14:paraId="1668F9E8"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$48.299</w:t>
            </w:r>
          </w:p>
        </w:tc>
        <w:tc>
          <w:tcPr>
            <w:tcW w:w="451" w:type="pct"/>
            <w:noWrap/>
            <w:vAlign w:val="center"/>
            <w:hideMark/>
          </w:tcPr>
          <w:p w:rsidRPr="006D692F" w:rsidR="006D692F" w:rsidP="006D692F" w:rsidRDefault="006D692F" w14:paraId="5447F24D"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$6.143</w:t>
            </w:r>
          </w:p>
        </w:tc>
        <w:tc>
          <w:tcPr>
            <w:tcW w:w="507" w:type="pct"/>
            <w:noWrap/>
            <w:vAlign w:val="center"/>
            <w:hideMark/>
          </w:tcPr>
          <w:p w:rsidRPr="006D692F" w:rsidR="006D692F" w:rsidP="006D692F" w:rsidRDefault="006D692F" w14:paraId="67275694"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$13.654</w:t>
            </w:r>
          </w:p>
        </w:tc>
        <w:tc>
          <w:tcPr>
            <w:tcW w:w="507" w:type="pct"/>
            <w:noWrap/>
            <w:vAlign w:val="center"/>
            <w:hideMark/>
          </w:tcPr>
          <w:p w:rsidRPr="006D692F" w:rsidR="006D692F" w:rsidP="006D692F" w:rsidRDefault="006D692F" w14:paraId="6B31471A"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$88.851</w:t>
            </w:r>
          </w:p>
        </w:tc>
        <w:tc>
          <w:tcPr>
            <w:tcW w:w="728" w:type="pct"/>
            <w:noWrap/>
            <w:vAlign w:val="center"/>
            <w:hideMark/>
          </w:tcPr>
          <w:p w:rsidRPr="006D692F" w:rsidR="006D692F" w:rsidP="006D692F" w:rsidRDefault="006D692F" w14:paraId="5C819A64"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$156.949</w:t>
            </w:r>
          </w:p>
        </w:tc>
      </w:tr>
      <w:tr w:rsidRPr="006D692F" w:rsidR="006D692F" w:rsidTr="006D692F" w14:paraId="201C43BE" w14:textId="77777777">
        <w:trPr>
          <w:trHeight w:val="298"/>
        </w:trPr>
        <w:tc>
          <w:tcPr>
            <w:tcW w:w="654" w:type="pct"/>
            <w:noWrap/>
            <w:vAlign w:val="center"/>
            <w:hideMark/>
          </w:tcPr>
          <w:p w:rsidRPr="006D692F" w:rsidR="006D692F" w:rsidP="006D692F" w:rsidRDefault="006D692F" w14:paraId="5141B36C"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IPSE</w:t>
            </w:r>
          </w:p>
        </w:tc>
        <w:tc>
          <w:tcPr>
            <w:tcW w:w="597" w:type="pct"/>
            <w:noWrap/>
            <w:vAlign w:val="center"/>
            <w:hideMark/>
          </w:tcPr>
          <w:p w:rsidRPr="006D692F" w:rsidR="006D692F" w:rsidP="006D692F" w:rsidRDefault="006D692F" w14:paraId="608D268D" w14:textId="77777777">
            <w:pPr>
              <w:spacing w:after="0" w:line="240" w:lineRule="auto"/>
              <w:jc w:val="center"/>
              <w:rPr>
                <w:rFonts w:ascii="Verdana" w:hAnsi="Verdana" w:eastAsia="Times New Roman" w:cs="Times New Roman"/>
                <w:color w:val="000000"/>
                <w:sz w:val="18"/>
                <w:szCs w:val="18"/>
                <w:lang w:eastAsia="es-CO"/>
              </w:rPr>
            </w:pPr>
          </w:p>
        </w:tc>
        <w:tc>
          <w:tcPr>
            <w:tcW w:w="597" w:type="pct"/>
            <w:noWrap/>
            <w:vAlign w:val="center"/>
            <w:hideMark/>
          </w:tcPr>
          <w:p w:rsidRPr="006D692F" w:rsidR="006D692F" w:rsidP="006D692F" w:rsidRDefault="006D692F" w14:paraId="220CD3C7"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$250.370</w:t>
            </w:r>
          </w:p>
        </w:tc>
        <w:tc>
          <w:tcPr>
            <w:tcW w:w="507" w:type="pct"/>
            <w:noWrap/>
            <w:vAlign w:val="center"/>
            <w:hideMark/>
          </w:tcPr>
          <w:p w:rsidRPr="006D692F" w:rsidR="006D692F" w:rsidP="006D692F" w:rsidRDefault="006D692F" w14:paraId="612549FD" w14:textId="77777777">
            <w:pPr>
              <w:spacing w:after="0" w:line="240" w:lineRule="auto"/>
              <w:jc w:val="center"/>
              <w:rPr>
                <w:rFonts w:ascii="Verdana" w:hAnsi="Verdana" w:eastAsia="Times New Roman" w:cs="Times New Roman"/>
                <w:color w:val="000000"/>
                <w:sz w:val="18"/>
                <w:szCs w:val="18"/>
                <w:lang w:eastAsia="es-CO"/>
              </w:rPr>
            </w:pPr>
          </w:p>
        </w:tc>
        <w:tc>
          <w:tcPr>
            <w:tcW w:w="451" w:type="pct"/>
            <w:noWrap/>
            <w:vAlign w:val="center"/>
            <w:hideMark/>
          </w:tcPr>
          <w:p w:rsidRPr="006D692F" w:rsidR="006D692F" w:rsidP="006D692F" w:rsidRDefault="006D692F" w14:paraId="6E9460CC" w14:textId="77777777">
            <w:pPr>
              <w:spacing w:after="0" w:line="240" w:lineRule="auto"/>
              <w:jc w:val="center"/>
              <w:rPr>
                <w:rFonts w:ascii="Verdana" w:hAnsi="Verdana" w:eastAsia="Times New Roman" w:cs="Times New Roman"/>
                <w:color w:val="000000"/>
                <w:sz w:val="18"/>
                <w:szCs w:val="18"/>
                <w:lang w:eastAsia="es-CO"/>
              </w:rPr>
            </w:pPr>
          </w:p>
        </w:tc>
        <w:tc>
          <w:tcPr>
            <w:tcW w:w="451" w:type="pct"/>
            <w:noWrap/>
            <w:vAlign w:val="center"/>
            <w:hideMark/>
          </w:tcPr>
          <w:p w:rsidRPr="006D692F" w:rsidR="006D692F" w:rsidP="006D692F" w:rsidRDefault="006D692F" w14:paraId="4D5275E8" w14:textId="77777777">
            <w:pPr>
              <w:spacing w:after="0" w:line="240" w:lineRule="auto"/>
              <w:jc w:val="center"/>
              <w:rPr>
                <w:rFonts w:ascii="Verdana" w:hAnsi="Verdana" w:eastAsia="Times New Roman" w:cs="Times New Roman"/>
                <w:color w:val="000000"/>
                <w:sz w:val="18"/>
                <w:szCs w:val="18"/>
                <w:lang w:eastAsia="es-CO"/>
              </w:rPr>
            </w:pPr>
          </w:p>
        </w:tc>
        <w:tc>
          <w:tcPr>
            <w:tcW w:w="507" w:type="pct"/>
            <w:noWrap/>
            <w:vAlign w:val="center"/>
            <w:hideMark/>
          </w:tcPr>
          <w:p w:rsidRPr="006D692F" w:rsidR="006D692F" w:rsidP="006D692F" w:rsidRDefault="006D692F" w14:paraId="6F823299"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$1.250</w:t>
            </w:r>
          </w:p>
        </w:tc>
        <w:tc>
          <w:tcPr>
            <w:tcW w:w="507" w:type="pct"/>
            <w:noWrap/>
            <w:vAlign w:val="center"/>
            <w:hideMark/>
          </w:tcPr>
          <w:p w:rsidRPr="006D692F" w:rsidR="006D692F" w:rsidP="006D692F" w:rsidRDefault="006D692F" w14:paraId="70DC184E"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$5.015</w:t>
            </w:r>
          </w:p>
        </w:tc>
        <w:tc>
          <w:tcPr>
            <w:tcW w:w="728" w:type="pct"/>
            <w:noWrap/>
            <w:vAlign w:val="center"/>
            <w:hideMark/>
          </w:tcPr>
          <w:p w:rsidRPr="006D692F" w:rsidR="006D692F" w:rsidP="006D692F" w:rsidRDefault="006D692F" w14:paraId="469D6AF0"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$256.636</w:t>
            </w:r>
          </w:p>
        </w:tc>
      </w:tr>
      <w:tr w:rsidRPr="006D692F" w:rsidR="006D692F" w:rsidTr="006D692F" w14:paraId="1B86802F" w14:textId="77777777">
        <w:trPr>
          <w:trHeight w:val="298"/>
        </w:trPr>
        <w:tc>
          <w:tcPr>
            <w:tcW w:w="654" w:type="pct"/>
            <w:noWrap/>
            <w:vAlign w:val="center"/>
            <w:hideMark/>
          </w:tcPr>
          <w:p w:rsidRPr="006D692F" w:rsidR="006D692F" w:rsidP="006D692F" w:rsidRDefault="006D692F" w14:paraId="775F9F98"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CREG</w:t>
            </w:r>
          </w:p>
        </w:tc>
        <w:tc>
          <w:tcPr>
            <w:tcW w:w="597" w:type="pct"/>
            <w:noWrap/>
            <w:vAlign w:val="center"/>
            <w:hideMark/>
          </w:tcPr>
          <w:p w:rsidRPr="006D692F" w:rsidR="006D692F" w:rsidP="006D692F" w:rsidRDefault="006D692F" w14:paraId="2A7A86AD" w14:textId="77777777">
            <w:pPr>
              <w:spacing w:after="0" w:line="240" w:lineRule="auto"/>
              <w:jc w:val="center"/>
              <w:rPr>
                <w:rFonts w:ascii="Verdana" w:hAnsi="Verdana" w:eastAsia="Times New Roman" w:cs="Times New Roman"/>
                <w:color w:val="000000"/>
                <w:sz w:val="18"/>
                <w:szCs w:val="18"/>
                <w:lang w:eastAsia="es-CO"/>
              </w:rPr>
            </w:pPr>
          </w:p>
        </w:tc>
        <w:tc>
          <w:tcPr>
            <w:tcW w:w="597" w:type="pct"/>
            <w:noWrap/>
            <w:vAlign w:val="center"/>
            <w:hideMark/>
          </w:tcPr>
          <w:p w:rsidRPr="006D692F" w:rsidR="006D692F" w:rsidP="006D692F" w:rsidRDefault="006D692F" w14:paraId="398D6973" w14:textId="77777777">
            <w:pPr>
              <w:spacing w:after="0" w:line="240" w:lineRule="auto"/>
              <w:jc w:val="center"/>
              <w:rPr>
                <w:rFonts w:ascii="Verdana" w:hAnsi="Verdana" w:eastAsia="Times New Roman" w:cs="Times New Roman"/>
                <w:color w:val="000000"/>
                <w:sz w:val="18"/>
                <w:szCs w:val="18"/>
                <w:lang w:eastAsia="es-CO"/>
              </w:rPr>
            </w:pPr>
          </w:p>
        </w:tc>
        <w:tc>
          <w:tcPr>
            <w:tcW w:w="507" w:type="pct"/>
            <w:noWrap/>
            <w:vAlign w:val="center"/>
            <w:hideMark/>
          </w:tcPr>
          <w:p w:rsidRPr="006D692F" w:rsidR="006D692F" w:rsidP="006D692F" w:rsidRDefault="006D692F" w14:paraId="01132903" w14:textId="77777777">
            <w:pPr>
              <w:spacing w:after="0" w:line="240" w:lineRule="auto"/>
              <w:jc w:val="center"/>
              <w:rPr>
                <w:rFonts w:ascii="Verdana" w:hAnsi="Verdana" w:eastAsia="Times New Roman" w:cs="Times New Roman"/>
                <w:color w:val="000000"/>
                <w:sz w:val="18"/>
                <w:szCs w:val="18"/>
                <w:lang w:eastAsia="es-CO"/>
              </w:rPr>
            </w:pPr>
          </w:p>
        </w:tc>
        <w:tc>
          <w:tcPr>
            <w:tcW w:w="451" w:type="pct"/>
            <w:noWrap/>
            <w:vAlign w:val="center"/>
            <w:hideMark/>
          </w:tcPr>
          <w:p w:rsidRPr="006D692F" w:rsidR="006D692F" w:rsidP="006D692F" w:rsidRDefault="006D692F" w14:paraId="57190F76" w14:textId="77777777">
            <w:pPr>
              <w:spacing w:after="0" w:line="240" w:lineRule="auto"/>
              <w:jc w:val="center"/>
              <w:rPr>
                <w:rFonts w:ascii="Verdana" w:hAnsi="Verdana" w:eastAsia="Times New Roman" w:cs="Times New Roman"/>
                <w:color w:val="000000"/>
                <w:sz w:val="18"/>
                <w:szCs w:val="18"/>
                <w:lang w:eastAsia="es-CO"/>
              </w:rPr>
            </w:pPr>
          </w:p>
        </w:tc>
        <w:tc>
          <w:tcPr>
            <w:tcW w:w="451" w:type="pct"/>
            <w:noWrap/>
            <w:vAlign w:val="center"/>
            <w:hideMark/>
          </w:tcPr>
          <w:p w:rsidRPr="006D692F" w:rsidR="006D692F" w:rsidP="006D692F" w:rsidRDefault="006D692F" w14:paraId="7773049F" w14:textId="77777777">
            <w:pPr>
              <w:spacing w:after="0" w:line="240" w:lineRule="auto"/>
              <w:jc w:val="center"/>
              <w:rPr>
                <w:rFonts w:ascii="Verdana" w:hAnsi="Verdana" w:eastAsia="Times New Roman" w:cs="Times New Roman"/>
                <w:color w:val="000000"/>
                <w:sz w:val="18"/>
                <w:szCs w:val="18"/>
                <w:lang w:eastAsia="es-CO"/>
              </w:rPr>
            </w:pPr>
          </w:p>
        </w:tc>
        <w:tc>
          <w:tcPr>
            <w:tcW w:w="507" w:type="pct"/>
            <w:noWrap/>
            <w:vAlign w:val="center"/>
            <w:hideMark/>
          </w:tcPr>
          <w:p w:rsidRPr="006D692F" w:rsidR="006D692F" w:rsidP="006D692F" w:rsidRDefault="006D692F" w14:paraId="12853C81"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$9.576</w:t>
            </w:r>
          </w:p>
        </w:tc>
        <w:tc>
          <w:tcPr>
            <w:tcW w:w="507" w:type="pct"/>
            <w:noWrap/>
            <w:vAlign w:val="center"/>
            <w:hideMark/>
          </w:tcPr>
          <w:p w:rsidRPr="006D692F" w:rsidR="006D692F" w:rsidP="006D692F" w:rsidRDefault="006D692F" w14:paraId="1C6ED457"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$5.194</w:t>
            </w:r>
          </w:p>
        </w:tc>
        <w:tc>
          <w:tcPr>
            <w:tcW w:w="728" w:type="pct"/>
            <w:noWrap/>
            <w:vAlign w:val="center"/>
            <w:hideMark/>
          </w:tcPr>
          <w:p w:rsidRPr="006D692F" w:rsidR="006D692F" w:rsidP="006D692F" w:rsidRDefault="006D692F" w14:paraId="62D4DF47"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$ 14.770</w:t>
            </w:r>
          </w:p>
        </w:tc>
      </w:tr>
      <w:tr w:rsidRPr="006D692F" w:rsidR="006D692F" w:rsidTr="006D692F" w14:paraId="5E4A0027" w14:textId="77777777">
        <w:trPr>
          <w:trHeight w:val="298"/>
        </w:trPr>
        <w:tc>
          <w:tcPr>
            <w:tcW w:w="654" w:type="pct"/>
            <w:vAlign w:val="center"/>
            <w:hideMark/>
          </w:tcPr>
          <w:p w:rsidRPr="006D692F" w:rsidR="006D692F" w:rsidP="006D692F" w:rsidRDefault="006D692F" w14:paraId="11F0594D"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MME</w:t>
            </w:r>
          </w:p>
        </w:tc>
        <w:tc>
          <w:tcPr>
            <w:tcW w:w="597" w:type="pct"/>
            <w:noWrap/>
            <w:vAlign w:val="center"/>
            <w:hideMark/>
          </w:tcPr>
          <w:p w:rsidRPr="006D692F" w:rsidR="006D692F" w:rsidP="006D692F" w:rsidRDefault="006D692F" w14:paraId="4C9EAABA"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$1.353.130</w:t>
            </w:r>
          </w:p>
        </w:tc>
        <w:tc>
          <w:tcPr>
            <w:tcW w:w="597" w:type="pct"/>
            <w:noWrap/>
            <w:vAlign w:val="center"/>
            <w:hideMark/>
          </w:tcPr>
          <w:p w:rsidRPr="006D692F" w:rsidR="006D692F" w:rsidP="006D692F" w:rsidRDefault="006D692F" w14:paraId="7E086D8B"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$5.542.337</w:t>
            </w:r>
          </w:p>
        </w:tc>
        <w:tc>
          <w:tcPr>
            <w:tcW w:w="507" w:type="pct"/>
            <w:noWrap/>
            <w:vAlign w:val="center"/>
            <w:hideMark/>
          </w:tcPr>
          <w:p w:rsidRPr="006D692F" w:rsidR="006D692F" w:rsidP="006D692F" w:rsidRDefault="006D692F" w14:paraId="245F74BE"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$80.573</w:t>
            </w:r>
          </w:p>
        </w:tc>
        <w:tc>
          <w:tcPr>
            <w:tcW w:w="451" w:type="pct"/>
            <w:noWrap/>
            <w:vAlign w:val="center"/>
            <w:hideMark/>
          </w:tcPr>
          <w:p w:rsidRPr="006D692F" w:rsidR="006D692F" w:rsidP="006D692F" w:rsidRDefault="006D692F" w14:paraId="7D0E719D"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$42.853</w:t>
            </w:r>
          </w:p>
        </w:tc>
        <w:tc>
          <w:tcPr>
            <w:tcW w:w="451" w:type="pct"/>
            <w:noWrap/>
            <w:vAlign w:val="center"/>
            <w:hideMark/>
          </w:tcPr>
          <w:p w:rsidRPr="006D692F" w:rsidR="006D692F" w:rsidP="006D692F" w:rsidRDefault="006D692F" w14:paraId="2E299703"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$50.093</w:t>
            </w:r>
          </w:p>
        </w:tc>
        <w:tc>
          <w:tcPr>
            <w:tcW w:w="507" w:type="pct"/>
            <w:noWrap/>
            <w:vAlign w:val="center"/>
            <w:hideMark/>
          </w:tcPr>
          <w:p w:rsidRPr="006D692F" w:rsidR="006D692F" w:rsidP="006D692F" w:rsidRDefault="006D692F" w14:paraId="0C93150D"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$34.527</w:t>
            </w:r>
          </w:p>
        </w:tc>
        <w:tc>
          <w:tcPr>
            <w:tcW w:w="507" w:type="pct"/>
            <w:noWrap/>
            <w:vAlign w:val="center"/>
            <w:hideMark/>
          </w:tcPr>
          <w:p w:rsidRPr="006D692F" w:rsidR="006D692F" w:rsidP="006D692F" w:rsidRDefault="006D692F" w14:paraId="019B47BA"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$50.450</w:t>
            </w:r>
          </w:p>
        </w:tc>
        <w:tc>
          <w:tcPr>
            <w:tcW w:w="728" w:type="pct"/>
            <w:noWrap/>
            <w:vAlign w:val="center"/>
            <w:hideMark/>
          </w:tcPr>
          <w:p w:rsidRPr="006D692F" w:rsidR="006D692F" w:rsidP="006D692F" w:rsidRDefault="006D692F" w14:paraId="3D1B604B"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$7.153.966</w:t>
            </w:r>
          </w:p>
        </w:tc>
      </w:tr>
      <w:tr w:rsidRPr="006D692F" w:rsidR="006D692F" w:rsidTr="006D692F" w14:paraId="2335CB58" w14:textId="77777777">
        <w:trPr>
          <w:trHeight w:val="298"/>
        </w:trPr>
        <w:tc>
          <w:tcPr>
            <w:tcW w:w="654" w:type="pct"/>
            <w:vAlign w:val="center"/>
            <w:hideMark/>
          </w:tcPr>
          <w:p w:rsidRPr="006D692F" w:rsidR="006D692F" w:rsidP="006D692F" w:rsidRDefault="006D692F" w14:paraId="57F4B47A"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SGC</w:t>
            </w:r>
          </w:p>
        </w:tc>
        <w:tc>
          <w:tcPr>
            <w:tcW w:w="597" w:type="pct"/>
            <w:noWrap/>
            <w:vAlign w:val="center"/>
            <w:hideMark/>
          </w:tcPr>
          <w:p w:rsidRPr="006D692F" w:rsidR="006D692F" w:rsidP="006D692F" w:rsidRDefault="006D692F" w14:paraId="61BCA421" w14:textId="77777777">
            <w:pPr>
              <w:spacing w:after="0" w:line="240" w:lineRule="auto"/>
              <w:jc w:val="center"/>
              <w:rPr>
                <w:rFonts w:ascii="Verdana" w:hAnsi="Verdana" w:eastAsia="Times New Roman" w:cs="Times New Roman"/>
                <w:color w:val="000000"/>
                <w:sz w:val="18"/>
                <w:szCs w:val="18"/>
                <w:lang w:eastAsia="es-CO"/>
              </w:rPr>
            </w:pPr>
          </w:p>
        </w:tc>
        <w:tc>
          <w:tcPr>
            <w:tcW w:w="597" w:type="pct"/>
            <w:noWrap/>
            <w:vAlign w:val="center"/>
            <w:hideMark/>
          </w:tcPr>
          <w:p w:rsidRPr="006D692F" w:rsidR="006D692F" w:rsidP="006D692F" w:rsidRDefault="006D692F" w14:paraId="1CF170D7" w14:textId="77777777">
            <w:pPr>
              <w:spacing w:after="0" w:line="240" w:lineRule="auto"/>
              <w:jc w:val="center"/>
              <w:rPr>
                <w:rFonts w:ascii="Verdana" w:hAnsi="Verdana" w:eastAsia="Times New Roman" w:cs="Times New Roman"/>
                <w:color w:val="000000"/>
                <w:sz w:val="18"/>
                <w:szCs w:val="18"/>
                <w:lang w:eastAsia="es-CO"/>
              </w:rPr>
            </w:pPr>
          </w:p>
        </w:tc>
        <w:tc>
          <w:tcPr>
            <w:tcW w:w="507" w:type="pct"/>
            <w:noWrap/>
            <w:vAlign w:val="center"/>
            <w:hideMark/>
          </w:tcPr>
          <w:p w:rsidRPr="006D692F" w:rsidR="006D692F" w:rsidP="006D692F" w:rsidRDefault="006D692F" w14:paraId="75829C54" w14:textId="77777777">
            <w:pPr>
              <w:spacing w:after="0" w:line="240" w:lineRule="auto"/>
              <w:jc w:val="center"/>
              <w:rPr>
                <w:rFonts w:ascii="Verdana" w:hAnsi="Verdana" w:eastAsia="Times New Roman" w:cs="Times New Roman"/>
                <w:color w:val="000000"/>
                <w:sz w:val="18"/>
                <w:szCs w:val="18"/>
                <w:lang w:eastAsia="es-CO"/>
              </w:rPr>
            </w:pPr>
          </w:p>
        </w:tc>
        <w:tc>
          <w:tcPr>
            <w:tcW w:w="451" w:type="pct"/>
            <w:noWrap/>
            <w:vAlign w:val="center"/>
            <w:hideMark/>
          </w:tcPr>
          <w:p w:rsidRPr="006D692F" w:rsidR="006D692F" w:rsidP="006D692F" w:rsidRDefault="006D692F" w14:paraId="2EB43382" w14:textId="77777777">
            <w:pPr>
              <w:spacing w:after="0" w:line="240" w:lineRule="auto"/>
              <w:jc w:val="center"/>
              <w:rPr>
                <w:rFonts w:ascii="Verdana" w:hAnsi="Verdana" w:eastAsia="Times New Roman" w:cs="Times New Roman"/>
                <w:color w:val="000000"/>
                <w:sz w:val="18"/>
                <w:szCs w:val="18"/>
                <w:lang w:eastAsia="es-CO"/>
              </w:rPr>
            </w:pPr>
          </w:p>
        </w:tc>
        <w:tc>
          <w:tcPr>
            <w:tcW w:w="451" w:type="pct"/>
            <w:noWrap/>
            <w:vAlign w:val="center"/>
            <w:hideMark/>
          </w:tcPr>
          <w:p w:rsidRPr="006D692F" w:rsidR="006D692F" w:rsidP="006D692F" w:rsidRDefault="006D692F" w14:paraId="5228D8C5" w14:textId="77777777">
            <w:pPr>
              <w:spacing w:after="0" w:line="240" w:lineRule="auto"/>
              <w:jc w:val="center"/>
              <w:rPr>
                <w:rFonts w:ascii="Verdana" w:hAnsi="Verdana" w:eastAsia="Times New Roman" w:cs="Times New Roman"/>
                <w:color w:val="000000"/>
                <w:sz w:val="18"/>
                <w:szCs w:val="18"/>
                <w:lang w:eastAsia="es-CO"/>
              </w:rPr>
            </w:pPr>
          </w:p>
        </w:tc>
        <w:tc>
          <w:tcPr>
            <w:tcW w:w="507" w:type="pct"/>
            <w:noWrap/>
            <w:vAlign w:val="center"/>
            <w:hideMark/>
          </w:tcPr>
          <w:p w:rsidRPr="006D692F" w:rsidR="006D692F" w:rsidP="006D692F" w:rsidRDefault="006D692F" w14:paraId="0410CF8B"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$47.182</w:t>
            </w:r>
          </w:p>
        </w:tc>
        <w:tc>
          <w:tcPr>
            <w:tcW w:w="507" w:type="pct"/>
            <w:noWrap/>
            <w:vAlign w:val="center"/>
            <w:hideMark/>
          </w:tcPr>
          <w:p w:rsidRPr="006D692F" w:rsidR="006D692F" w:rsidP="006D692F" w:rsidRDefault="006D692F" w14:paraId="13F6B009"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$14.239</w:t>
            </w:r>
          </w:p>
        </w:tc>
        <w:tc>
          <w:tcPr>
            <w:tcW w:w="728" w:type="pct"/>
            <w:noWrap/>
            <w:vAlign w:val="center"/>
            <w:hideMark/>
          </w:tcPr>
          <w:p w:rsidRPr="006D692F" w:rsidR="006D692F" w:rsidP="006D692F" w:rsidRDefault="006D692F" w14:paraId="79CC0702"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$61.421</w:t>
            </w:r>
          </w:p>
        </w:tc>
      </w:tr>
      <w:tr w:rsidRPr="006D692F" w:rsidR="006D692F" w:rsidTr="006D692F" w14:paraId="31CA0044" w14:textId="77777777">
        <w:trPr>
          <w:trHeight w:val="298"/>
        </w:trPr>
        <w:tc>
          <w:tcPr>
            <w:tcW w:w="654" w:type="pct"/>
            <w:noWrap/>
            <w:vAlign w:val="center"/>
            <w:hideMark/>
          </w:tcPr>
          <w:p w:rsidRPr="006D692F" w:rsidR="006D692F" w:rsidP="006D692F" w:rsidRDefault="006D692F" w14:paraId="61C6ACEF"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UPME</w:t>
            </w:r>
          </w:p>
        </w:tc>
        <w:tc>
          <w:tcPr>
            <w:tcW w:w="597" w:type="pct"/>
            <w:noWrap/>
            <w:vAlign w:val="center"/>
            <w:hideMark/>
          </w:tcPr>
          <w:p w:rsidRPr="006D692F" w:rsidR="006D692F" w:rsidP="006D692F" w:rsidRDefault="006D692F" w14:paraId="1DE52EFC" w14:textId="77777777">
            <w:pPr>
              <w:spacing w:after="0" w:line="240" w:lineRule="auto"/>
              <w:jc w:val="center"/>
              <w:rPr>
                <w:rFonts w:ascii="Verdana" w:hAnsi="Verdana" w:eastAsia="Times New Roman" w:cs="Times New Roman"/>
                <w:color w:val="000000"/>
                <w:sz w:val="18"/>
                <w:szCs w:val="18"/>
                <w:lang w:eastAsia="es-CO"/>
              </w:rPr>
            </w:pPr>
          </w:p>
        </w:tc>
        <w:tc>
          <w:tcPr>
            <w:tcW w:w="597" w:type="pct"/>
            <w:noWrap/>
            <w:vAlign w:val="center"/>
            <w:hideMark/>
          </w:tcPr>
          <w:p w:rsidRPr="006D692F" w:rsidR="006D692F" w:rsidP="006D692F" w:rsidRDefault="006D692F" w14:paraId="7C482B12"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$7.000</w:t>
            </w:r>
          </w:p>
        </w:tc>
        <w:tc>
          <w:tcPr>
            <w:tcW w:w="507" w:type="pct"/>
            <w:noWrap/>
            <w:vAlign w:val="center"/>
            <w:hideMark/>
          </w:tcPr>
          <w:p w:rsidRPr="006D692F" w:rsidR="006D692F" w:rsidP="006D692F" w:rsidRDefault="006D692F" w14:paraId="77A95436"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$ 2.800</w:t>
            </w:r>
          </w:p>
        </w:tc>
        <w:tc>
          <w:tcPr>
            <w:tcW w:w="451" w:type="pct"/>
            <w:noWrap/>
            <w:vAlign w:val="center"/>
            <w:hideMark/>
          </w:tcPr>
          <w:p w:rsidRPr="006D692F" w:rsidR="006D692F" w:rsidP="006D692F" w:rsidRDefault="006D692F" w14:paraId="3610936E" w14:textId="77777777">
            <w:pPr>
              <w:spacing w:after="0" w:line="240" w:lineRule="auto"/>
              <w:jc w:val="center"/>
              <w:rPr>
                <w:rFonts w:ascii="Verdana" w:hAnsi="Verdana" w:eastAsia="Times New Roman" w:cs="Times New Roman"/>
                <w:color w:val="000000"/>
                <w:sz w:val="18"/>
                <w:szCs w:val="18"/>
                <w:lang w:eastAsia="es-CO"/>
              </w:rPr>
            </w:pPr>
          </w:p>
        </w:tc>
        <w:tc>
          <w:tcPr>
            <w:tcW w:w="451" w:type="pct"/>
            <w:noWrap/>
            <w:vAlign w:val="center"/>
            <w:hideMark/>
          </w:tcPr>
          <w:p w:rsidRPr="006D692F" w:rsidR="006D692F" w:rsidP="006D692F" w:rsidRDefault="006D692F" w14:paraId="34F4A785" w14:textId="77777777">
            <w:pPr>
              <w:spacing w:after="0" w:line="240" w:lineRule="auto"/>
              <w:jc w:val="center"/>
              <w:rPr>
                <w:rFonts w:ascii="Verdana" w:hAnsi="Verdana" w:eastAsia="Times New Roman" w:cs="Times New Roman"/>
                <w:color w:val="000000"/>
                <w:sz w:val="18"/>
                <w:szCs w:val="18"/>
                <w:lang w:eastAsia="es-CO"/>
              </w:rPr>
            </w:pPr>
          </w:p>
        </w:tc>
        <w:tc>
          <w:tcPr>
            <w:tcW w:w="507" w:type="pct"/>
            <w:noWrap/>
            <w:vAlign w:val="center"/>
            <w:hideMark/>
          </w:tcPr>
          <w:p w:rsidRPr="006D692F" w:rsidR="006D692F" w:rsidP="006D692F" w:rsidRDefault="006D692F" w14:paraId="28CB7AE0"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$11.200</w:t>
            </w:r>
          </w:p>
        </w:tc>
        <w:tc>
          <w:tcPr>
            <w:tcW w:w="507" w:type="pct"/>
            <w:noWrap/>
            <w:vAlign w:val="center"/>
            <w:hideMark/>
          </w:tcPr>
          <w:p w:rsidRPr="006D692F" w:rsidR="006D692F" w:rsidP="006D692F" w:rsidRDefault="006D692F" w14:paraId="2135A9E2"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$6.168</w:t>
            </w:r>
          </w:p>
        </w:tc>
        <w:tc>
          <w:tcPr>
            <w:tcW w:w="728" w:type="pct"/>
            <w:noWrap/>
            <w:vAlign w:val="center"/>
            <w:hideMark/>
          </w:tcPr>
          <w:p w:rsidRPr="006D692F" w:rsidR="006D692F" w:rsidP="006D692F" w:rsidRDefault="006D692F" w14:paraId="22C31A05"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$27.168</w:t>
            </w:r>
          </w:p>
        </w:tc>
      </w:tr>
      <w:tr w:rsidRPr="006D692F" w:rsidR="006D692F" w:rsidTr="006D692F" w14:paraId="52220203" w14:textId="77777777">
        <w:trPr>
          <w:trHeight w:val="298"/>
        </w:trPr>
        <w:tc>
          <w:tcPr>
            <w:tcW w:w="654" w:type="pct"/>
            <w:shd w:val="clear" w:color="000000" w:fill="BFBFBF"/>
            <w:noWrap/>
            <w:vAlign w:val="center"/>
            <w:hideMark/>
          </w:tcPr>
          <w:p w:rsidRPr="006D692F" w:rsidR="006D692F" w:rsidP="006D692F" w:rsidRDefault="006D692F" w14:paraId="2D79115D" w14:textId="77777777">
            <w:pPr>
              <w:spacing w:after="0" w:line="240" w:lineRule="auto"/>
              <w:jc w:val="center"/>
              <w:rPr>
                <w:rFonts w:ascii="Verdana" w:hAnsi="Verdana" w:eastAsia="Times New Roman" w:cs="Times New Roman"/>
                <w:b/>
                <w:bCs/>
                <w:color w:val="000000"/>
                <w:sz w:val="18"/>
                <w:szCs w:val="18"/>
                <w:lang w:eastAsia="es-CO"/>
              </w:rPr>
            </w:pPr>
            <w:r w:rsidRPr="006D692F">
              <w:rPr>
                <w:rFonts w:ascii="Verdana" w:hAnsi="Verdana" w:eastAsia="Times New Roman" w:cs="Times New Roman"/>
                <w:b/>
                <w:bCs/>
                <w:color w:val="000000"/>
                <w:sz w:val="18"/>
                <w:szCs w:val="18"/>
                <w:lang w:eastAsia="es-CO"/>
              </w:rPr>
              <w:t>Total</w:t>
            </w:r>
          </w:p>
        </w:tc>
        <w:tc>
          <w:tcPr>
            <w:tcW w:w="597" w:type="pct"/>
            <w:noWrap/>
            <w:vAlign w:val="center"/>
            <w:hideMark/>
          </w:tcPr>
          <w:p w:rsidRPr="006D692F" w:rsidR="006D692F" w:rsidP="006D692F" w:rsidRDefault="006D692F" w14:paraId="189BDC67"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$1.353.130</w:t>
            </w:r>
          </w:p>
        </w:tc>
        <w:tc>
          <w:tcPr>
            <w:tcW w:w="597" w:type="pct"/>
            <w:noWrap/>
            <w:vAlign w:val="center"/>
            <w:hideMark/>
          </w:tcPr>
          <w:p w:rsidRPr="006D692F" w:rsidR="006D692F" w:rsidP="006D692F" w:rsidRDefault="006D692F" w14:paraId="2E631710"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$5.799.707</w:t>
            </w:r>
          </w:p>
        </w:tc>
        <w:tc>
          <w:tcPr>
            <w:tcW w:w="507" w:type="pct"/>
            <w:noWrap/>
            <w:vAlign w:val="center"/>
            <w:hideMark/>
          </w:tcPr>
          <w:p w:rsidRPr="006D692F" w:rsidR="006D692F" w:rsidP="006D692F" w:rsidRDefault="006D692F" w14:paraId="2A788AC5"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$135.937</w:t>
            </w:r>
          </w:p>
        </w:tc>
        <w:tc>
          <w:tcPr>
            <w:tcW w:w="451" w:type="pct"/>
            <w:noWrap/>
            <w:vAlign w:val="center"/>
            <w:hideMark/>
          </w:tcPr>
          <w:p w:rsidRPr="006D692F" w:rsidR="006D692F" w:rsidP="006D692F" w:rsidRDefault="006D692F" w14:paraId="6D7065C1"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$91.153</w:t>
            </w:r>
          </w:p>
        </w:tc>
        <w:tc>
          <w:tcPr>
            <w:tcW w:w="451" w:type="pct"/>
            <w:noWrap/>
            <w:vAlign w:val="center"/>
            <w:hideMark/>
          </w:tcPr>
          <w:p w:rsidRPr="006D692F" w:rsidR="006D692F" w:rsidP="006D692F" w:rsidRDefault="006D692F" w14:paraId="0BFC942E"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$56.236</w:t>
            </w:r>
          </w:p>
        </w:tc>
        <w:tc>
          <w:tcPr>
            <w:tcW w:w="507" w:type="pct"/>
            <w:noWrap/>
            <w:vAlign w:val="center"/>
            <w:hideMark/>
          </w:tcPr>
          <w:p w:rsidRPr="006D692F" w:rsidR="006D692F" w:rsidP="006D692F" w:rsidRDefault="006D692F" w14:paraId="73CD4DF3"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$431.340</w:t>
            </w:r>
          </w:p>
        </w:tc>
        <w:tc>
          <w:tcPr>
            <w:tcW w:w="507" w:type="pct"/>
            <w:noWrap/>
            <w:vAlign w:val="center"/>
            <w:hideMark/>
          </w:tcPr>
          <w:p w:rsidRPr="006D692F" w:rsidR="006D692F" w:rsidP="006D692F" w:rsidRDefault="006D692F" w14:paraId="263447AF"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$185.931</w:t>
            </w:r>
          </w:p>
        </w:tc>
        <w:tc>
          <w:tcPr>
            <w:tcW w:w="728" w:type="pct"/>
            <w:noWrap/>
            <w:vAlign w:val="center"/>
            <w:hideMark/>
          </w:tcPr>
          <w:p w:rsidRPr="006D692F" w:rsidR="006D692F" w:rsidP="006D692F" w:rsidRDefault="006D692F" w14:paraId="3EAEC756" w14:textId="77777777">
            <w:pPr>
              <w:spacing w:after="0" w:line="240" w:lineRule="auto"/>
              <w:jc w:val="center"/>
              <w:rPr>
                <w:rFonts w:ascii="Verdana" w:hAnsi="Verdana" w:eastAsia="Times New Roman" w:cs="Times New Roman"/>
                <w:color w:val="000000"/>
                <w:sz w:val="18"/>
                <w:szCs w:val="18"/>
                <w:lang w:eastAsia="es-CO"/>
              </w:rPr>
            </w:pPr>
            <w:r w:rsidRPr="006D692F">
              <w:rPr>
                <w:rFonts w:ascii="Verdana" w:hAnsi="Verdana" w:eastAsia="Times New Roman" w:cs="Times New Roman"/>
                <w:color w:val="000000"/>
                <w:sz w:val="18"/>
                <w:szCs w:val="18"/>
                <w:lang w:eastAsia="es-CO"/>
              </w:rPr>
              <w:t>$8.053.438</w:t>
            </w:r>
          </w:p>
        </w:tc>
      </w:tr>
    </w:tbl>
    <w:p w:rsidRPr="006D692F" w:rsidR="006D692F" w:rsidP="001D2D91" w:rsidRDefault="006D692F" w14:paraId="7DB409C6" w14:textId="4DC3A5DE">
      <w:pPr>
        <w:pStyle w:val="Fuente"/>
        <w:spacing w:after="0" w:line="360" w:lineRule="auto"/>
        <w:rPr>
          <w:rFonts w:ascii="Verdana" w:hAnsi="Verdana"/>
        </w:rPr>
      </w:pPr>
      <w:r w:rsidRPr="30CF4445" w:rsidR="778247E5">
        <w:rPr>
          <w:rFonts w:ascii="Verdana" w:hAnsi="Verdana"/>
        </w:rPr>
        <w:t>Fuente: Elaboración propia del Grupo de Programación y Gestión Estratégica de Proyectos con</w:t>
      </w:r>
      <w:r w:rsidRPr="30CF4445" w:rsidR="778247E5">
        <w:rPr>
          <w:rFonts w:ascii="Verdana" w:hAnsi="Verdana"/>
        </w:rPr>
        <w:t xml:space="preserve"> </w:t>
      </w:r>
      <w:r w:rsidRPr="30CF4445" w:rsidR="778247E5">
        <w:rPr>
          <w:rFonts w:ascii="Verdana" w:hAnsi="Verdana"/>
        </w:rPr>
        <w:t>información del SIIF Nación del MinHacienda. - Apropiación inicial decreto de liquidación.</w:t>
      </w:r>
    </w:p>
    <w:p w:rsidR="001D2D91" w:rsidP="001D2D91" w:rsidRDefault="001D2D91" w14:paraId="7EE7E537" w14:textId="77777777">
      <w:pPr>
        <w:spacing w:after="0" w:line="360" w:lineRule="auto"/>
        <w:jc w:val="both"/>
        <w:rPr>
          <w:rFonts w:ascii="Verdana" w:hAnsi="Verdana"/>
          <w:sz w:val="24"/>
          <w:szCs w:val="24"/>
        </w:rPr>
      </w:pPr>
    </w:p>
    <w:p w:rsidR="006D692F" w:rsidP="006A0A13" w:rsidRDefault="006D692F" w14:paraId="21516B97" w14:textId="77777777">
      <w:pPr>
        <w:spacing w:after="0" w:line="360" w:lineRule="auto"/>
        <w:jc w:val="both"/>
        <w:rPr>
          <w:rFonts w:ascii="Verdana" w:hAnsi="Verdana"/>
          <w:sz w:val="24"/>
          <w:szCs w:val="24"/>
        </w:rPr>
      </w:pPr>
      <w:r w:rsidRPr="006D692F">
        <w:rPr>
          <w:rFonts w:ascii="Verdana" w:hAnsi="Verdana"/>
          <w:sz w:val="24"/>
          <w:szCs w:val="24"/>
        </w:rPr>
        <w:t>La anterior asignación de apropiación se distribuye en el Ministerio de Minas y Energía y sus entidades adscritas de la siguiente manera:</w:t>
      </w:r>
    </w:p>
    <w:p w:rsidR="006D692F" w:rsidP="006A0A13" w:rsidRDefault="006D692F" w14:paraId="4B993607" w14:textId="77777777">
      <w:pPr>
        <w:spacing w:after="0" w:line="360" w:lineRule="auto"/>
        <w:jc w:val="both"/>
        <w:rPr>
          <w:rFonts w:ascii="Verdana" w:hAnsi="Verdana"/>
          <w:sz w:val="24"/>
          <w:szCs w:val="24"/>
        </w:rPr>
      </w:pPr>
    </w:p>
    <w:p w:rsidRPr="00DD2F6A" w:rsidR="006D692F" w:rsidP="180099B3" w:rsidRDefault="128C860B" w14:paraId="4FBA90E5" w14:textId="77777777">
      <w:pPr>
        <w:pStyle w:val="Descripcin"/>
        <w:spacing w:after="0"/>
        <w:jc w:val="center"/>
        <w:rPr>
          <w:rFonts w:ascii="Verdana" w:hAnsi="Verdana"/>
          <w:i w:val="0"/>
          <w:iCs w:val="0"/>
        </w:rPr>
      </w:pPr>
      <w:r w:rsidRPr="180099B3">
        <w:rPr>
          <w:rFonts w:ascii="Verdana" w:hAnsi="Verdana"/>
          <w:i w:val="0"/>
          <w:iCs w:val="0"/>
          <w:color w:val="auto"/>
        </w:rPr>
        <w:t>Tabla</w:t>
      </w:r>
      <w:r w:rsidRPr="180099B3" w:rsidR="30F40458">
        <w:rPr>
          <w:rFonts w:ascii="Verdana" w:hAnsi="Verdana"/>
          <w:i w:val="0"/>
          <w:iCs w:val="0"/>
          <w:color w:val="auto"/>
        </w:rPr>
        <w:t xml:space="preserve"> No. 3</w:t>
      </w:r>
      <w:r w:rsidRPr="180099B3" w:rsidR="40C7DC86">
        <w:rPr>
          <w:rFonts w:ascii="Verdana" w:hAnsi="Verdana"/>
          <w:i w:val="0"/>
          <w:iCs w:val="0"/>
          <w:color w:val="auto"/>
        </w:rPr>
        <w:t>8</w:t>
      </w:r>
      <w:r w:rsidRPr="180099B3" w:rsidR="30F40458">
        <w:rPr>
          <w:rFonts w:ascii="Verdana" w:hAnsi="Verdana"/>
          <w:i w:val="0"/>
          <w:iCs w:val="0"/>
          <w:color w:val="auto"/>
        </w:rPr>
        <w:t>.</w:t>
      </w:r>
      <w:r w:rsidRPr="180099B3">
        <w:rPr>
          <w:rFonts w:ascii="Verdana" w:hAnsi="Verdana"/>
          <w:i w:val="0"/>
          <w:iCs w:val="0"/>
          <w:color w:val="auto"/>
        </w:rPr>
        <w:t xml:space="preserve"> Distribución de la Apropiación del Presupuesto General de la Nación 2024 para el Sector Minero Energético.</w:t>
      </w:r>
    </w:p>
    <w:tbl>
      <w:tblPr>
        <w:tblW w:w="3700" w:type="dxa"/>
        <w:jc w:val="center"/>
        <w:tblCellMar>
          <w:left w:w="70" w:type="dxa"/>
          <w:right w:w="70" w:type="dxa"/>
        </w:tblCellMar>
        <w:tblLook w:val="04A0" w:firstRow="1" w:lastRow="0" w:firstColumn="1" w:lastColumn="0" w:noHBand="0" w:noVBand="1"/>
      </w:tblPr>
      <w:tblGrid>
        <w:gridCol w:w="1200"/>
        <w:gridCol w:w="2500"/>
      </w:tblGrid>
      <w:tr w:rsidRPr="00DD2F6A" w:rsidR="006D692F" w:rsidTr="00DD2F6A" w14:paraId="77CCB360" w14:textId="77777777">
        <w:trPr>
          <w:trHeight w:val="460"/>
          <w:jc w:val="center"/>
        </w:trPr>
        <w:tc>
          <w:tcPr>
            <w:tcW w:w="1200" w:type="dxa"/>
            <w:tcBorders>
              <w:top w:val="single" w:color="auto" w:sz="4" w:space="0"/>
              <w:left w:val="single" w:color="auto" w:sz="4" w:space="0"/>
              <w:bottom w:val="single" w:color="auto" w:sz="4" w:space="0"/>
              <w:right w:val="single" w:color="auto" w:sz="4" w:space="0"/>
            </w:tcBorders>
            <w:shd w:val="clear" w:color="auto" w:fill="A6A6A6" w:themeFill="background1" w:themeFillShade="A6"/>
            <w:vAlign w:val="center"/>
            <w:hideMark/>
          </w:tcPr>
          <w:p w:rsidRPr="00DD2F6A" w:rsidR="006D692F" w:rsidP="00DD2F6A" w:rsidRDefault="006D692F" w14:paraId="43557FAD" w14:textId="77777777">
            <w:pPr>
              <w:spacing w:after="0" w:line="240" w:lineRule="auto"/>
              <w:jc w:val="center"/>
              <w:rPr>
                <w:rFonts w:ascii="Verdana" w:hAnsi="Verdana" w:eastAsia="Times New Roman" w:cs="Times New Roman"/>
                <w:b/>
                <w:bCs/>
                <w:color w:val="000000"/>
                <w:sz w:val="18"/>
                <w:szCs w:val="18"/>
                <w:lang w:eastAsia="es-CO"/>
              </w:rPr>
            </w:pPr>
            <w:r w:rsidRPr="00DD2F6A">
              <w:rPr>
                <w:rFonts w:ascii="Verdana" w:hAnsi="Verdana" w:eastAsia="Times New Roman" w:cs="Times New Roman"/>
                <w:b/>
                <w:bCs/>
                <w:color w:val="000000"/>
                <w:sz w:val="18"/>
                <w:szCs w:val="18"/>
                <w:lang w:eastAsia="es-CO"/>
              </w:rPr>
              <w:t>ENTIDAD</w:t>
            </w:r>
          </w:p>
        </w:tc>
        <w:tc>
          <w:tcPr>
            <w:tcW w:w="2500" w:type="dxa"/>
            <w:tcBorders>
              <w:top w:val="single" w:color="auto" w:sz="4" w:space="0"/>
              <w:left w:val="nil"/>
              <w:bottom w:val="single" w:color="auto" w:sz="4" w:space="0"/>
              <w:right w:val="single" w:color="auto" w:sz="4" w:space="0"/>
            </w:tcBorders>
            <w:shd w:val="clear" w:color="auto" w:fill="A6A6A6" w:themeFill="background1" w:themeFillShade="A6"/>
            <w:vAlign w:val="center"/>
            <w:hideMark/>
          </w:tcPr>
          <w:p w:rsidRPr="00DD2F6A" w:rsidR="006D692F" w:rsidP="00DD2F6A" w:rsidRDefault="006D692F" w14:paraId="420FEB8F" w14:textId="77777777">
            <w:pPr>
              <w:spacing w:after="0" w:line="240" w:lineRule="auto"/>
              <w:jc w:val="center"/>
              <w:rPr>
                <w:rFonts w:ascii="Verdana" w:hAnsi="Verdana" w:eastAsia="Times New Roman" w:cs="Times New Roman"/>
                <w:b/>
                <w:bCs/>
                <w:color w:val="000000"/>
                <w:sz w:val="18"/>
                <w:szCs w:val="18"/>
                <w:lang w:eastAsia="es-CO"/>
              </w:rPr>
            </w:pPr>
            <w:r w:rsidRPr="00DD2F6A">
              <w:rPr>
                <w:rFonts w:ascii="Verdana" w:hAnsi="Verdana" w:eastAsia="Times New Roman" w:cs="Times New Roman"/>
                <w:b/>
                <w:bCs/>
                <w:color w:val="000000"/>
                <w:sz w:val="18"/>
                <w:szCs w:val="18"/>
                <w:lang w:eastAsia="es-CO"/>
              </w:rPr>
              <w:t>Apropiación Inicial 2024</w:t>
            </w:r>
          </w:p>
        </w:tc>
      </w:tr>
      <w:tr w:rsidRPr="00DD2F6A" w:rsidR="006D692F" w14:paraId="2A12AF5B" w14:textId="77777777">
        <w:trPr>
          <w:trHeight w:val="290"/>
          <w:jc w:val="center"/>
        </w:trPr>
        <w:tc>
          <w:tcPr>
            <w:tcW w:w="1200" w:type="dxa"/>
            <w:tcBorders>
              <w:top w:val="nil"/>
              <w:left w:val="single" w:color="auto" w:sz="4" w:space="0"/>
              <w:bottom w:val="single" w:color="auto" w:sz="4" w:space="0"/>
              <w:right w:val="single" w:color="auto" w:sz="4" w:space="0"/>
            </w:tcBorders>
            <w:noWrap/>
            <w:vAlign w:val="center"/>
            <w:hideMark/>
          </w:tcPr>
          <w:p w:rsidRPr="00DD2F6A" w:rsidR="006D692F" w:rsidP="00DD2F6A" w:rsidRDefault="006D692F" w14:paraId="030A4F55" w14:textId="77777777">
            <w:pPr>
              <w:spacing w:after="0" w:line="240" w:lineRule="auto"/>
              <w:jc w:val="center"/>
              <w:rPr>
                <w:rFonts w:ascii="Verdana" w:hAnsi="Verdana" w:eastAsia="Times New Roman" w:cs="Times New Roman"/>
                <w:color w:val="000000"/>
                <w:sz w:val="18"/>
                <w:szCs w:val="18"/>
                <w:lang w:eastAsia="es-CO"/>
              </w:rPr>
            </w:pPr>
            <w:r w:rsidRPr="00DD2F6A">
              <w:rPr>
                <w:rFonts w:ascii="Verdana" w:hAnsi="Verdana" w:eastAsia="Times New Roman" w:cs="Times New Roman"/>
                <w:color w:val="000000"/>
                <w:sz w:val="18"/>
                <w:szCs w:val="18"/>
                <w:lang w:eastAsia="es-CO"/>
              </w:rPr>
              <w:t>ANH</w:t>
            </w:r>
          </w:p>
        </w:tc>
        <w:tc>
          <w:tcPr>
            <w:tcW w:w="2500" w:type="dxa"/>
            <w:tcBorders>
              <w:top w:val="nil"/>
              <w:left w:val="nil"/>
              <w:bottom w:val="single" w:color="auto" w:sz="4" w:space="0"/>
              <w:right w:val="single" w:color="auto" w:sz="4" w:space="0"/>
            </w:tcBorders>
            <w:noWrap/>
            <w:vAlign w:val="bottom"/>
            <w:hideMark/>
          </w:tcPr>
          <w:p w:rsidRPr="00DD2F6A" w:rsidR="006D692F" w:rsidP="00DD2F6A" w:rsidRDefault="006D692F" w14:paraId="3D922142" w14:textId="77777777">
            <w:pPr>
              <w:spacing w:after="0" w:line="240" w:lineRule="auto"/>
              <w:jc w:val="center"/>
              <w:rPr>
                <w:rFonts w:ascii="Verdana" w:hAnsi="Verdana" w:eastAsia="Times New Roman" w:cs="Times New Roman"/>
                <w:color w:val="000000"/>
                <w:sz w:val="18"/>
                <w:szCs w:val="18"/>
                <w:lang w:eastAsia="es-CO"/>
              </w:rPr>
            </w:pPr>
            <w:r w:rsidRPr="00DD2F6A">
              <w:rPr>
                <w:rFonts w:ascii="Verdana" w:hAnsi="Verdana" w:eastAsia="Times New Roman" w:cs="Times New Roman"/>
                <w:color w:val="000000"/>
                <w:sz w:val="18"/>
                <w:szCs w:val="18"/>
                <w:lang w:eastAsia="es-CO"/>
              </w:rPr>
              <w:t>$ 382.525</w:t>
            </w:r>
          </w:p>
        </w:tc>
      </w:tr>
      <w:tr w:rsidRPr="00DD2F6A" w:rsidR="006D692F" w14:paraId="56963717" w14:textId="77777777">
        <w:trPr>
          <w:trHeight w:val="290"/>
          <w:jc w:val="center"/>
        </w:trPr>
        <w:tc>
          <w:tcPr>
            <w:tcW w:w="1200" w:type="dxa"/>
            <w:tcBorders>
              <w:top w:val="nil"/>
              <w:left w:val="single" w:color="auto" w:sz="4" w:space="0"/>
              <w:bottom w:val="single" w:color="auto" w:sz="4" w:space="0"/>
              <w:right w:val="single" w:color="auto" w:sz="4" w:space="0"/>
            </w:tcBorders>
            <w:noWrap/>
            <w:vAlign w:val="center"/>
            <w:hideMark/>
          </w:tcPr>
          <w:p w:rsidRPr="00DD2F6A" w:rsidR="006D692F" w:rsidP="00DD2F6A" w:rsidRDefault="006D692F" w14:paraId="29DE0064" w14:textId="77777777">
            <w:pPr>
              <w:spacing w:after="0" w:line="240" w:lineRule="auto"/>
              <w:jc w:val="center"/>
              <w:rPr>
                <w:rFonts w:ascii="Verdana" w:hAnsi="Verdana" w:eastAsia="Times New Roman" w:cs="Times New Roman"/>
                <w:color w:val="000000"/>
                <w:sz w:val="18"/>
                <w:szCs w:val="18"/>
                <w:lang w:eastAsia="es-CO"/>
              </w:rPr>
            </w:pPr>
            <w:r w:rsidRPr="00DD2F6A">
              <w:rPr>
                <w:rFonts w:ascii="Verdana" w:hAnsi="Verdana" w:eastAsia="Times New Roman" w:cs="Times New Roman"/>
                <w:color w:val="000000"/>
                <w:sz w:val="18"/>
                <w:szCs w:val="18"/>
                <w:lang w:eastAsia="es-CO"/>
              </w:rPr>
              <w:t>ANM</w:t>
            </w:r>
          </w:p>
        </w:tc>
        <w:tc>
          <w:tcPr>
            <w:tcW w:w="2500" w:type="dxa"/>
            <w:tcBorders>
              <w:top w:val="nil"/>
              <w:left w:val="nil"/>
              <w:bottom w:val="single" w:color="auto" w:sz="4" w:space="0"/>
              <w:right w:val="single" w:color="auto" w:sz="4" w:space="0"/>
            </w:tcBorders>
            <w:noWrap/>
            <w:vAlign w:val="bottom"/>
            <w:hideMark/>
          </w:tcPr>
          <w:p w:rsidRPr="00DD2F6A" w:rsidR="006D692F" w:rsidP="00DD2F6A" w:rsidRDefault="006D692F" w14:paraId="44C1B6FF" w14:textId="77777777">
            <w:pPr>
              <w:spacing w:after="0" w:line="240" w:lineRule="auto"/>
              <w:jc w:val="center"/>
              <w:rPr>
                <w:rFonts w:ascii="Verdana" w:hAnsi="Verdana" w:eastAsia="Times New Roman" w:cs="Times New Roman"/>
                <w:color w:val="000000"/>
                <w:sz w:val="18"/>
                <w:szCs w:val="18"/>
                <w:lang w:eastAsia="es-CO"/>
              </w:rPr>
            </w:pPr>
            <w:r w:rsidRPr="00DD2F6A">
              <w:rPr>
                <w:rFonts w:ascii="Verdana" w:hAnsi="Verdana" w:eastAsia="Times New Roman" w:cs="Times New Roman"/>
                <w:color w:val="000000"/>
                <w:sz w:val="18"/>
                <w:szCs w:val="18"/>
                <w:lang w:eastAsia="es-CO"/>
              </w:rPr>
              <w:t>$ 156.949</w:t>
            </w:r>
          </w:p>
        </w:tc>
      </w:tr>
      <w:tr w:rsidRPr="00DD2F6A" w:rsidR="006D692F" w14:paraId="5D417B4D" w14:textId="77777777">
        <w:trPr>
          <w:trHeight w:val="290"/>
          <w:jc w:val="center"/>
        </w:trPr>
        <w:tc>
          <w:tcPr>
            <w:tcW w:w="1200" w:type="dxa"/>
            <w:tcBorders>
              <w:top w:val="nil"/>
              <w:left w:val="single" w:color="auto" w:sz="4" w:space="0"/>
              <w:bottom w:val="single" w:color="auto" w:sz="4" w:space="0"/>
              <w:right w:val="single" w:color="auto" w:sz="4" w:space="0"/>
            </w:tcBorders>
            <w:noWrap/>
            <w:vAlign w:val="center"/>
            <w:hideMark/>
          </w:tcPr>
          <w:p w:rsidRPr="00DD2F6A" w:rsidR="006D692F" w:rsidP="00DD2F6A" w:rsidRDefault="006D692F" w14:paraId="5BCC611E" w14:textId="77777777">
            <w:pPr>
              <w:spacing w:after="0" w:line="240" w:lineRule="auto"/>
              <w:jc w:val="center"/>
              <w:rPr>
                <w:rFonts w:ascii="Verdana" w:hAnsi="Verdana" w:eastAsia="Times New Roman" w:cs="Times New Roman"/>
                <w:color w:val="000000"/>
                <w:sz w:val="18"/>
                <w:szCs w:val="18"/>
                <w:lang w:eastAsia="es-CO"/>
              </w:rPr>
            </w:pPr>
            <w:r w:rsidRPr="00DD2F6A">
              <w:rPr>
                <w:rFonts w:ascii="Verdana" w:hAnsi="Verdana" w:eastAsia="Times New Roman" w:cs="Times New Roman"/>
                <w:color w:val="000000"/>
                <w:sz w:val="18"/>
                <w:szCs w:val="18"/>
                <w:lang w:eastAsia="es-CO"/>
              </w:rPr>
              <w:t>IPSE</w:t>
            </w:r>
          </w:p>
        </w:tc>
        <w:tc>
          <w:tcPr>
            <w:tcW w:w="2500" w:type="dxa"/>
            <w:tcBorders>
              <w:top w:val="nil"/>
              <w:left w:val="nil"/>
              <w:bottom w:val="single" w:color="auto" w:sz="4" w:space="0"/>
              <w:right w:val="single" w:color="auto" w:sz="4" w:space="0"/>
            </w:tcBorders>
            <w:noWrap/>
            <w:vAlign w:val="bottom"/>
            <w:hideMark/>
          </w:tcPr>
          <w:p w:rsidRPr="00DD2F6A" w:rsidR="006D692F" w:rsidP="00DD2F6A" w:rsidRDefault="006D692F" w14:paraId="4AB6AE17" w14:textId="77777777">
            <w:pPr>
              <w:spacing w:after="0" w:line="240" w:lineRule="auto"/>
              <w:jc w:val="center"/>
              <w:rPr>
                <w:rFonts w:ascii="Verdana" w:hAnsi="Verdana" w:eastAsia="Times New Roman" w:cs="Times New Roman"/>
                <w:color w:val="000000"/>
                <w:sz w:val="18"/>
                <w:szCs w:val="18"/>
                <w:lang w:eastAsia="es-CO"/>
              </w:rPr>
            </w:pPr>
            <w:r w:rsidRPr="00DD2F6A">
              <w:rPr>
                <w:rFonts w:ascii="Verdana" w:hAnsi="Verdana" w:eastAsia="Times New Roman" w:cs="Times New Roman"/>
                <w:color w:val="000000"/>
                <w:sz w:val="18"/>
                <w:szCs w:val="18"/>
                <w:lang w:eastAsia="es-CO"/>
              </w:rPr>
              <w:t>$ 256.636</w:t>
            </w:r>
          </w:p>
        </w:tc>
      </w:tr>
      <w:tr w:rsidRPr="00DD2F6A" w:rsidR="006D692F" w14:paraId="4DF503EC" w14:textId="77777777">
        <w:trPr>
          <w:trHeight w:val="290"/>
          <w:jc w:val="center"/>
        </w:trPr>
        <w:tc>
          <w:tcPr>
            <w:tcW w:w="1200" w:type="dxa"/>
            <w:tcBorders>
              <w:top w:val="nil"/>
              <w:left w:val="single" w:color="auto" w:sz="4" w:space="0"/>
              <w:bottom w:val="single" w:color="auto" w:sz="4" w:space="0"/>
              <w:right w:val="single" w:color="auto" w:sz="4" w:space="0"/>
            </w:tcBorders>
            <w:noWrap/>
            <w:vAlign w:val="center"/>
            <w:hideMark/>
          </w:tcPr>
          <w:p w:rsidRPr="00DD2F6A" w:rsidR="006D692F" w:rsidP="00DD2F6A" w:rsidRDefault="006D692F" w14:paraId="342415BC" w14:textId="77777777">
            <w:pPr>
              <w:spacing w:after="0" w:line="240" w:lineRule="auto"/>
              <w:jc w:val="center"/>
              <w:rPr>
                <w:rFonts w:ascii="Verdana" w:hAnsi="Verdana" w:eastAsia="Times New Roman" w:cs="Times New Roman"/>
                <w:color w:val="000000"/>
                <w:sz w:val="18"/>
                <w:szCs w:val="18"/>
                <w:lang w:eastAsia="es-CO"/>
              </w:rPr>
            </w:pPr>
            <w:r w:rsidRPr="00DD2F6A">
              <w:rPr>
                <w:rFonts w:ascii="Verdana" w:hAnsi="Verdana" w:eastAsia="Times New Roman" w:cs="Times New Roman"/>
                <w:color w:val="000000"/>
                <w:sz w:val="18"/>
                <w:szCs w:val="18"/>
                <w:lang w:eastAsia="es-CO"/>
              </w:rPr>
              <w:t>CREG</w:t>
            </w:r>
          </w:p>
        </w:tc>
        <w:tc>
          <w:tcPr>
            <w:tcW w:w="2500" w:type="dxa"/>
            <w:tcBorders>
              <w:top w:val="nil"/>
              <w:left w:val="nil"/>
              <w:bottom w:val="single" w:color="auto" w:sz="4" w:space="0"/>
              <w:right w:val="single" w:color="auto" w:sz="4" w:space="0"/>
            </w:tcBorders>
            <w:noWrap/>
            <w:vAlign w:val="bottom"/>
            <w:hideMark/>
          </w:tcPr>
          <w:p w:rsidRPr="00DD2F6A" w:rsidR="006D692F" w:rsidP="00DD2F6A" w:rsidRDefault="006D692F" w14:paraId="6762A230" w14:textId="77777777">
            <w:pPr>
              <w:spacing w:after="0" w:line="240" w:lineRule="auto"/>
              <w:jc w:val="center"/>
              <w:rPr>
                <w:rFonts w:ascii="Verdana" w:hAnsi="Verdana" w:eastAsia="Times New Roman" w:cs="Times New Roman"/>
                <w:color w:val="000000"/>
                <w:sz w:val="18"/>
                <w:szCs w:val="18"/>
                <w:lang w:eastAsia="es-CO"/>
              </w:rPr>
            </w:pPr>
            <w:r w:rsidRPr="00DD2F6A">
              <w:rPr>
                <w:rFonts w:ascii="Verdana" w:hAnsi="Verdana" w:eastAsia="Times New Roman" w:cs="Times New Roman"/>
                <w:color w:val="000000"/>
                <w:sz w:val="18"/>
                <w:szCs w:val="18"/>
                <w:lang w:eastAsia="es-CO"/>
              </w:rPr>
              <w:t>$ 14.770</w:t>
            </w:r>
          </w:p>
        </w:tc>
      </w:tr>
      <w:tr w:rsidRPr="00DD2F6A" w:rsidR="006D692F" w14:paraId="418650EB" w14:textId="77777777">
        <w:trPr>
          <w:trHeight w:val="290"/>
          <w:jc w:val="center"/>
        </w:trPr>
        <w:tc>
          <w:tcPr>
            <w:tcW w:w="1200" w:type="dxa"/>
            <w:tcBorders>
              <w:top w:val="nil"/>
              <w:left w:val="single" w:color="auto" w:sz="4" w:space="0"/>
              <w:bottom w:val="single" w:color="auto" w:sz="4" w:space="0"/>
              <w:right w:val="single" w:color="auto" w:sz="4" w:space="0"/>
            </w:tcBorders>
            <w:vAlign w:val="center"/>
            <w:hideMark/>
          </w:tcPr>
          <w:p w:rsidRPr="00DD2F6A" w:rsidR="006D692F" w:rsidP="00DD2F6A" w:rsidRDefault="006D692F" w14:paraId="4BA45192" w14:textId="77777777">
            <w:pPr>
              <w:spacing w:after="0" w:line="240" w:lineRule="auto"/>
              <w:jc w:val="center"/>
              <w:rPr>
                <w:rFonts w:ascii="Verdana" w:hAnsi="Verdana" w:eastAsia="Times New Roman" w:cs="Times New Roman"/>
                <w:color w:val="000000"/>
                <w:sz w:val="18"/>
                <w:szCs w:val="18"/>
                <w:lang w:eastAsia="es-CO"/>
              </w:rPr>
            </w:pPr>
            <w:r w:rsidRPr="00DD2F6A">
              <w:rPr>
                <w:rFonts w:ascii="Verdana" w:hAnsi="Verdana" w:eastAsia="Times New Roman" w:cs="Times New Roman"/>
                <w:color w:val="000000"/>
                <w:sz w:val="18"/>
                <w:szCs w:val="18"/>
                <w:lang w:eastAsia="es-CO"/>
              </w:rPr>
              <w:t>MME</w:t>
            </w:r>
          </w:p>
        </w:tc>
        <w:tc>
          <w:tcPr>
            <w:tcW w:w="2500" w:type="dxa"/>
            <w:tcBorders>
              <w:top w:val="nil"/>
              <w:left w:val="nil"/>
              <w:bottom w:val="single" w:color="auto" w:sz="4" w:space="0"/>
              <w:right w:val="single" w:color="auto" w:sz="4" w:space="0"/>
            </w:tcBorders>
            <w:noWrap/>
            <w:vAlign w:val="bottom"/>
            <w:hideMark/>
          </w:tcPr>
          <w:p w:rsidRPr="00DD2F6A" w:rsidR="006D692F" w:rsidP="00DD2F6A" w:rsidRDefault="006D692F" w14:paraId="79DA29E6" w14:textId="77777777">
            <w:pPr>
              <w:spacing w:after="0" w:line="240" w:lineRule="auto"/>
              <w:jc w:val="center"/>
              <w:rPr>
                <w:rFonts w:ascii="Verdana" w:hAnsi="Verdana" w:eastAsia="Times New Roman" w:cs="Times New Roman"/>
                <w:color w:val="000000"/>
                <w:sz w:val="18"/>
                <w:szCs w:val="18"/>
                <w:lang w:eastAsia="es-CO"/>
              </w:rPr>
            </w:pPr>
            <w:r w:rsidRPr="00DD2F6A">
              <w:rPr>
                <w:rFonts w:ascii="Verdana" w:hAnsi="Verdana" w:eastAsia="Times New Roman" w:cs="Times New Roman"/>
                <w:color w:val="000000"/>
                <w:sz w:val="18"/>
                <w:szCs w:val="18"/>
                <w:lang w:eastAsia="es-CO"/>
              </w:rPr>
              <w:t>$ 7.153.966</w:t>
            </w:r>
          </w:p>
        </w:tc>
      </w:tr>
      <w:tr w:rsidRPr="00DD2F6A" w:rsidR="006D692F" w14:paraId="0757853F" w14:textId="77777777">
        <w:trPr>
          <w:trHeight w:val="290"/>
          <w:jc w:val="center"/>
        </w:trPr>
        <w:tc>
          <w:tcPr>
            <w:tcW w:w="1200" w:type="dxa"/>
            <w:tcBorders>
              <w:top w:val="nil"/>
              <w:left w:val="single" w:color="auto" w:sz="4" w:space="0"/>
              <w:bottom w:val="single" w:color="auto" w:sz="4" w:space="0"/>
              <w:right w:val="single" w:color="auto" w:sz="4" w:space="0"/>
            </w:tcBorders>
            <w:vAlign w:val="center"/>
            <w:hideMark/>
          </w:tcPr>
          <w:p w:rsidRPr="00DD2F6A" w:rsidR="006D692F" w:rsidP="00DD2F6A" w:rsidRDefault="006D692F" w14:paraId="58DB24A8" w14:textId="77777777">
            <w:pPr>
              <w:spacing w:after="0" w:line="240" w:lineRule="auto"/>
              <w:jc w:val="center"/>
              <w:rPr>
                <w:rFonts w:ascii="Verdana" w:hAnsi="Verdana" w:eastAsia="Times New Roman" w:cs="Times New Roman"/>
                <w:color w:val="000000"/>
                <w:sz w:val="18"/>
                <w:szCs w:val="18"/>
                <w:lang w:eastAsia="es-CO"/>
              </w:rPr>
            </w:pPr>
            <w:r w:rsidRPr="00DD2F6A">
              <w:rPr>
                <w:rFonts w:ascii="Verdana" w:hAnsi="Verdana" w:eastAsia="Times New Roman" w:cs="Times New Roman"/>
                <w:color w:val="000000"/>
                <w:sz w:val="18"/>
                <w:szCs w:val="18"/>
                <w:lang w:eastAsia="es-CO"/>
              </w:rPr>
              <w:t>SGC</w:t>
            </w:r>
          </w:p>
        </w:tc>
        <w:tc>
          <w:tcPr>
            <w:tcW w:w="2500" w:type="dxa"/>
            <w:tcBorders>
              <w:top w:val="nil"/>
              <w:left w:val="nil"/>
              <w:bottom w:val="single" w:color="auto" w:sz="4" w:space="0"/>
              <w:right w:val="single" w:color="auto" w:sz="4" w:space="0"/>
            </w:tcBorders>
            <w:noWrap/>
            <w:vAlign w:val="bottom"/>
            <w:hideMark/>
          </w:tcPr>
          <w:p w:rsidRPr="00DD2F6A" w:rsidR="006D692F" w:rsidP="00DD2F6A" w:rsidRDefault="006D692F" w14:paraId="6A1A2056" w14:textId="77777777">
            <w:pPr>
              <w:spacing w:after="0" w:line="240" w:lineRule="auto"/>
              <w:jc w:val="center"/>
              <w:rPr>
                <w:rFonts w:ascii="Verdana" w:hAnsi="Verdana" w:eastAsia="Times New Roman" w:cs="Times New Roman"/>
                <w:color w:val="000000"/>
                <w:sz w:val="18"/>
                <w:szCs w:val="18"/>
                <w:lang w:eastAsia="es-CO"/>
              </w:rPr>
            </w:pPr>
            <w:r w:rsidRPr="00DD2F6A">
              <w:rPr>
                <w:rFonts w:ascii="Verdana" w:hAnsi="Verdana" w:eastAsia="Times New Roman" w:cs="Times New Roman"/>
                <w:color w:val="000000"/>
                <w:sz w:val="18"/>
                <w:szCs w:val="18"/>
                <w:lang w:eastAsia="es-CO"/>
              </w:rPr>
              <w:t>$ 61.421</w:t>
            </w:r>
          </w:p>
        </w:tc>
      </w:tr>
      <w:tr w:rsidRPr="00DD2F6A" w:rsidR="006D692F" w14:paraId="57B161B1" w14:textId="77777777">
        <w:trPr>
          <w:trHeight w:val="290"/>
          <w:jc w:val="center"/>
        </w:trPr>
        <w:tc>
          <w:tcPr>
            <w:tcW w:w="1200" w:type="dxa"/>
            <w:tcBorders>
              <w:top w:val="nil"/>
              <w:left w:val="single" w:color="auto" w:sz="4" w:space="0"/>
              <w:bottom w:val="single" w:color="auto" w:sz="4" w:space="0"/>
              <w:right w:val="single" w:color="auto" w:sz="4" w:space="0"/>
            </w:tcBorders>
            <w:noWrap/>
            <w:vAlign w:val="center"/>
            <w:hideMark/>
          </w:tcPr>
          <w:p w:rsidRPr="00DD2F6A" w:rsidR="006D692F" w:rsidP="00DD2F6A" w:rsidRDefault="006D692F" w14:paraId="439F7AFB" w14:textId="77777777">
            <w:pPr>
              <w:spacing w:after="0" w:line="240" w:lineRule="auto"/>
              <w:jc w:val="center"/>
              <w:rPr>
                <w:rFonts w:ascii="Verdana" w:hAnsi="Verdana" w:eastAsia="Times New Roman" w:cs="Times New Roman"/>
                <w:color w:val="000000"/>
                <w:sz w:val="18"/>
                <w:szCs w:val="18"/>
                <w:lang w:eastAsia="es-CO"/>
              </w:rPr>
            </w:pPr>
            <w:r w:rsidRPr="00DD2F6A">
              <w:rPr>
                <w:rFonts w:ascii="Verdana" w:hAnsi="Verdana" w:eastAsia="Times New Roman" w:cs="Times New Roman"/>
                <w:color w:val="000000"/>
                <w:sz w:val="18"/>
                <w:szCs w:val="18"/>
                <w:lang w:eastAsia="es-CO"/>
              </w:rPr>
              <w:t>UPME</w:t>
            </w:r>
          </w:p>
        </w:tc>
        <w:tc>
          <w:tcPr>
            <w:tcW w:w="2500" w:type="dxa"/>
            <w:tcBorders>
              <w:top w:val="nil"/>
              <w:left w:val="nil"/>
              <w:bottom w:val="single" w:color="auto" w:sz="4" w:space="0"/>
              <w:right w:val="single" w:color="auto" w:sz="4" w:space="0"/>
            </w:tcBorders>
            <w:noWrap/>
            <w:vAlign w:val="bottom"/>
            <w:hideMark/>
          </w:tcPr>
          <w:p w:rsidRPr="00DD2F6A" w:rsidR="006D692F" w:rsidP="00DD2F6A" w:rsidRDefault="006D692F" w14:paraId="583DD8C2" w14:textId="77777777">
            <w:pPr>
              <w:spacing w:after="0" w:line="240" w:lineRule="auto"/>
              <w:jc w:val="center"/>
              <w:rPr>
                <w:rFonts w:ascii="Verdana" w:hAnsi="Verdana" w:eastAsia="Times New Roman" w:cs="Times New Roman"/>
                <w:color w:val="000000"/>
                <w:sz w:val="18"/>
                <w:szCs w:val="18"/>
                <w:lang w:eastAsia="es-CO"/>
              </w:rPr>
            </w:pPr>
            <w:r w:rsidRPr="00DD2F6A">
              <w:rPr>
                <w:rFonts w:ascii="Verdana" w:hAnsi="Verdana" w:eastAsia="Times New Roman" w:cs="Times New Roman"/>
                <w:color w:val="000000"/>
                <w:sz w:val="18"/>
                <w:szCs w:val="18"/>
                <w:lang w:eastAsia="es-CO"/>
              </w:rPr>
              <w:t>$ 27.168</w:t>
            </w:r>
          </w:p>
        </w:tc>
      </w:tr>
      <w:tr w:rsidRPr="00DD2F6A" w:rsidR="006D692F" w14:paraId="2A578216" w14:textId="77777777">
        <w:trPr>
          <w:trHeight w:val="290"/>
          <w:jc w:val="center"/>
        </w:trPr>
        <w:tc>
          <w:tcPr>
            <w:tcW w:w="1200" w:type="dxa"/>
            <w:tcBorders>
              <w:top w:val="nil"/>
              <w:left w:val="single" w:color="auto" w:sz="4" w:space="0"/>
              <w:bottom w:val="single" w:color="auto" w:sz="4" w:space="0"/>
              <w:right w:val="single" w:color="auto" w:sz="4" w:space="0"/>
            </w:tcBorders>
            <w:shd w:val="clear" w:color="000000" w:fill="BFBFBF"/>
            <w:noWrap/>
            <w:vAlign w:val="center"/>
            <w:hideMark/>
          </w:tcPr>
          <w:p w:rsidRPr="00DD2F6A" w:rsidR="006D692F" w:rsidP="00DD2F6A" w:rsidRDefault="006D692F" w14:paraId="4AFDADA0" w14:textId="77777777">
            <w:pPr>
              <w:spacing w:after="0" w:line="240" w:lineRule="auto"/>
              <w:jc w:val="center"/>
              <w:rPr>
                <w:rFonts w:ascii="Verdana" w:hAnsi="Verdana" w:eastAsia="Times New Roman" w:cs="Times New Roman"/>
                <w:b/>
                <w:bCs/>
                <w:color w:val="000000"/>
                <w:sz w:val="18"/>
                <w:szCs w:val="18"/>
                <w:lang w:eastAsia="es-CO"/>
              </w:rPr>
            </w:pPr>
            <w:r w:rsidRPr="00DD2F6A">
              <w:rPr>
                <w:rFonts w:ascii="Verdana" w:hAnsi="Verdana" w:eastAsia="Times New Roman" w:cs="Times New Roman"/>
                <w:b/>
                <w:bCs/>
                <w:color w:val="000000"/>
                <w:sz w:val="18"/>
                <w:szCs w:val="18"/>
                <w:lang w:eastAsia="es-CO"/>
              </w:rPr>
              <w:t>Total</w:t>
            </w:r>
          </w:p>
        </w:tc>
        <w:tc>
          <w:tcPr>
            <w:tcW w:w="2500" w:type="dxa"/>
            <w:tcBorders>
              <w:top w:val="nil"/>
              <w:left w:val="nil"/>
              <w:bottom w:val="single" w:color="auto" w:sz="4" w:space="0"/>
              <w:right w:val="single" w:color="auto" w:sz="4" w:space="0"/>
            </w:tcBorders>
            <w:shd w:val="clear" w:color="000000" w:fill="BFBFBF"/>
            <w:noWrap/>
            <w:vAlign w:val="bottom"/>
            <w:hideMark/>
          </w:tcPr>
          <w:p w:rsidRPr="00DD2F6A" w:rsidR="006D692F" w:rsidP="00DD2F6A" w:rsidRDefault="006D692F" w14:paraId="00FAA34D" w14:textId="77777777">
            <w:pPr>
              <w:spacing w:after="0" w:line="240" w:lineRule="auto"/>
              <w:jc w:val="center"/>
              <w:rPr>
                <w:rFonts w:ascii="Verdana" w:hAnsi="Verdana" w:eastAsia="Times New Roman" w:cs="Times New Roman"/>
                <w:color w:val="000000"/>
                <w:sz w:val="18"/>
                <w:szCs w:val="18"/>
                <w:lang w:eastAsia="es-CO"/>
              </w:rPr>
            </w:pPr>
            <w:r w:rsidRPr="00DD2F6A">
              <w:rPr>
                <w:rFonts w:ascii="Verdana" w:hAnsi="Verdana" w:eastAsia="Times New Roman" w:cs="Times New Roman"/>
                <w:color w:val="000000"/>
                <w:sz w:val="18"/>
                <w:szCs w:val="18"/>
                <w:lang w:eastAsia="es-CO"/>
              </w:rPr>
              <w:t>$ 8.053.438</w:t>
            </w:r>
          </w:p>
        </w:tc>
      </w:tr>
    </w:tbl>
    <w:p w:rsidR="006D692F" w:rsidP="00DD2F6A" w:rsidRDefault="7B742E5E" w14:paraId="7A2659E9" w14:textId="77777777">
      <w:pPr>
        <w:pStyle w:val="Fuente"/>
        <w:spacing w:after="0"/>
        <w:rPr>
          <w:rFonts w:ascii="Verdana" w:hAnsi="Verdana" w:eastAsia="Verdana" w:cs="Verdana"/>
        </w:rPr>
      </w:pPr>
      <w:r w:rsidRPr="0FF05B1B">
        <w:rPr>
          <w:rFonts w:ascii="Verdana" w:hAnsi="Verdana"/>
        </w:rPr>
        <w:t xml:space="preserve">Fuente: Elaboración propia del Grupo de Programación y Gestión Estratégica de Proyectos </w:t>
      </w:r>
      <w:r w:rsidRPr="0FF05B1B">
        <w:rPr>
          <w:rFonts w:ascii="Verdana" w:hAnsi="Verdana" w:eastAsia="Verdana" w:cs="Verdana"/>
        </w:rPr>
        <w:t>- Apropiación inicial decreto de liquidación.</w:t>
      </w:r>
    </w:p>
    <w:p w:rsidRPr="00DD2F6A" w:rsidR="006A0A13" w:rsidP="006A0A13" w:rsidRDefault="006A0A13" w14:paraId="355A7B86" w14:textId="77777777">
      <w:pPr>
        <w:pStyle w:val="Fuente"/>
        <w:spacing w:after="0" w:line="360" w:lineRule="auto"/>
        <w:rPr>
          <w:rFonts w:ascii="Verdana" w:hAnsi="Verdana"/>
        </w:rPr>
      </w:pPr>
    </w:p>
    <w:p w:rsidRPr="00DD2F6A" w:rsidR="00DD2F6A" w:rsidP="006A0A13" w:rsidRDefault="00DD2F6A" w14:paraId="470A90C4" w14:textId="77777777">
      <w:pPr>
        <w:spacing w:after="0" w:line="360" w:lineRule="auto"/>
        <w:jc w:val="both"/>
        <w:rPr>
          <w:rFonts w:ascii="Verdana" w:hAnsi="Verdana"/>
          <w:b/>
          <w:bCs/>
          <w:sz w:val="24"/>
          <w:szCs w:val="24"/>
        </w:rPr>
      </w:pPr>
      <w:r w:rsidRPr="00DD2F6A">
        <w:rPr>
          <w:rFonts w:ascii="Verdana" w:hAnsi="Verdana"/>
          <w:b/>
          <w:bCs/>
          <w:sz w:val="24"/>
          <w:szCs w:val="24"/>
        </w:rPr>
        <w:t>Vigencia 2025</w:t>
      </w:r>
    </w:p>
    <w:p w:rsidR="00DD2F6A" w:rsidP="006A0A13" w:rsidRDefault="00DD2F6A" w14:paraId="7B607E66" w14:textId="77777777">
      <w:pPr>
        <w:spacing w:after="0" w:line="360" w:lineRule="auto"/>
        <w:jc w:val="both"/>
        <w:rPr>
          <w:rFonts w:ascii="Verdana" w:hAnsi="Verdana"/>
          <w:sz w:val="24"/>
          <w:szCs w:val="24"/>
        </w:rPr>
      </w:pPr>
    </w:p>
    <w:p w:rsidRPr="00DD2F6A" w:rsidR="00DD2F6A" w:rsidP="006A0A13" w:rsidRDefault="00DD2F6A" w14:paraId="3FDE0F08" w14:textId="08C1D128">
      <w:pPr>
        <w:spacing w:after="0" w:line="360" w:lineRule="auto"/>
        <w:jc w:val="both"/>
        <w:rPr>
          <w:rFonts w:ascii="Verdana" w:hAnsi="Verdana"/>
          <w:sz w:val="24"/>
          <w:szCs w:val="24"/>
        </w:rPr>
      </w:pPr>
      <w:r w:rsidRPr="30CF4445" w:rsidR="06C770CE">
        <w:rPr>
          <w:rFonts w:ascii="Verdana" w:hAnsi="Verdana"/>
          <w:sz w:val="24"/>
          <w:szCs w:val="24"/>
        </w:rPr>
        <w:t xml:space="preserve">De acuerdo con el Decreto 1621 de 30 de diciembre de 2024, </w:t>
      </w:r>
      <w:r w:rsidRPr="30CF4445" w:rsidR="3396E7D5">
        <w:rPr>
          <w:rFonts w:ascii="Verdana" w:hAnsi="Verdana"/>
          <w:sz w:val="24"/>
          <w:szCs w:val="24"/>
        </w:rPr>
        <w:t>p</w:t>
      </w:r>
      <w:r w:rsidRPr="30CF4445" w:rsidR="06C770CE">
        <w:rPr>
          <w:rFonts w:ascii="Verdana" w:hAnsi="Verdana"/>
          <w:sz w:val="24"/>
          <w:szCs w:val="24"/>
        </w:rPr>
        <w:t>or el cual se liquida el Presupuesto General de la Nación para la vigencia fiscal de 2025, se detallan las apropiaciones, se clasifican y definen los gastos, a continuación, se detalla la distribución por programa presupuestal asociado al Sector Minas y Energía:</w:t>
      </w:r>
    </w:p>
    <w:p w:rsidRPr="00DD2F6A" w:rsidR="00DD2F6A" w:rsidRDefault="00DD2F6A" w14:paraId="44F38909" w14:textId="77777777">
      <w:pPr>
        <w:pStyle w:val="Prrafodelista"/>
        <w:numPr>
          <w:ilvl w:val="0"/>
          <w:numId w:val="72"/>
        </w:numPr>
        <w:spacing w:after="0" w:line="360" w:lineRule="auto"/>
        <w:jc w:val="both"/>
        <w:rPr>
          <w:rFonts w:ascii="Verdana" w:hAnsi="Verdana"/>
          <w:sz w:val="24"/>
          <w:szCs w:val="24"/>
        </w:rPr>
      </w:pPr>
      <w:r w:rsidRPr="00DD2F6A">
        <w:rPr>
          <w:rFonts w:ascii="Verdana" w:hAnsi="Verdana"/>
          <w:sz w:val="24"/>
          <w:szCs w:val="24"/>
        </w:rPr>
        <w:t>2101: Acceso al Servicio Público Domiciliario de Gas Combustible: $1.026.570 millones.</w:t>
      </w:r>
    </w:p>
    <w:p w:rsidRPr="00DD2F6A" w:rsidR="00DD2F6A" w:rsidRDefault="00DD2F6A" w14:paraId="4DDD0406" w14:textId="77777777">
      <w:pPr>
        <w:pStyle w:val="Prrafodelista"/>
        <w:numPr>
          <w:ilvl w:val="0"/>
          <w:numId w:val="72"/>
        </w:numPr>
        <w:spacing w:after="0" w:line="360" w:lineRule="auto"/>
        <w:jc w:val="both"/>
        <w:rPr>
          <w:rFonts w:ascii="Verdana" w:hAnsi="Verdana"/>
          <w:sz w:val="24"/>
          <w:szCs w:val="24"/>
        </w:rPr>
      </w:pPr>
      <w:r w:rsidRPr="00DD2F6A">
        <w:rPr>
          <w:rFonts w:ascii="Verdana" w:hAnsi="Verdana"/>
          <w:sz w:val="24"/>
          <w:szCs w:val="24"/>
        </w:rPr>
        <w:t>2102: Consolidación Productiva del Sector de Energía Eléctrica: $5.368.251 millones.</w:t>
      </w:r>
    </w:p>
    <w:p w:rsidRPr="00DD2F6A" w:rsidR="00DD2F6A" w:rsidRDefault="00DD2F6A" w14:paraId="32F02748" w14:textId="77777777">
      <w:pPr>
        <w:pStyle w:val="Prrafodelista"/>
        <w:numPr>
          <w:ilvl w:val="0"/>
          <w:numId w:val="72"/>
        </w:numPr>
        <w:spacing w:after="0" w:line="360" w:lineRule="auto"/>
        <w:jc w:val="both"/>
        <w:rPr>
          <w:rFonts w:ascii="Verdana" w:hAnsi="Verdana"/>
          <w:sz w:val="24"/>
          <w:szCs w:val="24"/>
        </w:rPr>
      </w:pPr>
      <w:r w:rsidRPr="00DD2F6A">
        <w:rPr>
          <w:rFonts w:ascii="Verdana" w:hAnsi="Verdana"/>
          <w:sz w:val="24"/>
          <w:szCs w:val="24"/>
        </w:rPr>
        <w:t>2103: Consolidación Productiva del Sector de Hidrocarburos: $137.937 millones.</w:t>
      </w:r>
    </w:p>
    <w:p w:rsidR="00DD2F6A" w:rsidRDefault="00DD2F6A" w14:paraId="421FCB79" w14:textId="77777777">
      <w:pPr>
        <w:pStyle w:val="Prrafodelista"/>
        <w:numPr>
          <w:ilvl w:val="0"/>
          <w:numId w:val="72"/>
        </w:numPr>
        <w:spacing w:after="0" w:line="360" w:lineRule="auto"/>
        <w:jc w:val="both"/>
        <w:rPr>
          <w:rFonts w:ascii="Verdana" w:hAnsi="Verdana"/>
          <w:sz w:val="24"/>
          <w:szCs w:val="24"/>
        </w:rPr>
      </w:pPr>
      <w:r w:rsidRPr="00DD2F6A">
        <w:rPr>
          <w:rFonts w:ascii="Verdana" w:hAnsi="Verdana"/>
          <w:sz w:val="24"/>
          <w:szCs w:val="24"/>
        </w:rPr>
        <w:t xml:space="preserve">2104: Consolidación Productiva del Sector Minero: </w:t>
      </w:r>
    </w:p>
    <w:p w:rsidRPr="00DD2F6A" w:rsidR="00DD2F6A" w:rsidP="006A0A13" w:rsidRDefault="00DD2F6A" w14:paraId="58CDC463" w14:textId="77777777">
      <w:pPr>
        <w:pStyle w:val="Prrafodelista"/>
        <w:spacing w:after="0" w:line="360" w:lineRule="auto"/>
        <w:jc w:val="both"/>
        <w:rPr>
          <w:rFonts w:ascii="Verdana" w:hAnsi="Verdana"/>
          <w:sz w:val="24"/>
          <w:szCs w:val="24"/>
        </w:rPr>
      </w:pPr>
      <w:r w:rsidRPr="00DD2F6A">
        <w:rPr>
          <w:rFonts w:ascii="Verdana" w:hAnsi="Verdana"/>
          <w:sz w:val="24"/>
          <w:szCs w:val="24"/>
        </w:rPr>
        <w:t>$195.486 millones.</w:t>
      </w:r>
    </w:p>
    <w:p w:rsidR="00DD2F6A" w:rsidRDefault="00DD2F6A" w14:paraId="68F3E53A" w14:textId="77777777">
      <w:pPr>
        <w:pStyle w:val="Prrafodelista"/>
        <w:numPr>
          <w:ilvl w:val="0"/>
          <w:numId w:val="72"/>
        </w:numPr>
        <w:spacing w:after="0" w:line="360" w:lineRule="auto"/>
        <w:jc w:val="both"/>
        <w:rPr>
          <w:rFonts w:ascii="Verdana" w:hAnsi="Verdana"/>
          <w:sz w:val="24"/>
          <w:szCs w:val="24"/>
        </w:rPr>
      </w:pPr>
      <w:r w:rsidRPr="00DD2F6A">
        <w:rPr>
          <w:rFonts w:ascii="Verdana" w:hAnsi="Verdana"/>
          <w:sz w:val="24"/>
          <w:szCs w:val="24"/>
        </w:rPr>
        <w:t xml:space="preserve">2105: Desarrollo Ambiental Sostenible del Sector Minero Energético: </w:t>
      </w:r>
    </w:p>
    <w:p w:rsidRPr="00DD2F6A" w:rsidR="00DD2F6A" w:rsidP="006A0A13" w:rsidRDefault="00DD2F6A" w14:paraId="6FADC50C" w14:textId="77777777">
      <w:pPr>
        <w:pStyle w:val="Prrafodelista"/>
        <w:spacing w:after="0" w:line="360" w:lineRule="auto"/>
        <w:jc w:val="both"/>
        <w:rPr>
          <w:rFonts w:ascii="Verdana" w:hAnsi="Verdana"/>
          <w:sz w:val="24"/>
          <w:szCs w:val="24"/>
        </w:rPr>
      </w:pPr>
      <w:r w:rsidRPr="00DD2F6A">
        <w:rPr>
          <w:rFonts w:ascii="Verdana" w:hAnsi="Verdana"/>
          <w:sz w:val="24"/>
          <w:szCs w:val="24"/>
        </w:rPr>
        <w:t>$32.922 millones.</w:t>
      </w:r>
    </w:p>
    <w:p w:rsidRPr="00DD2F6A" w:rsidR="00DD2F6A" w:rsidRDefault="00DD2F6A" w14:paraId="786D5B89" w14:textId="77777777">
      <w:pPr>
        <w:pStyle w:val="Prrafodelista"/>
        <w:numPr>
          <w:ilvl w:val="0"/>
          <w:numId w:val="72"/>
        </w:numPr>
        <w:spacing w:after="0" w:line="360" w:lineRule="auto"/>
        <w:jc w:val="both"/>
        <w:rPr>
          <w:rFonts w:ascii="Verdana" w:hAnsi="Verdana"/>
          <w:sz w:val="24"/>
          <w:szCs w:val="24"/>
        </w:rPr>
      </w:pPr>
      <w:r w:rsidRPr="00DD2F6A">
        <w:rPr>
          <w:rFonts w:ascii="Verdana" w:hAnsi="Verdana"/>
          <w:sz w:val="24"/>
          <w:szCs w:val="24"/>
        </w:rPr>
        <w:t>2106: Gestión de la Información del Sector Minero Energético: $477.073 millones.</w:t>
      </w:r>
    </w:p>
    <w:p w:rsidR="00DD2F6A" w:rsidRDefault="00DD2F6A" w14:paraId="165D927B" w14:textId="77777777">
      <w:pPr>
        <w:pStyle w:val="Prrafodelista"/>
        <w:numPr>
          <w:ilvl w:val="0"/>
          <w:numId w:val="72"/>
        </w:numPr>
        <w:spacing w:after="0" w:line="360" w:lineRule="auto"/>
        <w:jc w:val="both"/>
        <w:rPr>
          <w:rFonts w:ascii="Verdana" w:hAnsi="Verdana"/>
          <w:sz w:val="24"/>
          <w:szCs w:val="24"/>
        </w:rPr>
      </w:pPr>
      <w:r w:rsidRPr="00DD2F6A">
        <w:rPr>
          <w:rFonts w:ascii="Verdana" w:hAnsi="Verdana"/>
          <w:sz w:val="24"/>
          <w:szCs w:val="24"/>
        </w:rPr>
        <w:t xml:space="preserve">2199: Fortalecimiento y Apoyo a la Gestión Institucional: </w:t>
      </w:r>
    </w:p>
    <w:p w:rsidRPr="00DD2F6A" w:rsidR="00DD2F6A" w:rsidP="006A0A13" w:rsidRDefault="00DD2F6A" w14:paraId="1EC927F7" w14:textId="77777777">
      <w:pPr>
        <w:pStyle w:val="Prrafodelista"/>
        <w:spacing w:after="0" w:line="360" w:lineRule="auto"/>
        <w:jc w:val="both"/>
        <w:rPr>
          <w:rFonts w:ascii="Verdana" w:hAnsi="Verdana"/>
          <w:sz w:val="24"/>
          <w:szCs w:val="24"/>
        </w:rPr>
      </w:pPr>
      <w:r w:rsidRPr="00DD2F6A">
        <w:rPr>
          <w:rFonts w:ascii="Verdana" w:hAnsi="Verdana"/>
          <w:sz w:val="24"/>
          <w:szCs w:val="24"/>
        </w:rPr>
        <w:t xml:space="preserve">$181.238 millones. </w:t>
      </w:r>
    </w:p>
    <w:p w:rsidR="00DD2F6A" w:rsidP="006A0A13" w:rsidRDefault="00DD2F6A" w14:paraId="260EF9CF" w14:textId="77777777">
      <w:pPr>
        <w:spacing w:after="0" w:line="360" w:lineRule="auto"/>
        <w:jc w:val="both"/>
        <w:rPr>
          <w:rFonts w:ascii="Verdana" w:hAnsi="Verdana"/>
          <w:sz w:val="24"/>
          <w:szCs w:val="24"/>
        </w:rPr>
      </w:pPr>
    </w:p>
    <w:p w:rsidR="006D692F" w:rsidP="006A0A13" w:rsidRDefault="3E007DED" w14:paraId="27925431" w14:textId="10821A70">
      <w:pPr>
        <w:spacing w:after="0" w:line="360" w:lineRule="auto"/>
        <w:jc w:val="both"/>
        <w:rPr>
          <w:rFonts w:ascii="Verdana" w:hAnsi="Verdana"/>
          <w:sz w:val="24"/>
          <w:szCs w:val="24"/>
        </w:rPr>
      </w:pPr>
      <w:r w:rsidRPr="30CF4445" w:rsidR="046C76D6">
        <w:rPr>
          <w:rFonts w:ascii="Verdana" w:hAnsi="Verdana"/>
          <w:sz w:val="24"/>
          <w:szCs w:val="24"/>
        </w:rPr>
        <w:t>La distribución de los recursos por programa presupuestal y en cada una de las entidades del sector minero</w:t>
      </w:r>
      <w:r w:rsidRPr="30CF4445" w:rsidR="3488B20C">
        <w:rPr>
          <w:rFonts w:ascii="Verdana" w:hAnsi="Verdana"/>
          <w:sz w:val="24"/>
          <w:szCs w:val="24"/>
        </w:rPr>
        <w:t>-</w:t>
      </w:r>
      <w:r w:rsidRPr="30CF4445" w:rsidR="046C76D6">
        <w:rPr>
          <w:rFonts w:ascii="Verdana" w:hAnsi="Verdana"/>
          <w:sz w:val="24"/>
          <w:szCs w:val="24"/>
        </w:rPr>
        <w:t>energético, se puede evidenciar en la siguiente tabla:</w:t>
      </w:r>
    </w:p>
    <w:p w:rsidR="180099B3" w:rsidP="006A0A13" w:rsidRDefault="180099B3" w14:paraId="33B4950C" w14:textId="77777777">
      <w:pPr>
        <w:spacing w:after="0" w:line="360" w:lineRule="auto"/>
        <w:jc w:val="both"/>
        <w:rPr>
          <w:rFonts w:ascii="Verdana" w:hAnsi="Verdana"/>
          <w:sz w:val="24"/>
          <w:szCs w:val="24"/>
        </w:rPr>
      </w:pPr>
    </w:p>
    <w:p w:rsidRPr="00DD2F6A" w:rsidR="00DD2F6A" w:rsidP="00DD2F6A" w:rsidRDefault="3E007DED" w14:paraId="31C6BE82" w14:textId="77777777">
      <w:pPr>
        <w:spacing w:after="0"/>
        <w:jc w:val="center"/>
        <w:rPr>
          <w:rFonts w:ascii="Verdana" w:hAnsi="Verdana"/>
          <w:sz w:val="18"/>
          <w:szCs w:val="18"/>
        </w:rPr>
      </w:pPr>
      <w:r w:rsidRPr="180099B3">
        <w:rPr>
          <w:rFonts w:ascii="Verdana" w:hAnsi="Verdana"/>
          <w:sz w:val="18"/>
          <w:szCs w:val="18"/>
        </w:rPr>
        <w:t>Tabla</w:t>
      </w:r>
      <w:r w:rsidRPr="180099B3" w:rsidR="30F40458">
        <w:rPr>
          <w:rFonts w:ascii="Verdana" w:hAnsi="Verdana"/>
          <w:sz w:val="18"/>
          <w:szCs w:val="18"/>
        </w:rPr>
        <w:t xml:space="preserve"> No. 3</w:t>
      </w:r>
      <w:r w:rsidRPr="180099B3" w:rsidR="6D7A320E">
        <w:rPr>
          <w:rFonts w:ascii="Verdana" w:hAnsi="Verdana"/>
          <w:sz w:val="18"/>
          <w:szCs w:val="18"/>
        </w:rPr>
        <w:t>9</w:t>
      </w:r>
      <w:r w:rsidRPr="180099B3">
        <w:rPr>
          <w:rFonts w:ascii="Verdana" w:hAnsi="Verdana"/>
          <w:sz w:val="18"/>
          <w:szCs w:val="18"/>
        </w:rPr>
        <w:t>. Distribución de recursos sector 2025 por programa</w:t>
      </w:r>
    </w:p>
    <w:tbl>
      <w:tblPr>
        <w:tblW w:w="5056"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1174"/>
        <w:gridCol w:w="1127"/>
        <w:gridCol w:w="1127"/>
        <w:gridCol w:w="967"/>
        <w:gridCol w:w="967"/>
        <w:gridCol w:w="865"/>
        <w:gridCol w:w="967"/>
        <w:gridCol w:w="967"/>
        <w:gridCol w:w="1127"/>
      </w:tblGrid>
      <w:tr w:rsidRPr="00DD2F6A" w:rsidR="00DD2F6A" w:rsidTr="00DD2F6A" w14:paraId="2F23A014" w14:textId="77777777">
        <w:trPr>
          <w:trHeight w:val="325"/>
        </w:trPr>
        <w:tc>
          <w:tcPr>
            <w:tcW w:w="625" w:type="pct"/>
            <w:vMerge w:val="restart"/>
            <w:shd w:val="clear" w:color="auto" w:fill="A6A6A6" w:themeFill="background1" w:themeFillShade="A6"/>
            <w:noWrap/>
            <w:vAlign w:val="center"/>
            <w:hideMark/>
          </w:tcPr>
          <w:p w:rsidRPr="00DD2F6A" w:rsidR="00DD2F6A" w:rsidRDefault="00DD2F6A" w14:paraId="30875034" w14:textId="77777777">
            <w:pPr>
              <w:spacing w:after="0" w:line="240" w:lineRule="auto"/>
              <w:jc w:val="center"/>
              <w:rPr>
                <w:rFonts w:ascii="Verdana" w:hAnsi="Verdana" w:eastAsia="Times New Roman" w:cs="Times New Roman"/>
                <w:b/>
                <w:bCs/>
                <w:sz w:val="16"/>
                <w:szCs w:val="16"/>
                <w:lang w:eastAsia="es-CO"/>
              </w:rPr>
            </w:pPr>
            <w:r w:rsidRPr="00DD2F6A">
              <w:rPr>
                <w:rFonts w:ascii="Verdana" w:hAnsi="Verdana" w:eastAsia="Times New Roman" w:cs="Times New Roman"/>
                <w:b/>
                <w:bCs/>
                <w:sz w:val="16"/>
                <w:szCs w:val="16"/>
                <w:lang w:eastAsia="es-CO"/>
              </w:rPr>
              <w:t>PROGRAMA</w:t>
            </w:r>
          </w:p>
        </w:tc>
        <w:tc>
          <w:tcPr>
            <w:tcW w:w="4375" w:type="pct"/>
            <w:gridSpan w:val="8"/>
            <w:shd w:val="clear" w:color="auto" w:fill="A6A6A6" w:themeFill="background1" w:themeFillShade="A6"/>
            <w:noWrap/>
            <w:vAlign w:val="center"/>
            <w:hideMark/>
          </w:tcPr>
          <w:p w:rsidRPr="00DD2F6A" w:rsidR="00DD2F6A" w:rsidRDefault="00DD2F6A" w14:paraId="521C9F99" w14:textId="77777777">
            <w:pPr>
              <w:spacing w:after="0" w:line="240" w:lineRule="auto"/>
              <w:jc w:val="center"/>
              <w:rPr>
                <w:rFonts w:ascii="Verdana" w:hAnsi="Verdana" w:eastAsia="Times New Roman" w:cs="Times New Roman"/>
                <w:b/>
                <w:bCs/>
                <w:sz w:val="16"/>
                <w:szCs w:val="16"/>
                <w:lang w:eastAsia="es-CO"/>
              </w:rPr>
            </w:pPr>
            <w:r w:rsidRPr="00DD2F6A">
              <w:rPr>
                <w:rFonts w:ascii="Verdana" w:hAnsi="Verdana" w:eastAsia="Times New Roman" w:cs="Times New Roman"/>
                <w:b/>
                <w:bCs/>
                <w:sz w:val="16"/>
                <w:szCs w:val="16"/>
                <w:lang w:eastAsia="es-CO"/>
              </w:rPr>
              <w:t>Cifras en millones de pesos</w:t>
            </w:r>
          </w:p>
        </w:tc>
      </w:tr>
      <w:tr w:rsidRPr="00DD2F6A" w:rsidR="00DD2F6A" w:rsidTr="00DD2F6A" w14:paraId="10855C05" w14:textId="77777777">
        <w:trPr>
          <w:trHeight w:val="314"/>
        </w:trPr>
        <w:tc>
          <w:tcPr>
            <w:tcW w:w="625" w:type="pct"/>
            <w:vMerge/>
            <w:shd w:val="clear" w:color="auto" w:fill="A6A6A6" w:themeFill="background1" w:themeFillShade="A6"/>
            <w:vAlign w:val="center"/>
            <w:hideMark/>
          </w:tcPr>
          <w:p w:rsidRPr="00DD2F6A" w:rsidR="00DD2F6A" w:rsidRDefault="00DD2F6A" w14:paraId="04C0DD89" w14:textId="77777777">
            <w:pPr>
              <w:spacing w:after="0" w:line="240" w:lineRule="auto"/>
              <w:rPr>
                <w:rFonts w:ascii="Verdana" w:hAnsi="Verdana" w:eastAsia="Times New Roman" w:cs="Times New Roman"/>
                <w:b/>
                <w:bCs/>
                <w:sz w:val="16"/>
                <w:szCs w:val="16"/>
                <w:lang w:eastAsia="es-CO"/>
              </w:rPr>
            </w:pPr>
          </w:p>
        </w:tc>
        <w:tc>
          <w:tcPr>
            <w:tcW w:w="599" w:type="pct"/>
            <w:shd w:val="clear" w:color="auto" w:fill="A6A6A6" w:themeFill="background1" w:themeFillShade="A6"/>
            <w:noWrap/>
            <w:vAlign w:val="center"/>
            <w:hideMark/>
          </w:tcPr>
          <w:p w:rsidRPr="00DD2F6A" w:rsidR="00DD2F6A" w:rsidRDefault="00DD2F6A" w14:paraId="75FF8212" w14:textId="77777777">
            <w:pPr>
              <w:spacing w:after="0" w:line="240" w:lineRule="auto"/>
              <w:jc w:val="center"/>
              <w:rPr>
                <w:rFonts w:ascii="Verdana" w:hAnsi="Verdana" w:eastAsia="Times New Roman" w:cs="Times New Roman"/>
                <w:b/>
                <w:bCs/>
                <w:sz w:val="16"/>
                <w:szCs w:val="16"/>
                <w:lang w:eastAsia="es-CO"/>
              </w:rPr>
            </w:pPr>
            <w:r w:rsidRPr="00DD2F6A">
              <w:rPr>
                <w:rFonts w:ascii="Verdana" w:hAnsi="Verdana" w:eastAsia="Times New Roman" w:cs="Times New Roman"/>
                <w:b/>
                <w:bCs/>
                <w:sz w:val="16"/>
                <w:szCs w:val="16"/>
                <w:lang w:eastAsia="es-CO"/>
              </w:rPr>
              <w:t>2101</w:t>
            </w:r>
          </w:p>
        </w:tc>
        <w:tc>
          <w:tcPr>
            <w:tcW w:w="599" w:type="pct"/>
            <w:shd w:val="clear" w:color="auto" w:fill="A6A6A6" w:themeFill="background1" w:themeFillShade="A6"/>
            <w:noWrap/>
            <w:vAlign w:val="center"/>
            <w:hideMark/>
          </w:tcPr>
          <w:p w:rsidRPr="00DD2F6A" w:rsidR="00DD2F6A" w:rsidRDefault="00DD2F6A" w14:paraId="662DDA4F" w14:textId="77777777">
            <w:pPr>
              <w:spacing w:after="0" w:line="240" w:lineRule="auto"/>
              <w:jc w:val="center"/>
              <w:rPr>
                <w:rFonts w:ascii="Verdana" w:hAnsi="Verdana" w:eastAsia="Times New Roman" w:cs="Times New Roman"/>
                <w:b/>
                <w:bCs/>
                <w:sz w:val="16"/>
                <w:szCs w:val="16"/>
                <w:lang w:eastAsia="es-CO"/>
              </w:rPr>
            </w:pPr>
            <w:r w:rsidRPr="00DD2F6A">
              <w:rPr>
                <w:rFonts w:ascii="Verdana" w:hAnsi="Verdana" w:eastAsia="Times New Roman" w:cs="Times New Roman"/>
                <w:b/>
                <w:bCs/>
                <w:sz w:val="16"/>
                <w:szCs w:val="16"/>
                <w:lang w:eastAsia="es-CO"/>
              </w:rPr>
              <w:t>2102</w:t>
            </w:r>
          </w:p>
        </w:tc>
        <w:tc>
          <w:tcPr>
            <w:tcW w:w="515" w:type="pct"/>
            <w:shd w:val="clear" w:color="auto" w:fill="A6A6A6" w:themeFill="background1" w:themeFillShade="A6"/>
            <w:noWrap/>
            <w:vAlign w:val="center"/>
            <w:hideMark/>
          </w:tcPr>
          <w:p w:rsidRPr="00DD2F6A" w:rsidR="00DD2F6A" w:rsidRDefault="00DD2F6A" w14:paraId="081CE697" w14:textId="77777777">
            <w:pPr>
              <w:spacing w:after="0" w:line="240" w:lineRule="auto"/>
              <w:jc w:val="center"/>
              <w:rPr>
                <w:rFonts w:ascii="Verdana" w:hAnsi="Verdana" w:eastAsia="Times New Roman" w:cs="Times New Roman"/>
                <w:b/>
                <w:bCs/>
                <w:sz w:val="16"/>
                <w:szCs w:val="16"/>
                <w:lang w:eastAsia="es-CO"/>
              </w:rPr>
            </w:pPr>
            <w:r w:rsidRPr="00DD2F6A">
              <w:rPr>
                <w:rFonts w:ascii="Verdana" w:hAnsi="Verdana" w:eastAsia="Times New Roman" w:cs="Times New Roman"/>
                <w:b/>
                <w:bCs/>
                <w:sz w:val="16"/>
                <w:szCs w:val="16"/>
                <w:lang w:eastAsia="es-CO"/>
              </w:rPr>
              <w:t>2103</w:t>
            </w:r>
          </w:p>
        </w:tc>
        <w:tc>
          <w:tcPr>
            <w:tcW w:w="515" w:type="pct"/>
            <w:shd w:val="clear" w:color="auto" w:fill="A6A6A6" w:themeFill="background1" w:themeFillShade="A6"/>
            <w:noWrap/>
            <w:vAlign w:val="center"/>
            <w:hideMark/>
          </w:tcPr>
          <w:p w:rsidRPr="00DD2F6A" w:rsidR="00DD2F6A" w:rsidRDefault="00DD2F6A" w14:paraId="57C6D2D2" w14:textId="77777777">
            <w:pPr>
              <w:spacing w:after="0" w:line="240" w:lineRule="auto"/>
              <w:jc w:val="center"/>
              <w:rPr>
                <w:rFonts w:ascii="Verdana" w:hAnsi="Verdana" w:eastAsia="Times New Roman" w:cs="Times New Roman"/>
                <w:b/>
                <w:bCs/>
                <w:sz w:val="16"/>
                <w:szCs w:val="16"/>
                <w:lang w:eastAsia="es-CO"/>
              </w:rPr>
            </w:pPr>
            <w:r w:rsidRPr="00DD2F6A">
              <w:rPr>
                <w:rFonts w:ascii="Verdana" w:hAnsi="Verdana" w:eastAsia="Times New Roman" w:cs="Times New Roman"/>
                <w:b/>
                <w:bCs/>
                <w:sz w:val="16"/>
                <w:szCs w:val="16"/>
                <w:lang w:eastAsia="es-CO"/>
              </w:rPr>
              <w:t>2104</w:t>
            </w:r>
          </w:p>
        </w:tc>
        <w:tc>
          <w:tcPr>
            <w:tcW w:w="461" w:type="pct"/>
            <w:shd w:val="clear" w:color="auto" w:fill="A6A6A6" w:themeFill="background1" w:themeFillShade="A6"/>
            <w:noWrap/>
            <w:vAlign w:val="center"/>
            <w:hideMark/>
          </w:tcPr>
          <w:p w:rsidRPr="00DD2F6A" w:rsidR="00DD2F6A" w:rsidRDefault="00DD2F6A" w14:paraId="0192A353" w14:textId="77777777">
            <w:pPr>
              <w:spacing w:after="0" w:line="240" w:lineRule="auto"/>
              <w:jc w:val="center"/>
              <w:rPr>
                <w:rFonts w:ascii="Verdana" w:hAnsi="Verdana" w:eastAsia="Times New Roman" w:cs="Times New Roman"/>
                <w:b/>
                <w:bCs/>
                <w:sz w:val="16"/>
                <w:szCs w:val="16"/>
                <w:lang w:eastAsia="es-CO"/>
              </w:rPr>
            </w:pPr>
            <w:r w:rsidRPr="00DD2F6A">
              <w:rPr>
                <w:rFonts w:ascii="Verdana" w:hAnsi="Verdana" w:eastAsia="Times New Roman" w:cs="Times New Roman"/>
                <w:b/>
                <w:bCs/>
                <w:sz w:val="16"/>
                <w:szCs w:val="16"/>
                <w:lang w:eastAsia="es-CO"/>
              </w:rPr>
              <w:t>2105</w:t>
            </w:r>
          </w:p>
        </w:tc>
        <w:tc>
          <w:tcPr>
            <w:tcW w:w="515" w:type="pct"/>
            <w:shd w:val="clear" w:color="auto" w:fill="A6A6A6" w:themeFill="background1" w:themeFillShade="A6"/>
            <w:noWrap/>
            <w:vAlign w:val="center"/>
            <w:hideMark/>
          </w:tcPr>
          <w:p w:rsidRPr="00DD2F6A" w:rsidR="00DD2F6A" w:rsidRDefault="00DD2F6A" w14:paraId="7190633E" w14:textId="77777777">
            <w:pPr>
              <w:spacing w:after="0" w:line="240" w:lineRule="auto"/>
              <w:jc w:val="center"/>
              <w:rPr>
                <w:rFonts w:ascii="Verdana" w:hAnsi="Verdana" w:eastAsia="Times New Roman" w:cs="Times New Roman"/>
                <w:b/>
                <w:bCs/>
                <w:sz w:val="16"/>
                <w:szCs w:val="16"/>
                <w:lang w:eastAsia="es-CO"/>
              </w:rPr>
            </w:pPr>
            <w:r w:rsidRPr="00DD2F6A">
              <w:rPr>
                <w:rFonts w:ascii="Verdana" w:hAnsi="Verdana" w:eastAsia="Times New Roman" w:cs="Times New Roman"/>
                <w:b/>
                <w:bCs/>
                <w:sz w:val="16"/>
                <w:szCs w:val="16"/>
                <w:lang w:eastAsia="es-CO"/>
              </w:rPr>
              <w:t>2106</w:t>
            </w:r>
          </w:p>
        </w:tc>
        <w:tc>
          <w:tcPr>
            <w:tcW w:w="515" w:type="pct"/>
            <w:shd w:val="clear" w:color="auto" w:fill="A6A6A6" w:themeFill="background1" w:themeFillShade="A6"/>
            <w:noWrap/>
            <w:vAlign w:val="center"/>
            <w:hideMark/>
          </w:tcPr>
          <w:p w:rsidRPr="00DD2F6A" w:rsidR="00DD2F6A" w:rsidRDefault="00DD2F6A" w14:paraId="4B3C354A" w14:textId="77777777">
            <w:pPr>
              <w:spacing w:after="0" w:line="240" w:lineRule="auto"/>
              <w:jc w:val="center"/>
              <w:rPr>
                <w:rFonts w:ascii="Verdana" w:hAnsi="Verdana" w:eastAsia="Times New Roman" w:cs="Times New Roman"/>
                <w:b/>
                <w:bCs/>
                <w:sz w:val="16"/>
                <w:szCs w:val="16"/>
                <w:lang w:eastAsia="es-CO"/>
              </w:rPr>
            </w:pPr>
            <w:r w:rsidRPr="00DD2F6A">
              <w:rPr>
                <w:rFonts w:ascii="Verdana" w:hAnsi="Verdana" w:eastAsia="Times New Roman" w:cs="Times New Roman"/>
                <w:b/>
                <w:bCs/>
                <w:sz w:val="16"/>
                <w:szCs w:val="16"/>
                <w:lang w:eastAsia="es-CO"/>
              </w:rPr>
              <w:t>2199</w:t>
            </w:r>
          </w:p>
        </w:tc>
        <w:tc>
          <w:tcPr>
            <w:tcW w:w="654" w:type="pct"/>
            <w:shd w:val="clear" w:color="auto" w:fill="A6A6A6" w:themeFill="background1" w:themeFillShade="A6"/>
            <w:noWrap/>
            <w:vAlign w:val="center"/>
            <w:hideMark/>
          </w:tcPr>
          <w:p w:rsidRPr="00DD2F6A" w:rsidR="00DD2F6A" w:rsidRDefault="00DD2F6A" w14:paraId="5FD52F53" w14:textId="77777777">
            <w:pPr>
              <w:spacing w:after="0" w:line="240" w:lineRule="auto"/>
              <w:jc w:val="center"/>
              <w:rPr>
                <w:rFonts w:ascii="Verdana" w:hAnsi="Verdana" w:eastAsia="Times New Roman" w:cs="Times New Roman"/>
                <w:b/>
                <w:bCs/>
                <w:sz w:val="16"/>
                <w:szCs w:val="16"/>
                <w:lang w:eastAsia="es-CO"/>
              </w:rPr>
            </w:pPr>
            <w:r w:rsidRPr="00DD2F6A">
              <w:rPr>
                <w:rFonts w:ascii="Verdana" w:hAnsi="Verdana" w:eastAsia="Times New Roman" w:cs="Times New Roman"/>
                <w:b/>
                <w:bCs/>
                <w:sz w:val="16"/>
                <w:szCs w:val="16"/>
                <w:lang w:eastAsia="es-CO"/>
              </w:rPr>
              <w:t>TOTAL</w:t>
            </w:r>
          </w:p>
        </w:tc>
      </w:tr>
      <w:tr w:rsidRPr="00DD2F6A" w:rsidR="00DD2F6A" w:rsidTr="00DD2F6A" w14:paraId="58752015" w14:textId="77777777">
        <w:trPr>
          <w:trHeight w:val="314"/>
        </w:trPr>
        <w:tc>
          <w:tcPr>
            <w:tcW w:w="625" w:type="pct"/>
            <w:noWrap/>
            <w:vAlign w:val="center"/>
            <w:hideMark/>
          </w:tcPr>
          <w:p w:rsidRPr="00DD2F6A" w:rsidR="00DD2F6A" w:rsidRDefault="00DD2F6A" w14:paraId="6727EFA0"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xml:space="preserve"> ANH</w:t>
            </w:r>
          </w:p>
        </w:tc>
        <w:tc>
          <w:tcPr>
            <w:tcW w:w="599" w:type="pct"/>
            <w:noWrap/>
            <w:vAlign w:val="bottom"/>
            <w:hideMark/>
          </w:tcPr>
          <w:p w:rsidRPr="00DD2F6A" w:rsidR="00DD2F6A" w:rsidRDefault="00DD2F6A" w14:paraId="0220B5BB"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w:t>
            </w:r>
          </w:p>
        </w:tc>
        <w:tc>
          <w:tcPr>
            <w:tcW w:w="599" w:type="pct"/>
            <w:noWrap/>
            <w:vAlign w:val="bottom"/>
            <w:hideMark/>
          </w:tcPr>
          <w:p w:rsidRPr="00DD2F6A" w:rsidR="00DD2F6A" w:rsidRDefault="00DD2F6A" w14:paraId="3BE869ED"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w:t>
            </w:r>
          </w:p>
        </w:tc>
        <w:tc>
          <w:tcPr>
            <w:tcW w:w="515" w:type="pct"/>
            <w:noWrap/>
            <w:vAlign w:val="bottom"/>
            <w:hideMark/>
          </w:tcPr>
          <w:p w:rsidRPr="00DD2F6A" w:rsidR="00DD2F6A" w:rsidRDefault="00DD2F6A" w14:paraId="5E347C45"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xml:space="preserve"> $ 54.941 </w:t>
            </w:r>
          </w:p>
        </w:tc>
        <w:tc>
          <w:tcPr>
            <w:tcW w:w="515" w:type="pct"/>
            <w:noWrap/>
            <w:vAlign w:val="bottom"/>
            <w:hideMark/>
          </w:tcPr>
          <w:p w:rsidRPr="00DD2F6A" w:rsidR="00DD2F6A" w:rsidRDefault="00DD2F6A" w14:paraId="1E904560"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w:t>
            </w:r>
          </w:p>
        </w:tc>
        <w:tc>
          <w:tcPr>
            <w:tcW w:w="461" w:type="pct"/>
            <w:noWrap/>
            <w:vAlign w:val="bottom"/>
            <w:hideMark/>
          </w:tcPr>
          <w:p w:rsidRPr="00DD2F6A" w:rsidR="00DD2F6A" w:rsidRDefault="00DD2F6A" w14:paraId="1FC23357"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w:t>
            </w:r>
          </w:p>
        </w:tc>
        <w:tc>
          <w:tcPr>
            <w:tcW w:w="515" w:type="pct"/>
            <w:noWrap/>
            <w:vAlign w:val="bottom"/>
            <w:hideMark/>
          </w:tcPr>
          <w:p w:rsidRPr="00DD2F6A" w:rsidR="00DD2F6A" w:rsidRDefault="00DD2F6A" w14:paraId="783864AC"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xml:space="preserve"> $316.870 </w:t>
            </w:r>
          </w:p>
        </w:tc>
        <w:tc>
          <w:tcPr>
            <w:tcW w:w="515" w:type="pct"/>
            <w:noWrap/>
            <w:vAlign w:val="bottom"/>
            <w:hideMark/>
          </w:tcPr>
          <w:p w:rsidRPr="00DD2F6A" w:rsidR="00DD2F6A" w:rsidRDefault="00DD2F6A" w14:paraId="267B130C"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xml:space="preserve"> $ 14.077 </w:t>
            </w:r>
          </w:p>
        </w:tc>
        <w:tc>
          <w:tcPr>
            <w:tcW w:w="654" w:type="pct"/>
            <w:noWrap/>
            <w:vAlign w:val="bottom"/>
            <w:hideMark/>
          </w:tcPr>
          <w:p w:rsidRPr="00DD2F6A" w:rsidR="00DD2F6A" w:rsidRDefault="00DD2F6A" w14:paraId="5A9670E0"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xml:space="preserve"> $ 385.890 </w:t>
            </w:r>
          </w:p>
        </w:tc>
      </w:tr>
      <w:tr w:rsidRPr="00DD2F6A" w:rsidR="00DD2F6A" w:rsidTr="00DD2F6A" w14:paraId="3B3242CC" w14:textId="77777777">
        <w:trPr>
          <w:trHeight w:val="314"/>
        </w:trPr>
        <w:tc>
          <w:tcPr>
            <w:tcW w:w="625" w:type="pct"/>
            <w:noWrap/>
            <w:vAlign w:val="center"/>
            <w:hideMark/>
          </w:tcPr>
          <w:p w:rsidRPr="00DD2F6A" w:rsidR="00DD2F6A" w:rsidRDefault="00DD2F6A" w14:paraId="205CB640"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xml:space="preserve"> ANM</w:t>
            </w:r>
          </w:p>
        </w:tc>
        <w:tc>
          <w:tcPr>
            <w:tcW w:w="599" w:type="pct"/>
            <w:noWrap/>
            <w:vAlign w:val="bottom"/>
            <w:hideMark/>
          </w:tcPr>
          <w:p w:rsidRPr="00DD2F6A" w:rsidR="00DD2F6A" w:rsidRDefault="00DD2F6A" w14:paraId="1FC868F4"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w:t>
            </w:r>
          </w:p>
        </w:tc>
        <w:tc>
          <w:tcPr>
            <w:tcW w:w="599" w:type="pct"/>
            <w:noWrap/>
            <w:vAlign w:val="bottom"/>
            <w:hideMark/>
          </w:tcPr>
          <w:p w:rsidRPr="00DD2F6A" w:rsidR="00DD2F6A" w:rsidRDefault="00DD2F6A" w14:paraId="666F18DA"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w:t>
            </w:r>
          </w:p>
        </w:tc>
        <w:tc>
          <w:tcPr>
            <w:tcW w:w="515" w:type="pct"/>
            <w:noWrap/>
            <w:vAlign w:val="bottom"/>
            <w:hideMark/>
          </w:tcPr>
          <w:p w:rsidRPr="00DD2F6A" w:rsidR="00DD2F6A" w:rsidRDefault="00DD2F6A" w14:paraId="4F195696"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w:t>
            </w:r>
          </w:p>
        </w:tc>
        <w:tc>
          <w:tcPr>
            <w:tcW w:w="515" w:type="pct"/>
            <w:noWrap/>
            <w:vAlign w:val="bottom"/>
            <w:hideMark/>
          </w:tcPr>
          <w:p w:rsidRPr="00DD2F6A" w:rsidR="00DD2F6A" w:rsidRDefault="00DD2F6A" w14:paraId="1A1B87D8"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xml:space="preserve"> $ 50.896 </w:t>
            </w:r>
          </w:p>
        </w:tc>
        <w:tc>
          <w:tcPr>
            <w:tcW w:w="461" w:type="pct"/>
            <w:noWrap/>
            <w:vAlign w:val="bottom"/>
            <w:hideMark/>
          </w:tcPr>
          <w:p w:rsidRPr="00DD2F6A" w:rsidR="00DD2F6A" w:rsidRDefault="00DD2F6A" w14:paraId="2D372AA8"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xml:space="preserve"> $ 6.798 </w:t>
            </w:r>
          </w:p>
        </w:tc>
        <w:tc>
          <w:tcPr>
            <w:tcW w:w="515" w:type="pct"/>
            <w:noWrap/>
            <w:vAlign w:val="bottom"/>
            <w:hideMark/>
          </w:tcPr>
          <w:p w:rsidRPr="00DD2F6A" w:rsidR="00DD2F6A" w:rsidRDefault="00DD2F6A" w14:paraId="386C49EC"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xml:space="preserve"> $11.863 </w:t>
            </w:r>
          </w:p>
        </w:tc>
        <w:tc>
          <w:tcPr>
            <w:tcW w:w="515" w:type="pct"/>
            <w:noWrap/>
            <w:vAlign w:val="bottom"/>
            <w:hideMark/>
          </w:tcPr>
          <w:p w:rsidRPr="00DD2F6A" w:rsidR="00DD2F6A" w:rsidRDefault="00DD2F6A" w14:paraId="2D5CA2E0"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xml:space="preserve"> $ 47.056 </w:t>
            </w:r>
          </w:p>
        </w:tc>
        <w:tc>
          <w:tcPr>
            <w:tcW w:w="654" w:type="pct"/>
            <w:noWrap/>
            <w:vAlign w:val="bottom"/>
            <w:hideMark/>
          </w:tcPr>
          <w:p w:rsidRPr="00DD2F6A" w:rsidR="00DD2F6A" w:rsidRDefault="00DD2F6A" w14:paraId="55E1316F"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xml:space="preserve"> $ 116.615 </w:t>
            </w:r>
          </w:p>
        </w:tc>
      </w:tr>
      <w:tr w:rsidRPr="00DD2F6A" w:rsidR="00DD2F6A" w:rsidTr="00DD2F6A" w14:paraId="58480D85" w14:textId="77777777">
        <w:trPr>
          <w:trHeight w:val="314"/>
        </w:trPr>
        <w:tc>
          <w:tcPr>
            <w:tcW w:w="625" w:type="pct"/>
            <w:noWrap/>
            <w:vAlign w:val="center"/>
            <w:hideMark/>
          </w:tcPr>
          <w:p w:rsidRPr="00DD2F6A" w:rsidR="00DD2F6A" w:rsidRDefault="00DD2F6A" w14:paraId="12394CED"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IPSE</w:t>
            </w:r>
          </w:p>
        </w:tc>
        <w:tc>
          <w:tcPr>
            <w:tcW w:w="599" w:type="pct"/>
            <w:noWrap/>
            <w:vAlign w:val="bottom"/>
            <w:hideMark/>
          </w:tcPr>
          <w:p w:rsidRPr="00DD2F6A" w:rsidR="00DD2F6A" w:rsidRDefault="00DD2F6A" w14:paraId="3B48D825"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w:t>
            </w:r>
          </w:p>
        </w:tc>
        <w:tc>
          <w:tcPr>
            <w:tcW w:w="599" w:type="pct"/>
            <w:noWrap/>
            <w:vAlign w:val="bottom"/>
            <w:hideMark/>
          </w:tcPr>
          <w:p w:rsidRPr="00DD2F6A" w:rsidR="00DD2F6A" w:rsidRDefault="00DD2F6A" w14:paraId="7498D82F"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xml:space="preserve"> $ 130.019 </w:t>
            </w:r>
          </w:p>
        </w:tc>
        <w:tc>
          <w:tcPr>
            <w:tcW w:w="515" w:type="pct"/>
            <w:noWrap/>
            <w:vAlign w:val="bottom"/>
            <w:hideMark/>
          </w:tcPr>
          <w:p w:rsidRPr="00DD2F6A" w:rsidR="00DD2F6A" w:rsidRDefault="00DD2F6A" w14:paraId="26AA6DA0"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w:t>
            </w:r>
          </w:p>
        </w:tc>
        <w:tc>
          <w:tcPr>
            <w:tcW w:w="515" w:type="pct"/>
            <w:noWrap/>
            <w:vAlign w:val="bottom"/>
            <w:hideMark/>
          </w:tcPr>
          <w:p w:rsidRPr="00DD2F6A" w:rsidR="00DD2F6A" w:rsidRDefault="00DD2F6A" w14:paraId="733C51FD"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w:t>
            </w:r>
          </w:p>
        </w:tc>
        <w:tc>
          <w:tcPr>
            <w:tcW w:w="461" w:type="pct"/>
            <w:noWrap/>
            <w:vAlign w:val="bottom"/>
            <w:hideMark/>
          </w:tcPr>
          <w:p w:rsidRPr="00DD2F6A" w:rsidR="00DD2F6A" w:rsidRDefault="00DD2F6A" w14:paraId="6C223FF5"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w:t>
            </w:r>
          </w:p>
        </w:tc>
        <w:tc>
          <w:tcPr>
            <w:tcW w:w="515" w:type="pct"/>
            <w:noWrap/>
            <w:vAlign w:val="bottom"/>
            <w:hideMark/>
          </w:tcPr>
          <w:p w:rsidRPr="00DD2F6A" w:rsidR="00DD2F6A" w:rsidRDefault="00DD2F6A" w14:paraId="78FC8D51"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xml:space="preserve"> $ 1.353 </w:t>
            </w:r>
          </w:p>
        </w:tc>
        <w:tc>
          <w:tcPr>
            <w:tcW w:w="515" w:type="pct"/>
            <w:noWrap/>
            <w:vAlign w:val="bottom"/>
            <w:hideMark/>
          </w:tcPr>
          <w:p w:rsidRPr="00DD2F6A" w:rsidR="00DD2F6A" w:rsidRDefault="00DD2F6A" w14:paraId="0BC64B40"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xml:space="preserve"> $   6.390 </w:t>
            </w:r>
          </w:p>
        </w:tc>
        <w:tc>
          <w:tcPr>
            <w:tcW w:w="654" w:type="pct"/>
            <w:noWrap/>
            <w:vAlign w:val="bottom"/>
            <w:hideMark/>
          </w:tcPr>
          <w:p w:rsidRPr="00DD2F6A" w:rsidR="00DD2F6A" w:rsidRDefault="00DD2F6A" w14:paraId="51417C3D"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xml:space="preserve"> $ 137.763 </w:t>
            </w:r>
          </w:p>
        </w:tc>
      </w:tr>
      <w:tr w:rsidRPr="00DD2F6A" w:rsidR="00DD2F6A" w:rsidTr="00DD2F6A" w14:paraId="161ABC21" w14:textId="77777777">
        <w:trPr>
          <w:trHeight w:val="314"/>
        </w:trPr>
        <w:tc>
          <w:tcPr>
            <w:tcW w:w="625" w:type="pct"/>
            <w:noWrap/>
            <w:vAlign w:val="center"/>
            <w:hideMark/>
          </w:tcPr>
          <w:p w:rsidRPr="00DD2F6A" w:rsidR="00DD2F6A" w:rsidRDefault="00DD2F6A" w14:paraId="5F3B8D98"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CREG</w:t>
            </w:r>
          </w:p>
        </w:tc>
        <w:tc>
          <w:tcPr>
            <w:tcW w:w="599" w:type="pct"/>
            <w:noWrap/>
            <w:vAlign w:val="bottom"/>
            <w:hideMark/>
          </w:tcPr>
          <w:p w:rsidRPr="00DD2F6A" w:rsidR="00DD2F6A" w:rsidRDefault="00DD2F6A" w14:paraId="0AB3D7BD"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w:t>
            </w:r>
          </w:p>
        </w:tc>
        <w:tc>
          <w:tcPr>
            <w:tcW w:w="599" w:type="pct"/>
            <w:noWrap/>
            <w:vAlign w:val="bottom"/>
            <w:hideMark/>
          </w:tcPr>
          <w:p w:rsidRPr="00DD2F6A" w:rsidR="00DD2F6A" w:rsidRDefault="00DD2F6A" w14:paraId="30682722"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w:t>
            </w:r>
          </w:p>
        </w:tc>
        <w:tc>
          <w:tcPr>
            <w:tcW w:w="515" w:type="pct"/>
            <w:noWrap/>
            <w:vAlign w:val="bottom"/>
            <w:hideMark/>
          </w:tcPr>
          <w:p w:rsidRPr="00DD2F6A" w:rsidR="00DD2F6A" w:rsidRDefault="00DD2F6A" w14:paraId="26B2030B"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w:t>
            </w:r>
          </w:p>
        </w:tc>
        <w:tc>
          <w:tcPr>
            <w:tcW w:w="515" w:type="pct"/>
            <w:noWrap/>
            <w:vAlign w:val="bottom"/>
            <w:hideMark/>
          </w:tcPr>
          <w:p w:rsidRPr="00DD2F6A" w:rsidR="00DD2F6A" w:rsidRDefault="00DD2F6A" w14:paraId="162B7F9C"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w:t>
            </w:r>
          </w:p>
        </w:tc>
        <w:tc>
          <w:tcPr>
            <w:tcW w:w="461" w:type="pct"/>
            <w:noWrap/>
            <w:vAlign w:val="bottom"/>
            <w:hideMark/>
          </w:tcPr>
          <w:p w:rsidRPr="00DD2F6A" w:rsidR="00DD2F6A" w:rsidRDefault="00DD2F6A" w14:paraId="1DCB4982"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w:t>
            </w:r>
          </w:p>
        </w:tc>
        <w:tc>
          <w:tcPr>
            <w:tcW w:w="515" w:type="pct"/>
            <w:noWrap/>
            <w:vAlign w:val="bottom"/>
            <w:hideMark/>
          </w:tcPr>
          <w:p w:rsidRPr="00DD2F6A" w:rsidR="00DD2F6A" w:rsidRDefault="00DD2F6A" w14:paraId="1ACFBECB"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xml:space="preserve"> $10.347 </w:t>
            </w:r>
          </w:p>
        </w:tc>
        <w:tc>
          <w:tcPr>
            <w:tcW w:w="515" w:type="pct"/>
            <w:noWrap/>
            <w:vAlign w:val="bottom"/>
            <w:hideMark/>
          </w:tcPr>
          <w:p w:rsidRPr="00DD2F6A" w:rsidR="00DD2F6A" w:rsidRDefault="00DD2F6A" w14:paraId="2ED73EEC"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xml:space="preserve"> $   5.605 </w:t>
            </w:r>
          </w:p>
        </w:tc>
        <w:tc>
          <w:tcPr>
            <w:tcW w:w="654" w:type="pct"/>
            <w:noWrap/>
            <w:vAlign w:val="bottom"/>
            <w:hideMark/>
          </w:tcPr>
          <w:p w:rsidRPr="00DD2F6A" w:rsidR="00DD2F6A" w:rsidRDefault="00DD2F6A" w14:paraId="1295C106"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xml:space="preserve"> $   15.953 </w:t>
            </w:r>
          </w:p>
        </w:tc>
      </w:tr>
      <w:tr w:rsidRPr="00DD2F6A" w:rsidR="00DD2F6A" w:rsidTr="00DD2F6A" w14:paraId="739386CD" w14:textId="77777777">
        <w:trPr>
          <w:trHeight w:val="314"/>
        </w:trPr>
        <w:tc>
          <w:tcPr>
            <w:tcW w:w="625" w:type="pct"/>
            <w:noWrap/>
            <w:vAlign w:val="center"/>
            <w:hideMark/>
          </w:tcPr>
          <w:p w:rsidRPr="00DD2F6A" w:rsidR="00DD2F6A" w:rsidRDefault="00DD2F6A" w14:paraId="1AAFF344"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MME</w:t>
            </w:r>
          </w:p>
        </w:tc>
        <w:tc>
          <w:tcPr>
            <w:tcW w:w="599" w:type="pct"/>
            <w:noWrap/>
            <w:vAlign w:val="bottom"/>
            <w:hideMark/>
          </w:tcPr>
          <w:p w:rsidRPr="00DD2F6A" w:rsidR="00DD2F6A" w:rsidRDefault="00DD2F6A" w14:paraId="6B1430CC"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xml:space="preserve"> $1.026.570 </w:t>
            </w:r>
          </w:p>
        </w:tc>
        <w:tc>
          <w:tcPr>
            <w:tcW w:w="599" w:type="pct"/>
            <w:noWrap/>
            <w:vAlign w:val="bottom"/>
            <w:hideMark/>
          </w:tcPr>
          <w:p w:rsidRPr="00DD2F6A" w:rsidR="00DD2F6A" w:rsidRDefault="00DD2F6A" w14:paraId="00A0EBB0"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xml:space="preserve"> $5.230.892 </w:t>
            </w:r>
          </w:p>
        </w:tc>
        <w:tc>
          <w:tcPr>
            <w:tcW w:w="515" w:type="pct"/>
            <w:noWrap/>
            <w:vAlign w:val="bottom"/>
            <w:hideMark/>
          </w:tcPr>
          <w:p w:rsidRPr="00DD2F6A" w:rsidR="00DD2F6A" w:rsidRDefault="00DD2F6A" w14:paraId="387E6FDE"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xml:space="preserve"> $ 80.196 </w:t>
            </w:r>
          </w:p>
        </w:tc>
        <w:tc>
          <w:tcPr>
            <w:tcW w:w="515" w:type="pct"/>
            <w:noWrap/>
            <w:vAlign w:val="bottom"/>
            <w:hideMark/>
          </w:tcPr>
          <w:p w:rsidRPr="00DD2F6A" w:rsidR="00DD2F6A" w:rsidRDefault="00DD2F6A" w14:paraId="65966293"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xml:space="preserve"> $144.590 </w:t>
            </w:r>
          </w:p>
        </w:tc>
        <w:tc>
          <w:tcPr>
            <w:tcW w:w="461" w:type="pct"/>
            <w:noWrap/>
            <w:vAlign w:val="bottom"/>
            <w:hideMark/>
          </w:tcPr>
          <w:p w:rsidRPr="00DD2F6A" w:rsidR="00DD2F6A" w:rsidRDefault="00DD2F6A" w14:paraId="55509F48"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xml:space="preserve"> $26.123 </w:t>
            </w:r>
          </w:p>
        </w:tc>
        <w:tc>
          <w:tcPr>
            <w:tcW w:w="515" w:type="pct"/>
            <w:noWrap/>
            <w:vAlign w:val="bottom"/>
            <w:hideMark/>
          </w:tcPr>
          <w:p w:rsidRPr="00DD2F6A" w:rsidR="00DD2F6A" w:rsidRDefault="00DD2F6A" w14:paraId="10FB6CFE"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xml:space="preserve"> $42.801 </w:t>
            </w:r>
          </w:p>
        </w:tc>
        <w:tc>
          <w:tcPr>
            <w:tcW w:w="515" w:type="pct"/>
            <w:noWrap/>
            <w:vAlign w:val="bottom"/>
            <w:hideMark/>
          </w:tcPr>
          <w:p w:rsidRPr="00DD2F6A" w:rsidR="00DD2F6A" w:rsidRDefault="00DD2F6A" w14:paraId="18910BF7"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xml:space="preserve"> $ 84.040 </w:t>
            </w:r>
          </w:p>
        </w:tc>
        <w:tc>
          <w:tcPr>
            <w:tcW w:w="654" w:type="pct"/>
            <w:noWrap/>
            <w:vAlign w:val="bottom"/>
            <w:hideMark/>
          </w:tcPr>
          <w:p w:rsidRPr="00DD2F6A" w:rsidR="00DD2F6A" w:rsidRDefault="00DD2F6A" w14:paraId="0F84C558"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xml:space="preserve">$6.635.211 </w:t>
            </w:r>
          </w:p>
        </w:tc>
      </w:tr>
      <w:tr w:rsidRPr="00DD2F6A" w:rsidR="00DD2F6A" w:rsidTr="00DD2F6A" w14:paraId="33304E95" w14:textId="77777777">
        <w:trPr>
          <w:trHeight w:val="314"/>
        </w:trPr>
        <w:tc>
          <w:tcPr>
            <w:tcW w:w="625" w:type="pct"/>
            <w:noWrap/>
            <w:vAlign w:val="center"/>
            <w:hideMark/>
          </w:tcPr>
          <w:p w:rsidRPr="00DD2F6A" w:rsidR="00DD2F6A" w:rsidRDefault="00DD2F6A" w14:paraId="7DA74B66"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SGC</w:t>
            </w:r>
          </w:p>
        </w:tc>
        <w:tc>
          <w:tcPr>
            <w:tcW w:w="599" w:type="pct"/>
            <w:noWrap/>
            <w:vAlign w:val="bottom"/>
            <w:hideMark/>
          </w:tcPr>
          <w:p w:rsidRPr="00DD2F6A" w:rsidR="00DD2F6A" w:rsidRDefault="00DD2F6A" w14:paraId="16047BAC"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w:t>
            </w:r>
          </w:p>
        </w:tc>
        <w:tc>
          <w:tcPr>
            <w:tcW w:w="599" w:type="pct"/>
            <w:noWrap/>
            <w:vAlign w:val="bottom"/>
            <w:hideMark/>
          </w:tcPr>
          <w:p w:rsidRPr="00DD2F6A" w:rsidR="00DD2F6A" w:rsidRDefault="00DD2F6A" w14:paraId="45093373"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w:t>
            </w:r>
          </w:p>
        </w:tc>
        <w:tc>
          <w:tcPr>
            <w:tcW w:w="515" w:type="pct"/>
            <w:noWrap/>
            <w:vAlign w:val="bottom"/>
            <w:hideMark/>
          </w:tcPr>
          <w:p w:rsidRPr="00DD2F6A" w:rsidR="00DD2F6A" w:rsidRDefault="00DD2F6A" w14:paraId="0D07A4F0"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w:t>
            </w:r>
          </w:p>
        </w:tc>
        <w:tc>
          <w:tcPr>
            <w:tcW w:w="515" w:type="pct"/>
            <w:noWrap/>
            <w:vAlign w:val="bottom"/>
            <w:hideMark/>
          </w:tcPr>
          <w:p w:rsidRPr="00DD2F6A" w:rsidR="00DD2F6A" w:rsidRDefault="00DD2F6A" w14:paraId="794F3CB6"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w:t>
            </w:r>
          </w:p>
        </w:tc>
        <w:tc>
          <w:tcPr>
            <w:tcW w:w="461" w:type="pct"/>
            <w:noWrap/>
            <w:vAlign w:val="bottom"/>
            <w:hideMark/>
          </w:tcPr>
          <w:p w:rsidRPr="00DD2F6A" w:rsidR="00DD2F6A" w:rsidRDefault="00DD2F6A" w14:paraId="6FD914CA"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w:t>
            </w:r>
          </w:p>
        </w:tc>
        <w:tc>
          <w:tcPr>
            <w:tcW w:w="515" w:type="pct"/>
            <w:noWrap/>
            <w:vAlign w:val="bottom"/>
            <w:hideMark/>
          </w:tcPr>
          <w:p w:rsidRPr="00DD2F6A" w:rsidR="00DD2F6A" w:rsidRDefault="00DD2F6A" w14:paraId="75FF8131"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xml:space="preserve"> $82.099 </w:t>
            </w:r>
          </w:p>
        </w:tc>
        <w:tc>
          <w:tcPr>
            <w:tcW w:w="515" w:type="pct"/>
            <w:noWrap/>
            <w:vAlign w:val="bottom"/>
            <w:hideMark/>
          </w:tcPr>
          <w:p w:rsidRPr="00DD2F6A" w:rsidR="00DD2F6A" w:rsidRDefault="00DD2F6A" w14:paraId="660C1FB9"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xml:space="preserve"> $ 17.900 </w:t>
            </w:r>
          </w:p>
        </w:tc>
        <w:tc>
          <w:tcPr>
            <w:tcW w:w="654" w:type="pct"/>
            <w:noWrap/>
            <w:vAlign w:val="bottom"/>
            <w:hideMark/>
          </w:tcPr>
          <w:p w:rsidRPr="00DD2F6A" w:rsidR="00DD2F6A" w:rsidRDefault="00DD2F6A" w14:paraId="7A29DDD6"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xml:space="preserve"> $ 100.000 </w:t>
            </w:r>
          </w:p>
        </w:tc>
      </w:tr>
      <w:tr w:rsidRPr="00DD2F6A" w:rsidR="00DD2F6A" w:rsidTr="00DD2F6A" w14:paraId="431B8908" w14:textId="77777777">
        <w:trPr>
          <w:trHeight w:val="314"/>
        </w:trPr>
        <w:tc>
          <w:tcPr>
            <w:tcW w:w="625" w:type="pct"/>
            <w:noWrap/>
            <w:vAlign w:val="center"/>
            <w:hideMark/>
          </w:tcPr>
          <w:p w:rsidRPr="00DD2F6A" w:rsidR="00DD2F6A" w:rsidRDefault="00DD2F6A" w14:paraId="5F437D13"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xml:space="preserve"> UPME</w:t>
            </w:r>
          </w:p>
        </w:tc>
        <w:tc>
          <w:tcPr>
            <w:tcW w:w="599" w:type="pct"/>
            <w:noWrap/>
            <w:vAlign w:val="bottom"/>
            <w:hideMark/>
          </w:tcPr>
          <w:p w:rsidRPr="00DD2F6A" w:rsidR="00DD2F6A" w:rsidRDefault="00DD2F6A" w14:paraId="3B221EAA"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w:t>
            </w:r>
          </w:p>
        </w:tc>
        <w:tc>
          <w:tcPr>
            <w:tcW w:w="599" w:type="pct"/>
            <w:noWrap/>
            <w:vAlign w:val="bottom"/>
            <w:hideMark/>
          </w:tcPr>
          <w:p w:rsidRPr="00DD2F6A" w:rsidR="00DD2F6A" w:rsidRDefault="00DD2F6A" w14:paraId="26FF34A7"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xml:space="preserve"> $     7.340 </w:t>
            </w:r>
          </w:p>
        </w:tc>
        <w:tc>
          <w:tcPr>
            <w:tcW w:w="515" w:type="pct"/>
            <w:noWrap/>
            <w:vAlign w:val="bottom"/>
            <w:hideMark/>
          </w:tcPr>
          <w:p w:rsidRPr="00DD2F6A" w:rsidR="00DD2F6A" w:rsidRDefault="00DD2F6A" w14:paraId="2793BCCB"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xml:space="preserve"> $   2.800 </w:t>
            </w:r>
          </w:p>
        </w:tc>
        <w:tc>
          <w:tcPr>
            <w:tcW w:w="515" w:type="pct"/>
            <w:noWrap/>
            <w:vAlign w:val="bottom"/>
            <w:hideMark/>
          </w:tcPr>
          <w:p w:rsidRPr="00DD2F6A" w:rsidR="00DD2F6A" w:rsidRDefault="00DD2F6A" w14:paraId="69BE6E37"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w:t>
            </w:r>
          </w:p>
        </w:tc>
        <w:tc>
          <w:tcPr>
            <w:tcW w:w="461" w:type="pct"/>
            <w:noWrap/>
            <w:vAlign w:val="bottom"/>
            <w:hideMark/>
          </w:tcPr>
          <w:p w:rsidRPr="00DD2F6A" w:rsidR="00DD2F6A" w:rsidRDefault="00DD2F6A" w14:paraId="49973635"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w:t>
            </w:r>
          </w:p>
        </w:tc>
        <w:tc>
          <w:tcPr>
            <w:tcW w:w="515" w:type="pct"/>
            <w:noWrap/>
            <w:vAlign w:val="bottom"/>
            <w:hideMark/>
          </w:tcPr>
          <w:p w:rsidRPr="00DD2F6A" w:rsidR="00DD2F6A" w:rsidRDefault="00DD2F6A" w14:paraId="49075D41"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xml:space="preserve"> $11.737 </w:t>
            </w:r>
          </w:p>
        </w:tc>
        <w:tc>
          <w:tcPr>
            <w:tcW w:w="515" w:type="pct"/>
            <w:noWrap/>
            <w:vAlign w:val="bottom"/>
            <w:hideMark/>
          </w:tcPr>
          <w:p w:rsidRPr="00DD2F6A" w:rsidR="00DD2F6A" w:rsidRDefault="00DD2F6A" w14:paraId="3A9163D3"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xml:space="preserve"> $   6.168 </w:t>
            </w:r>
          </w:p>
        </w:tc>
        <w:tc>
          <w:tcPr>
            <w:tcW w:w="654" w:type="pct"/>
            <w:noWrap/>
            <w:vAlign w:val="bottom"/>
            <w:hideMark/>
          </w:tcPr>
          <w:p w:rsidRPr="00DD2F6A" w:rsidR="00DD2F6A" w:rsidRDefault="00DD2F6A" w14:paraId="76AF6DFD"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xml:space="preserve"> $    28.045 </w:t>
            </w:r>
          </w:p>
        </w:tc>
      </w:tr>
      <w:tr w:rsidRPr="00DD2F6A" w:rsidR="00DD2F6A" w:rsidTr="00DD2F6A" w14:paraId="7528A92A" w14:textId="77777777">
        <w:trPr>
          <w:trHeight w:val="314"/>
        </w:trPr>
        <w:tc>
          <w:tcPr>
            <w:tcW w:w="625" w:type="pct"/>
            <w:shd w:val="clear" w:color="000000" w:fill="BFBFBF"/>
            <w:noWrap/>
            <w:vAlign w:val="center"/>
            <w:hideMark/>
          </w:tcPr>
          <w:p w:rsidRPr="00DD2F6A" w:rsidR="00DD2F6A" w:rsidRDefault="00DD2F6A" w14:paraId="1264D725" w14:textId="77777777">
            <w:pPr>
              <w:spacing w:after="0" w:line="240" w:lineRule="auto"/>
              <w:rPr>
                <w:rFonts w:ascii="Verdana" w:hAnsi="Verdana" w:eastAsia="Times New Roman" w:cs="Times New Roman"/>
                <w:b/>
                <w:bCs/>
                <w:sz w:val="16"/>
                <w:szCs w:val="16"/>
                <w:lang w:eastAsia="es-CO"/>
              </w:rPr>
            </w:pPr>
            <w:r w:rsidRPr="00DD2F6A">
              <w:rPr>
                <w:rFonts w:ascii="Verdana" w:hAnsi="Verdana" w:eastAsia="Times New Roman" w:cs="Times New Roman"/>
                <w:b/>
                <w:bCs/>
                <w:sz w:val="16"/>
                <w:szCs w:val="16"/>
                <w:lang w:eastAsia="es-CO"/>
              </w:rPr>
              <w:t>Total</w:t>
            </w:r>
          </w:p>
        </w:tc>
        <w:tc>
          <w:tcPr>
            <w:tcW w:w="599" w:type="pct"/>
            <w:shd w:val="clear" w:color="000000" w:fill="BFBFBF"/>
            <w:noWrap/>
            <w:vAlign w:val="bottom"/>
            <w:hideMark/>
          </w:tcPr>
          <w:p w:rsidRPr="00DD2F6A" w:rsidR="00DD2F6A" w:rsidRDefault="00DD2F6A" w14:paraId="419E54BF"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xml:space="preserve"> $1.026.570 </w:t>
            </w:r>
          </w:p>
        </w:tc>
        <w:tc>
          <w:tcPr>
            <w:tcW w:w="599" w:type="pct"/>
            <w:shd w:val="clear" w:color="000000" w:fill="BFBFBF"/>
            <w:noWrap/>
            <w:vAlign w:val="bottom"/>
            <w:hideMark/>
          </w:tcPr>
          <w:p w:rsidRPr="00DD2F6A" w:rsidR="00DD2F6A" w:rsidRDefault="00DD2F6A" w14:paraId="722606F7"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xml:space="preserve"> $5.368.251 </w:t>
            </w:r>
          </w:p>
        </w:tc>
        <w:tc>
          <w:tcPr>
            <w:tcW w:w="515" w:type="pct"/>
            <w:shd w:val="clear" w:color="000000" w:fill="BFBFBF"/>
            <w:noWrap/>
            <w:vAlign w:val="bottom"/>
            <w:hideMark/>
          </w:tcPr>
          <w:p w:rsidRPr="00DD2F6A" w:rsidR="00DD2F6A" w:rsidRDefault="00DD2F6A" w14:paraId="37E61AEE"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xml:space="preserve"> $137.937 </w:t>
            </w:r>
          </w:p>
        </w:tc>
        <w:tc>
          <w:tcPr>
            <w:tcW w:w="515" w:type="pct"/>
            <w:shd w:val="clear" w:color="000000" w:fill="BFBFBF"/>
            <w:noWrap/>
            <w:vAlign w:val="bottom"/>
            <w:hideMark/>
          </w:tcPr>
          <w:p w:rsidRPr="00DD2F6A" w:rsidR="00DD2F6A" w:rsidRDefault="00DD2F6A" w14:paraId="11A3F734"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xml:space="preserve"> $195.486 </w:t>
            </w:r>
          </w:p>
        </w:tc>
        <w:tc>
          <w:tcPr>
            <w:tcW w:w="461" w:type="pct"/>
            <w:shd w:val="clear" w:color="000000" w:fill="BFBFBF"/>
            <w:noWrap/>
            <w:vAlign w:val="bottom"/>
            <w:hideMark/>
          </w:tcPr>
          <w:p w:rsidRPr="00DD2F6A" w:rsidR="00DD2F6A" w:rsidRDefault="00DD2F6A" w14:paraId="5A4F3817"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xml:space="preserve"> $32.922 </w:t>
            </w:r>
          </w:p>
        </w:tc>
        <w:tc>
          <w:tcPr>
            <w:tcW w:w="515" w:type="pct"/>
            <w:shd w:val="clear" w:color="000000" w:fill="BFBFBF"/>
            <w:noWrap/>
            <w:vAlign w:val="bottom"/>
            <w:hideMark/>
          </w:tcPr>
          <w:p w:rsidRPr="00DD2F6A" w:rsidR="00DD2F6A" w:rsidRDefault="00DD2F6A" w14:paraId="2C27BF05"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xml:space="preserve"> $477.073 </w:t>
            </w:r>
          </w:p>
        </w:tc>
        <w:tc>
          <w:tcPr>
            <w:tcW w:w="515" w:type="pct"/>
            <w:shd w:val="clear" w:color="000000" w:fill="BFBFBF"/>
            <w:noWrap/>
            <w:vAlign w:val="bottom"/>
            <w:hideMark/>
          </w:tcPr>
          <w:p w:rsidRPr="00DD2F6A" w:rsidR="00DD2F6A" w:rsidRDefault="00DD2F6A" w14:paraId="0BD7F58A"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xml:space="preserve"> $181.238 </w:t>
            </w:r>
          </w:p>
        </w:tc>
        <w:tc>
          <w:tcPr>
            <w:tcW w:w="654" w:type="pct"/>
            <w:shd w:val="clear" w:color="000000" w:fill="BFBFBF"/>
            <w:noWrap/>
            <w:vAlign w:val="bottom"/>
            <w:hideMark/>
          </w:tcPr>
          <w:p w:rsidRPr="00DD2F6A" w:rsidR="00DD2F6A" w:rsidRDefault="00DD2F6A" w14:paraId="76F376FC" w14:textId="77777777">
            <w:pPr>
              <w:spacing w:after="0" w:line="240" w:lineRule="auto"/>
              <w:rPr>
                <w:rFonts w:ascii="Verdana" w:hAnsi="Verdana" w:eastAsia="Times New Roman" w:cs="Times New Roman"/>
                <w:sz w:val="16"/>
                <w:szCs w:val="16"/>
                <w:lang w:eastAsia="es-CO"/>
              </w:rPr>
            </w:pPr>
            <w:r w:rsidRPr="00DD2F6A">
              <w:rPr>
                <w:rFonts w:ascii="Verdana" w:hAnsi="Verdana" w:eastAsia="Times New Roman" w:cs="Times New Roman"/>
                <w:sz w:val="16"/>
                <w:szCs w:val="16"/>
                <w:lang w:eastAsia="es-CO"/>
              </w:rPr>
              <w:t xml:space="preserve"> $7.419.478 </w:t>
            </w:r>
          </w:p>
        </w:tc>
      </w:tr>
    </w:tbl>
    <w:p w:rsidRPr="00DD2F6A" w:rsidR="00DD2F6A" w:rsidP="00DD2F6A" w:rsidRDefault="00DD2F6A" w14:paraId="33EEA7C5" w14:textId="77777777">
      <w:pPr>
        <w:pStyle w:val="Fuente"/>
        <w:rPr>
          <w:rFonts w:ascii="Verdana" w:hAnsi="Verdana"/>
        </w:rPr>
      </w:pPr>
      <w:r w:rsidRPr="00DD2F6A">
        <w:rPr>
          <w:rFonts w:ascii="Verdana" w:hAnsi="Verdana"/>
        </w:rPr>
        <w:t>Fuente: Elaboración propia del Grupo de Programación y Gestión Estratégica de Proyectos con información del SIIF Nación del Min Hacienda. - Apropiación inicial decreto de liquidación</w:t>
      </w:r>
    </w:p>
    <w:p w:rsidR="006A0A13" w:rsidP="006A0A13" w:rsidRDefault="006A0A13" w14:paraId="138FCDB1" w14:textId="77777777">
      <w:pPr>
        <w:spacing w:after="0" w:line="360" w:lineRule="auto"/>
        <w:jc w:val="both"/>
        <w:rPr>
          <w:rFonts w:ascii="Verdana" w:hAnsi="Verdana"/>
          <w:sz w:val="24"/>
          <w:szCs w:val="24"/>
        </w:rPr>
      </w:pPr>
    </w:p>
    <w:p w:rsidRPr="00DD2F6A" w:rsidR="00DD2F6A" w:rsidP="006A0A13" w:rsidRDefault="00DD2F6A" w14:paraId="65A6FF9D" w14:textId="6822A138">
      <w:pPr>
        <w:spacing w:after="0" w:line="360" w:lineRule="auto"/>
        <w:jc w:val="both"/>
        <w:rPr>
          <w:rFonts w:ascii="Verdana" w:hAnsi="Verdana"/>
          <w:sz w:val="24"/>
          <w:szCs w:val="24"/>
        </w:rPr>
      </w:pPr>
      <w:r w:rsidRPr="00DD2F6A">
        <w:rPr>
          <w:rFonts w:ascii="Verdana" w:hAnsi="Verdana"/>
          <w:sz w:val="24"/>
          <w:szCs w:val="24"/>
        </w:rPr>
        <w:t>La anterior asignación de apropiación se distribuye en el Ministerio de Minas y Energía y sus entidades adscritas de la siguiente manera:</w:t>
      </w:r>
    </w:p>
    <w:p w:rsidR="001D2D91" w:rsidP="006A0A13" w:rsidRDefault="001D2D91" w14:paraId="52A91C13" w14:textId="77777777">
      <w:pPr>
        <w:spacing w:after="0" w:line="360" w:lineRule="auto"/>
        <w:jc w:val="center"/>
        <w:rPr>
          <w:rFonts w:ascii="Verdana" w:hAnsi="Verdana"/>
          <w:sz w:val="18"/>
          <w:szCs w:val="18"/>
        </w:rPr>
      </w:pPr>
    </w:p>
    <w:p w:rsidRPr="00DD2F6A" w:rsidR="00DD2F6A" w:rsidP="00DD2F6A" w:rsidRDefault="3E007DED" w14:paraId="3CA6F046" w14:textId="77777777">
      <w:pPr>
        <w:spacing w:after="0" w:line="240" w:lineRule="auto"/>
        <w:jc w:val="center"/>
        <w:rPr>
          <w:rFonts w:ascii="Verdana" w:hAnsi="Verdana"/>
          <w:sz w:val="18"/>
          <w:szCs w:val="18"/>
        </w:rPr>
      </w:pPr>
      <w:r w:rsidRPr="180099B3">
        <w:rPr>
          <w:rFonts w:ascii="Verdana" w:hAnsi="Verdana"/>
          <w:sz w:val="18"/>
          <w:szCs w:val="18"/>
        </w:rPr>
        <w:t xml:space="preserve">Tabla </w:t>
      </w:r>
      <w:r w:rsidRPr="180099B3" w:rsidR="30F40458">
        <w:rPr>
          <w:rFonts w:ascii="Verdana" w:hAnsi="Verdana"/>
          <w:sz w:val="18"/>
          <w:szCs w:val="18"/>
        </w:rPr>
        <w:t xml:space="preserve">No. </w:t>
      </w:r>
      <w:r w:rsidRPr="180099B3" w:rsidR="2683C8DF">
        <w:rPr>
          <w:rFonts w:ascii="Verdana" w:hAnsi="Verdana"/>
          <w:sz w:val="18"/>
          <w:szCs w:val="18"/>
        </w:rPr>
        <w:t>40</w:t>
      </w:r>
      <w:r w:rsidRPr="180099B3" w:rsidR="30F40458">
        <w:rPr>
          <w:rFonts w:ascii="Verdana" w:hAnsi="Verdana"/>
          <w:sz w:val="18"/>
          <w:szCs w:val="18"/>
        </w:rPr>
        <w:t xml:space="preserve">. </w:t>
      </w:r>
      <w:r w:rsidRPr="180099B3">
        <w:rPr>
          <w:rFonts w:ascii="Verdana" w:hAnsi="Verdana"/>
          <w:sz w:val="18"/>
          <w:szCs w:val="18"/>
        </w:rPr>
        <w:t>Distribución de la Apropiación del Presupuesto General de la Nación 2025 para el Sector Minero Energético.</w:t>
      </w:r>
    </w:p>
    <w:tbl>
      <w:tblPr>
        <w:tblW w:w="3700" w:type="dxa"/>
        <w:jc w:val="center"/>
        <w:tblCellMar>
          <w:left w:w="70" w:type="dxa"/>
          <w:right w:w="70" w:type="dxa"/>
        </w:tblCellMar>
        <w:tblLook w:val="04A0" w:firstRow="1" w:lastRow="0" w:firstColumn="1" w:lastColumn="0" w:noHBand="0" w:noVBand="1"/>
      </w:tblPr>
      <w:tblGrid>
        <w:gridCol w:w="1200"/>
        <w:gridCol w:w="2500"/>
      </w:tblGrid>
      <w:tr w:rsidRPr="00DD2F6A" w:rsidR="00DD2F6A" w:rsidTr="00DD2F6A" w14:paraId="65CF54D5" w14:textId="77777777">
        <w:trPr>
          <w:trHeight w:val="460"/>
          <w:jc w:val="center"/>
        </w:trPr>
        <w:tc>
          <w:tcPr>
            <w:tcW w:w="1200" w:type="dxa"/>
            <w:tcBorders>
              <w:top w:val="single" w:color="auto" w:sz="4" w:space="0"/>
              <w:left w:val="single" w:color="auto" w:sz="4" w:space="0"/>
              <w:bottom w:val="single" w:color="auto" w:sz="4" w:space="0"/>
              <w:right w:val="single" w:color="auto" w:sz="4" w:space="0"/>
            </w:tcBorders>
            <w:shd w:val="clear" w:color="auto" w:fill="A6A6A6" w:themeFill="background1" w:themeFillShade="A6"/>
            <w:vAlign w:val="center"/>
            <w:hideMark/>
          </w:tcPr>
          <w:p w:rsidRPr="00DD2F6A" w:rsidR="00DD2F6A" w:rsidP="00DD2F6A" w:rsidRDefault="00DD2F6A" w14:paraId="6B5C926E" w14:textId="77777777">
            <w:pPr>
              <w:spacing w:after="0" w:line="240" w:lineRule="auto"/>
              <w:jc w:val="center"/>
              <w:rPr>
                <w:rFonts w:ascii="Verdana" w:hAnsi="Verdana" w:eastAsia="Times New Roman" w:cs="Times New Roman"/>
                <w:b/>
                <w:bCs/>
                <w:sz w:val="18"/>
                <w:szCs w:val="18"/>
                <w:lang w:eastAsia="es-CO"/>
              </w:rPr>
            </w:pPr>
            <w:r w:rsidRPr="00DD2F6A">
              <w:rPr>
                <w:rFonts w:ascii="Verdana" w:hAnsi="Verdana" w:eastAsia="Times New Roman" w:cs="Times New Roman"/>
                <w:b/>
                <w:bCs/>
                <w:sz w:val="18"/>
                <w:szCs w:val="18"/>
                <w:lang w:eastAsia="es-CO"/>
              </w:rPr>
              <w:t>ENTIDAD</w:t>
            </w:r>
          </w:p>
        </w:tc>
        <w:tc>
          <w:tcPr>
            <w:tcW w:w="2500" w:type="dxa"/>
            <w:tcBorders>
              <w:top w:val="single" w:color="auto" w:sz="4" w:space="0"/>
              <w:left w:val="nil"/>
              <w:bottom w:val="single" w:color="auto" w:sz="4" w:space="0"/>
              <w:right w:val="single" w:color="auto" w:sz="4" w:space="0"/>
            </w:tcBorders>
            <w:shd w:val="clear" w:color="auto" w:fill="A6A6A6" w:themeFill="background1" w:themeFillShade="A6"/>
            <w:vAlign w:val="center"/>
            <w:hideMark/>
          </w:tcPr>
          <w:p w:rsidRPr="00DD2F6A" w:rsidR="00DD2F6A" w:rsidP="00DD2F6A" w:rsidRDefault="00DD2F6A" w14:paraId="596A8078" w14:textId="77777777">
            <w:pPr>
              <w:spacing w:after="0" w:line="240" w:lineRule="auto"/>
              <w:jc w:val="center"/>
              <w:rPr>
                <w:rFonts w:ascii="Verdana" w:hAnsi="Verdana" w:eastAsia="Times New Roman" w:cs="Times New Roman"/>
                <w:b/>
                <w:bCs/>
                <w:sz w:val="18"/>
                <w:szCs w:val="18"/>
                <w:lang w:eastAsia="es-CO"/>
              </w:rPr>
            </w:pPr>
            <w:r w:rsidRPr="00DD2F6A">
              <w:rPr>
                <w:rFonts w:ascii="Verdana" w:hAnsi="Verdana" w:eastAsia="Times New Roman" w:cs="Times New Roman"/>
                <w:b/>
                <w:bCs/>
                <w:sz w:val="18"/>
                <w:szCs w:val="18"/>
                <w:lang w:eastAsia="es-CO"/>
              </w:rPr>
              <w:t> Apropiación Inicial 2025</w:t>
            </w:r>
          </w:p>
        </w:tc>
      </w:tr>
      <w:tr w:rsidRPr="00DD2F6A" w:rsidR="00DD2F6A" w14:paraId="52131D25" w14:textId="77777777">
        <w:trPr>
          <w:trHeight w:val="290"/>
          <w:jc w:val="center"/>
        </w:trPr>
        <w:tc>
          <w:tcPr>
            <w:tcW w:w="1200" w:type="dxa"/>
            <w:tcBorders>
              <w:top w:val="nil"/>
              <w:left w:val="single" w:color="auto" w:sz="4" w:space="0"/>
              <w:bottom w:val="single" w:color="auto" w:sz="4" w:space="0"/>
              <w:right w:val="single" w:color="auto" w:sz="4" w:space="0"/>
            </w:tcBorders>
            <w:noWrap/>
            <w:vAlign w:val="center"/>
            <w:hideMark/>
          </w:tcPr>
          <w:p w:rsidRPr="00DD2F6A" w:rsidR="00DD2F6A" w:rsidP="00DD2F6A" w:rsidRDefault="00DD2F6A" w14:paraId="5DF65607" w14:textId="77777777">
            <w:pPr>
              <w:spacing w:after="0" w:line="240" w:lineRule="auto"/>
              <w:rPr>
                <w:rFonts w:ascii="Verdana" w:hAnsi="Verdana" w:eastAsia="Times New Roman" w:cs="Times New Roman"/>
                <w:sz w:val="18"/>
                <w:szCs w:val="18"/>
                <w:lang w:eastAsia="es-CO"/>
              </w:rPr>
            </w:pPr>
            <w:r w:rsidRPr="00DD2F6A">
              <w:rPr>
                <w:rFonts w:ascii="Verdana" w:hAnsi="Verdana" w:eastAsia="Times New Roman" w:cs="Times New Roman"/>
                <w:sz w:val="18"/>
                <w:szCs w:val="18"/>
                <w:lang w:eastAsia="es-CO"/>
              </w:rPr>
              <w:t xml:space="preserve"> ANH</w:t>
            </w:r>
          </w:p>
        </w:tc>
        <w:tc>
          <w:tcPr>
            <w:tcW w:w="2500" w:type="dxa"/>
            <w:tcBorders>
              <w:top w:val="nil"/>
              <w:left w:val="nil"/>
              <w:bottom w:val="single" w:color="auto" w:sz="4" w:space="0"/>
              <w:right w:val="single" w:color="auto" w:sz="4" w:space="0"/>
            </w:tcBorders>
            <w:noWrap/>
            <w:vAlign w:val="bottom"/>
            <w:hideMark/>
          </w:tcPr>
          <w:p w:rsidRPr="00DD2F6A" w:rsidR="00DD2F6A" w:rsidP="00DD2F6A" w:rsidRDefault="00DD2F6A" w14:paraId="4E4F44E6" w14:textId="77777777">
            <w:pPr>
              <w:spacing w:after="0" w:line="240" w:lineRule="auto"/>
              <w:jc w:val="right"/>
              <w:rPr>
                <w:rFonts w:ascii="Verdana" w:hAnsi="Verdana" w:eastAsia="Times New Roman" w:cs="Times New Roman"/>
                <w:sz w:val="18"/>
                <w:szCs w:val="18"/>
                <w:lang w:eastAsia="es-CO"/>
              </w:rPr>
            </w:pPr>
            <w:r w:rsidRPr="00DD2F6A">
              <w:rPr>
                <w:rFonts w:ascii="Verdana" w:hAnsi="Verdana" w:eastAsia="Times New Roman" w:cs="Times New Roman"/>
                <w:sz w:val="18"/>
                <w:szCs w:val="18"/>
                <w:lang w:eastAsia="es-CO"/>
              </w:rPr>
              <w:t>$ 385.890</w:t>
            </w:r>
          </w:p>
        </w:tc>
      </w:tr>
      <w:tr w:rsidRPr="00DD2F6A" w:rsidR="00DD2F6A" w14:paraId="10818EDA" w14:textId="77777777">
        <w:trPr>
          <w:trHeight w:val="290"/>
          <w:jc w:val="center"/>
        </w:trPr>
        <w:tc>
          <w:tcPr>
            <w:tcW w:w="1200" w:type="dxa"/>
            <w:tcBorders>
              <w:top w:val="nil"/>
              <w:left w:val="single" w:color="auto" w:sz="4" w:space="0"/>
              <w:bottom w:val="single" w:color="auto" w:sz="4" w:space="0"/>
              <w:right w:val="single" w:color="auto" w:sz="4" w:space="0"/>
            </w:tcBorders>
            <w:noWrap/>
            <w:vAlign w:val="center"/>
            <w:hideMark/>
          </w:tcPr>
          <w:p w:rsidRPr="00DD2F6A" w:rsidR="00DD2F6A" w:rsidP="00DD2F6A" w:rsidRDefault="00DD2F6A" w14:paraId="4251FC5E" w14:textId="77777777">
            <w:pPr>
              <w:spacing w:after="0" w:line="240" w:lineRule="auto"/>
              <w:rPr>
                <w:rFonts w:ascii="Verdana" w:hAnsi="Verdana" w:eastAsia="Times New Roman" w:cs="Times New Roman"/>
                <w:sz w:val="18"/>
                <w:szCs w:val="18"/>
                <w:lang w:eastAsia="es-CO"/>
              </w:rPr>
            </w:pPr>
            <w:r w:rsidRPr="00DD2F6A">
              <w:rPr>
                <w:rFonts w:ascii="Verdana" w:hAnsi="Verdana" w:eastAsia="Times New Roman" w:cs="Times New Roman"/>
                <w:sz w:val="18"/>
                <w:szCs w:val="18"/>
                <w:lang w:eastAsia="es-CO"/>
              </w:rPr>
              <w:t xml:space="preserve"> ANM</w:t>
            </w:r>
          </w:p>
        </w:tc>
        <w:tc>
          <w:tcPr>
            <w:tcW w:w="2500" w:type="dxa"/>
            <w:tcBorders>
              <w:top w:val="nil"/>
              <w:left w:val="nil"/>
              <w:bottom w:val="single" w:color="auto" w:sz="4" w:space="0"/>
              <w:right w:val="single" w:color="auto" w:sz="4" w:space="0"/>
            </w:tcBorders>
            <w:noWrap/>
            <w:vAlign w:val="bottom"/>
            <w:hideMark/>
          </w:tcPr>
          <w:p w:rsidRPr="00DD2F6A" w:rsidR="00DD2F6A" w:rsidP="00DD2F6A" w:rsidRDefault="00DD2F6A" w14:paraId="5E4B7983" w14:textId="77777777">
            <w:pPr>
              <w:spacing w:after="0" w:line="240" w:lineRule="auto"/>
              <w:jc w:val="right"/>
              <w:rPr>
                <w:rFonts w:ascii="Verdana" w:hAnsi="Verdana" w:eastAsia="Times New Roman" w:cs="Times New Roman"/>
                <w:sz w:val="18"/>
                <w:szCs w:val="18"/>
                <w:lang w:eastAsia="es-CO"/>
              </w:rPr>
            </w:pPr>
            <w:r w:rsidRPr="00DD2F6A">
              <w:rPr>
                <w:rFonts w:ascii="Verdana" w:hAnsi="Verdana" w:eastAsia="Times New Roman" w:cs="Times New Roman"/>
                <w:sz w:val="18"/>
                <w:szCs w:val="18"/>
                <w:lang w:eastAsia="es-CO"/>
              </w:rPr>
              <w:t>$ 116.615</w:t>
            </w:r>
          </w:p>
        </w:tc>
      </w:tr>
      <w:tr w:rsidRPr="00DD2F6A" w:rsidR="00DD2F6A" w14:paraId="563B9012" w14:textId="77777777">
        <w:trPr>
          <w:trHeight w:val="290"/>
          <w:jc w:val="center"/>
        </w:trPr>
        <w:tc>
          <w:tcPr>
            <w:tcW w:w="1200" w:type="dxa"/>
            <w:tcBorders>
              <w:top w:val="nil"/>
              <w:left w:val="single" w:color="auto" w:sz="4" w:space="0"/>
              <w:bottom w:val="single" w:color="auto" w:sz="4" w:space="0"/>
              <w:right w:val="single" w:color="auto" w:sz="4" w:space="0"/>
            </w:tcBorders>
            <w:noWrap/>
            <w:vAlign w:val="center"/>
            <w:hideMark/>
          </w:tcPr>
          <w:p w:rsidRPr="00DD2F6A" w:rsidR="00DD2F6A" w:rsidP="00DD2F6A" w:rsidRDefault="00DD2F6A" w14:paraId="55520920" w14:textId="77777777">
            <w:pPr>
              <w:spacing w:after="0" w:line="240" w:lineRule="auto"/>
              <w:rPr>
                <w:rFonts w:ascii="Verdana" w:hAnsi="Verdana" w:eastAsia="Times New Roman" w:cs="Times New Roman"/>
                <w:sz w:val="18"/>
                <w:szCs w:val="18"/>
                <w:lang w:eastAsia="es-CO"/>
              </w:rPr>
            </w:pPr>
            <w:r w:rsidRPr="00DD2F6A">
              <w:rPr>
                <w:rFonts w:ascii="Verdana" w:hAnsi="Verdana" w:eastAsia="Times New Roman" w:cs="Times New Roman"/>
                <w:sz w:val="18"/>
                <w:szCs w:val="18"/>
                <w:lang w:eastAsia="es-CO"/>
              </w:rPr>
              <w:t>IPSE</w:t>
            </w:r>
          </w:p>
        </w:tc>
        <w:tc>
          <w:tcPr>
            <w:tcW w:w="2500" w:type="dxa"/>
            <w:tcBorders>
              <w:top w:val="nil"/>
              <w:left w:val="nil"/>
              <w:bottom w:val="single" w:color="auto" w:sz="4" w:space="0"/>
              <w:right w:val="single" w:color="auto" w:sz="4" w:space="0"/>
            </w:tcBorders>
            <w:noWrap/>
            <w:vAlign w:val="bottom"/>
            <w:hideMark/>
          </w:tcPr>
          <w:p w:rsidRPr="00DD2F6A" w:rsidR="00DD2F6A" w:rsidP="00DD2F6A" w:rsidRDefault="00DD2F6A" w14:paraId="4734F8DA" w14:textId="77777777">
            <w:pPr>
              <w:spacing w:after="0" w:line="240" w:lineRule="auto"/>
              <w:jc w:val="right"/>
              <w:rPr>
                <w:rFonts w:ascii="Verdana" w:hAnsi="Verdana" w:eastAsia="Times New Roman" w:cs="Times New Roman"/>
                <w:sz w:val="18"/>
                <w:szCs w:val="18"/>
                <w:lang w:eastAsia="es-CO"/>
              </w:rPr>
            </w:pPr>
            <w:r w:rsidRPr="00DD2F6A">
              <w:rPr>
                <w:rFonts w:ascii="Verdana" w:hAnsi="Verdana" w:eastAsia="Times New Roman" w:cs="Times New Roman"/>
                <w:sz w:val="18"/>
                <w:szCs w:val="18"/>
                <w:lang w:eastAsia="es-CO"/>
              </w:rPr>
              <w:t>$ 137.763</w:t>
            </w:r>
          </w:p>
        </w:tc>
      </w:tr>
      <w:tr w:rsidRPr="00DD2F6A" w:rsidR="00DD2F6A" w14:paraId="37DF21B3" w14:textId="77777777">
        <w:trPr>
          <w:trHeight w:val="290"/>
          <w:jc w:val="center"/>
        </w:trPr>
        <w:tc>
          <w:tcPr>
            <w:tcW w:w="1200" w:type="dxa"/>
            <w:tcBorders>
              <w:top w:val="nil"/>
              <w:left w:val="single" w:color="auto" w:sz="4" w:space="0"/>
              <w:bottom w:val="single" w:color="auto" w:sz="4" w:space="0"/>
              <w:right w:val="single" w:color="auto" w:sz="4" w:space="0"/>
            </w:tcBorders>
            <w:noWrap/>
            <w:vAlign w:val="center"/>
            <w:hideMark/>
          </w:tcPr>
          <w:p w:rsidRPr="00DD2F6A" w:rsidR="00DD2F6A" w:rsidP="00DD2F6A" w:rsidRDefault="00DD2F6A" w14:paraId="4612EA51" w14:textId="77777777">
            <w:pPr>
              <w:spacing w:after="0" w:line="240" w:lineRule="auto"/>
              <w:rPr>
                <w:rFonts w:ascii="Verdana" w:hAnsi="Verdana" w:eastAsia="Times New Roman" w:cs="Times New Roman"/>
                <w:sz w:val="18"/>
                <w:szCs w:val="18"/>
                <w:lang w:eastAsia="es-CO"/>
              </w:rPr>
            </w:pPr>
            <w:r w:rsidRPr="00DD2F6A">
              <w:rPr>
                <w:rFonts w:ascii="Verdana" w:hAnsi="Verdana" w:eastAsia="Times New Roman" w:cs="Times New Roman"/>
                <w:sz w:val="18"/>
                <w:szCs w:val="18"/>
                <w:lang w:eastAsia="es-CO"/>
              </w:rPr>
              <w:t>CREG</w:t>
            </w:r>
          </w:p>
        </w:tc>
        <w:tc>
          <w:tcPr>
            <w:tcW w:w="2500" w:type="dxa"/>
            <w:tcBorders>
              <w:top w:val="nil"/>
              <w:left w:val="nil"/>
              <w:bottom w:val="single" w:color="auto" w:sz="4" w:space="0"/>
              <w:right w:val="single" w:color="auto" w:sz="4" w:space="0"/>
            </w:tcBorders>
            <w:noWrap/>
            <w:vAlign w:val="bottom"/>
            <w:hideMark/>
          </w:tcPr>
          <w:p w:rsidRPr="00DD2F6A" w:rsidR="00DD2F6A" w:rsidP="00DD2F6A" w:rsidRDefault="00DD2F6A" w14:paraId="5EB3EEDB" w14:textId="77777777">
            <w:pPr>
              <w:spacing w:after="0" w:line="240" w:lineRule="auto"/>
              <w:jc w:val="right"/>
              <w:rPr>
                <w:rFonts w:ascii="Verdana" w:hAnsi="Verdana" w:eastAsia="Times New Roman" w:cs="Times New Roman"/>
                <w:sz w:val="18"/>
                <w:szCs w:val="18"/>
                <w:lang w:eastAsia="es-CO"/>
              </w:rPr>
            </w:pPr>
            <w:r w:rsidRPr="00DD2F6A">
              <w:rPr>
                <w:rFonts w:ascii="Verdana" w:hAnsi="Verdana" w:eastAsia="Times New Roman" w:cs="Times New Roman"/>
                <w:sz w:val="18"/>
                <w:szCs w:val="18"/>
                <w:lang w:eastAsia="es-CO"/>
              </w:rPr>
              <w:t>$ 15.953</w:t>
            </w:r>
          </w:p>
        </w:tc>
      </w:tr>
      <w:tr w:rsidRPr="00DD2F6A" w:rsidR="00DD2F6A" w14:paraId="1BE3D368" w14:textId="77777777">
        <w:trPr>
          <w:trHeight w:val="290"/>
          <w:jc w:val="center"/>
        </w:trPr>
        <w:tc>
          <w:tcPr>
            <w:tcW w:w="1200" w:type="dxa"/>
            <w:tcBorders>
              <w:top w:val="nil"/>
              <w:left w:val="single" w:color="auto" w:sz="4" w:space="0"/>
              <w:bottom w:val="single" w:color="auto" w:sz="4" w:space="0"/>
              <w:right w:val="single" w:color="auto" w:sz="4" w:space="0"/>
            </w:tcBorders>
            <w:noWrap/>
            <w:vAlign w:val="center"/>
            <w:hideMark/>
          </w:tcPr>
          <w:p w:rsidRPr="00DD2F6A" w:rsidR="00DD2F6A" w:rsidP="00DD2F6A" w:rsidRDefault="00DD2F6A" w14:paraId="061C9737" w14:textId="77777777">
            <w:pPr>
              <w:spacing w:after="0" w:line="240" w:lineRule="auto"/>
              <w:rPr>
                <w:rFonts w:ascii="Verdana" w:hAnsi="Verdana" w:eastAsia="Times New Roman" w:cs="Times New Roman"/>
                <w:sz w:val="18"/>
                <w:szCs w:val="18"/>
                <w:lang w:eastAsia="es-CO"/>
              </w:rPr>
            </w:pPr>
            <w:r w:rsidRPr="00DD2F6A">
              <w:rPr>
                <w:rFonts w:ascii="Verdana" w:hAnsi="Verdana" w:eastAsia="Times New Roman" w:cs="Times New Roman"/>
                <w:sz w:val="18"/>
                <w:szCs w:val="18"/>
                <w:lang w:eastAsia="es-CO"/>
              </w:rPr>
              <w:t>MME</w:t>
            </w:r>
          </w:p>
        </w:tc>
        <w:tc>
          <w:tcPr>
            <w:tcW w:w="2500" w:type="dxa"/>
            <w:tcBorders>
              <w:top w:val="nil"/>
              <w:left w:val="nil"/>
              <w:bottom w:val="single" w:color="auto" w:sz="4" w:space="0"/>
              <w:right w:val="single" w:color="auto" w:sz="4" w:space="0"/>
            </w:tcBorders>
            <w:noWrap/>
            <w:vAlign w:val="bottom"/>
            <w:hideMark/>
          </w:tcPr>
          <w:p w:rsidRPr="00DD2F6A" w:rsidR="00DD2F6A" w:rsidP="00DD2F6A" w:rsidRDefault="00DD2F6A" w14:paraId="11E1BB87" w14:textId="77777777">
            <w:pPr>
              <w:spacing w:after="0" w:line="240" w:lineRule="auto"/>
              <w:jc w:val="right"/>
              <w:rPr>
                <w:rFonts w:ascii="Verdana" w:hAnsi="Verdana" w:eastAsia="Times New Roman" w:cs="Times New Roman"/>
                <w:sz w:val="18"/>
                <w:szCs w:val="18"/>
                <w:lang w:eastAsia="es-CO"/>
              </w:rPr>
            </w:pPr>
            <w:r w:rsidRPr="00DD2F6A">
              <w:rPr>
                <w:rFonts w:ascii="Verdana" w:hAnsi="Verdana" w:eastAsia="Times New Roman" w:cs="Times New Roman"/>
                <w:sz w:val="18"/>
                <w:szCs w:val="18"/>
                <w:lang w:eastAsia="es-CO"/>
              </w:rPr>
              <w:t>$ 6.635.211</w:t>
            </w:r>
          </w:p>
        </w:tc>
      </w:tr>
      <w:tr w:rsidRPr="00DD2F6A" w:rsidR="00DD2F6A" w14:paraId="7A112BD2" w14:textId="77777777">
        <w:trPr>
          <w:trHeight w:val="290"/>
          <w:jc w:val="center"/>
        </w:trPr>
        <w:tc>
          <w:tcPr>
            <w:tcW w:w="1200" w:type="dxa"/>
            <w:tcBorders>
              <w:top w:val="nil"/>
              <w:left w:val="single" w:color="auto" w:sz="4" w:space="0"/>
              <w:bottom w:val="single" w:color="auto" w:sz="4" w:space="0"/>
              <w:right w:val="single" w:color="auto" w:sz="4" w:space="0"/>
            </w:tcBorders>
            <w:noWrap/>
            <w:vAlign w:val="center"/>
            <w:hideMark/>
          </w:tcPr>
          <w:p w:rsidRPr="00DD2F6A" w:rsidR="00DD2F6A" w:rsidP="00DD2F6A" w:rsidRDefault="00DD2F6A" w14:paraId="0E31FA73" w14:textId="77777777">
            <w:pPr>
              <w:spacing w:after="0" w:line="240" w:lineRule="auto"/>
              <w:rPr>
                <w:rFonts w:ascii="Verdana" w:hAnsi="Verdana" w:eastAsia="Times New Roman" w:cs="Times New Roman"/>
                <w:sz w:val="18"/>
                <w:szCs w:val="18"/>
                <w:lang w:eastAsia="es-CO"/>
              </w:rPr>
            </w:pPr>
            <w:r w:rsidRPr="00DD2F6A">
              <w:rPr>
                <w:rFonts w:ascii="Verdana" w:hAnsi="Verdana" w:eastAsia="Times New Roman" w:cs="Times New Roman"/>
                <w:sz w:val="18"/>
                <w:szCs w:val="18"/>
                <w:lang w:eastAsia="es-CO"/>
              </w:rPr>
              <w:t>SGC</w:t>
            </w:r>
          </w:p>
        </w:tc>
        <w:tc>
          <w:tcPr>
            <w:tcW w:w="2500" w:type="dxa"/>
            <w:tcBorders>
              <w:top w:val="nil"/>
              <w:left w:val="nil"/>
              <w:bottom w:val="single" w:color="auto" w:sz="4" w:space="0"/>
              <w:right w:val="single" w:color="auto" w:sz="4" w:space="0"/>
            </w:tcBorders>
            <w:noWrap/>
            <w:vAlign w:val="bottom"/>
            <w:hideMark/>
          </w:tcPr>
          <w:p w:rsidRPr="00DD2F6A" w:rsidR="00DD2F6A" w:rsidP="00DD2F6A" w:rsidRDefault="00DD2F6A" w14:paraId="2E61D410" w14:textId="77777777">
            <w:pPr>
              <w:spacing w:after="0" w:line="240" w:lineRule="auto"/>
              <w:jc w:val="right"/>
              <w:rPr>
                <w:rFonts w:ascii="Verdana" w:hAnsi="Verdana" w:eastAsia="Times New Roman" w:cs="Times New Roman"/>
                <w:sz w:val="18"/>
                <w:szCs w:val="18"/>
                <w:lang w:eastAsia="es-CO"/>
              </w:rPr>
            </w:pPr>
            <w:r w:rsidRPr="00DD2F6A">
              <w:rPr>
                <w:rFonts w:ascii="Verdana" w:hAnsi="Verdana" w:eastAsia="Times New Roman" w:cs="Times New Roman"/>
                <w:sz w:val="18"/>
                <w:szCs w:val="18"/>
                <w:lang w:eastAsia="es-CO"/>
              </w:rPr>
              <w:t>$ 100.000</w:t>
            </w:r>
          </w:p>
        </w:tc>
      </w:tr>
      <w:tr w:rsidRPr="00DD2F6A" w:rsidR="00DD2F6A" w14:paraId="33376575" w14:textId="77777777">
        <w:trPr>
          <w:trHeight w:val="290"/>
          <w:jc w:val="center"/>
        </w:trPr>
        <w:tc>
          <w:tcPr>
            <w:tcW w:w="1200" w:type="dxa"/>
            <w:tcBorders>
              <w:top w:val="nil"/>
              <w:left w:val="single" w:color="auto" w:sz="4" w:space="0"/>
              <w:bottom w:val="single" w:color="auto" w:sz="4" w:space="0"/>
              <w:right w:val="single" w:color="auto" w:sz="4" w:space="0"/>
            </w:tcBorders>
            <w:noWrap/>
            <w:vAlign w:val="center"/>
            <w:hideMark/>
          </w:tcPr>
          <w:p w:rsidRPr="00DD2F6A" w:rsidR="00DD2F6A" w:rsidP="00DD2F6A" w:rsidRDefault="00DD2F6A" w14:paraId="7FCB1876" w14:textId="77777777">
            <w:pPr>
              <w:spacing w:after="0" w:line="240" w:lineRule="auto"/>
              <w:rPr>
                <w:rFonts w:ascii="Verdana" w:hAnsi="Verdana" w:eastAsia="Times New Roman" w:cs="Times New Roman"/>
                <w:sz w:val="18"/>
                <w:szCs w:val="18"/>
                <w:lang w:eastAsia="es-CO"/>
              </w:rPr>
            </w:pPr>
            <w:r w:rsidRPr="00DD2F6A">
              <w:rPr>
                <w:rFonts w:ascii="Verdana" w:hAnsi="Verdana" w:eastAsia="Times New Roman" w:cs="Times New Roman"/>
                <w:sz w:val="18"/>
                <w:szCs w:val="18"/>
                <w:lang w:eastAsia="es-CO"/>
              </w:rPr>
              <w:t xml:space="preserve"> UPME</w:t>
            </w:r>
          </w:p>
        </w:tc>
        <w:tc>
          <w:tcPr>
            <w:tcW w:w="2500" w:type="dxa"/>
            <w:tcBorders>
              <w:top w:val="nil"/>
              <w:left w:val="nil"/>
              <w:bottom w:val="single" w:color="auto" w:sz="4" w:space="0"/>
              <w:right w:val="single" w:color="auto" w:sz="4" w:space="0"/>
            </w:tcBorders>
            <w:noWrap/>
            <w:vAlign w:val="bottom"/>
            <w:hideMark/>
          </w:tcPr>
          <w:p w:rsidRPr="00DD2F6A" w:rsidR="00DD2F6A" w:rsidP="00DD2F6A" w:rsidRDefault="00DD2F6A" w14:paraId="2D766CC4" w14:textId="77777777">
            <w:pPr>
              <w:spacing w:after="0" w:line="240" w:lineRule="auto"/>
              <w:jc w:val="right"/>
              <w:rPr>
                <w:rFonts w:ascii="Verdana" w:hAnsi="Verdana" w:eastAsia="Times New Roman" w:cs="Times New Roman"/>
                <w:sz w:val="18"/>
                <w:szCs w:val="18"/>
                <w:lang w:eastAsia="es-CO"/>
              </w:rPr>
            </w:pPr>
            <w:r w:rsidRPr="00DD2F6A">
              <w:rPr>
                <w:rFonts w:ascii="Verdana" w:hAnsi="Verdana" w:eastAsia="Times New Roman" w:cs="Times New Roman"/>
                <w:sz w:val="18"/>
                <w:szCs w:val="18"/>
                <w:lang w:eastAsia="es-CO"/>
              </w:rPr>
              <w:t>$ 28.045</w:t>
            </w:r>
          </w:p>
        </w:tc>
      </w:tr>
      <w:tr w:rsidRPr="00DD2F6A" w:rsidR="00DD2F6A" w14:paraId="77C2F2B6" w14:textId="77777777">
        <w:trPr>
          <w:trHeight w:val="290"/>
          <w:jc w:val="center"/>
        </w:trPr>
        <w:tc>
          <w:tcPr>
            <w:tcW w:w="1200" w:type="dxa"/>
            <w:tcBorders>
              <w:top w:val="nil"/>
              <w:left w:val="single" w:color="auto" w:sz="4" w:space="0"/>
              <w:bottom w:val="single" w:color="auto" w:sz="4" w:space="0"/>
              <w:right w:val="single" w:color="auto" w:sz="4" w:space="0"/>
            </w:tcBorders>
            <w:shd w:val="clear" w:color="000000" w:fill="BFBFBF"/>
            <w:noWrap/>
            <w:vAlign w:val="center"/>
            <w:hideMark/>
          </w:tcPr>
          <w:p w:rsidRPr="00DD2F6A" w:rsidR="00DD2F6A" w:rsidP="00DD2F6A" w:rsidRDefault="00DD2F6A" w14:paraId="6F3C1391" w14:textId="77777777">
            <w:pPr>
              <w:spacing w:after="0" w:line="240" w:lineRule="auto"/>
              <w:rPr>
                <w:rFonts w:ascii="Verdana" w:hAnsi="Verdana" w:eastAsia="Times New Roman" w:cs="Times New Roman"/>
                <w:b/>
                <w:bCs/>
                <w:sz w:val="18"/>
                <w:szCs w:val="18"/>
                <w:lang w:eastAsia="es-CO"/>
              </w:rPr>
            </w:pPr>
            <w:r w:rsidRPr="00DD2F6A">
              <w:rPr>
                <w:rFonts w:ascii="Verdana" w:hAnsi="Verdana" w:eastAsia="Times New Roman" w:cs="Times New Roman"/>
                <w:b/>
                <w:bCs/>
                <w:sz w:val="18"/>
                <w:szCs w:val="18"/>
                <w:lang w:eastAsia="es-CO"/>
              </w:rPr>
              <w:t>Total</w:t>
            </w:r>
          </w:p>
        </w:tc>
        <w:tc>
          <w:tcPr>
            <w:tcW w:w="2500" w:type="dxa"/>
            <w:tcBorders>
              <w:top w:val="nil"/>
              <w:left w:val="nil"/>
              <w:bottom w:val="single" w:color="auto" w:sz="4" w:space="0"/>
              <w:right w:val="single" w:color="auto" w:sz="4" w:space="0"/>
            </w:tcBorders>
            <w:shd w:val="clear" w:color="000000" w:fill="BFBFBF"/>
            <w:noWrap/>
            <w:vAlign w:val="center"/>
            <w:hideMark/>
          </w:tcPr>
          <w:p w:rsidRPr="00DD2F6A" w:rsidR="00DD2F6A" w:rsidP="00DD2F6A" w:rsidRDefault="00DD2F6A" w14:paraId="6EC78840" w14:textId="77777777">
            <w:pPr>
              <w:spacing w:after="0" w:line="240" w:lineRule="auto"/>
              <w:jc w:val="right"/>
              <w:rPr>
                <w:rFonts w:ascii="Verdana" w:hAnsi="Verdana" w:eastAsia="Times New Roman" w:cs="Times New Roman"/>
                <w:sz w:val="18"/>
                <w:szCs w:val="18"/>
                <w:lang w:eastAsia="es-CO"/>
              </w:rPr>
            </w:pPr>
            <w:r w:rsidRPr="00DD2F6A">
              <w:rPr>
                <w:rFonts w:ascii="Verdana" w:hAnsi="Verdana" w:eastAsia="Times New Roman" w:cs="Times New Roman"/>
                <w:sz w:val="18"/>
                <w:szCs w:val="18"/>
                <w:lang w:eastAsia="es-CO"/>
              </w:rPr>
              <w:t>$ 7.419.478</w:t>
            </w:r>
          </w:p>
        </w:tc>
      </w:tr>
    </w:tbl>
    <w:p w:rsidRPr="00DD2F6A" w:rsidR="00DD2F6A" w:rsidP="00DD2F6A" w:rsidRDefault="00DD2F6A" w14:paraId="0CE62CE0" w14:textId="77777777">
      <w:pPr>
        <w:pStyle w:val="Fuente"/>
        <w:spacing w:after="0"/>
        <w:rPr>
          <w:rFonts w:ascii="Verdana" w:hAnsi="Verdana"/>
        </w:rPr>
      </w:pPr>
      <w:r w:rsidRPr="00DD2F6A">
        <w:rPr>
          <w:rFonts w:ascii="Verdana" w:hAnsi="Verdana"/>
        </w:rPr>
        <w:t xml:space="preserve">Fuente: Elaboración propia del Grupo de Programación y Gestión Estratégica de Proyectos </w:t>
      </w:r>
      <w:r w:rsidRPr="00DD2F6A">
        <w:rPr>
          <w:rFonts w:ascii="Verdana" w:hAnsi="Verdana" w:eastAsia="Verdana" w:cs="Verdana"/>
        </w:rPr>
        <w:t>- Apropiación inicial decreto de liquidación.</w:t>
      </w:r>
    </w:p>
    <w:p w:rsidRPr="00DD2F6A" w:rsidR="006D692F" w:rsidP="006A0A13" w:rsidRDefault="006D692F" w14:paraId="7554517B" w14:textId="77777777">
      <w:pPr>
        <w:spacing w:after="0" w:line="360" w:lineRule="auto"/>
        <w:jc w:val="both"/>
        <w:rPr>
          <w:rFonts w:ascii="Verdana" w:hAnsi="Verdana"/>
          <w:sz w:val="18"/>
          <w:szCs w:val="18"/>
        </w:rPr>
      </w:pPr>
    </w:p>
    <w:p w:rsidRPr="00097599" w:rsidR="00097599" w:rsidP="006A0A13" w:rsidRDefault="00097599" w14:paraId="3EC6E028" w14:textId="77777777">
      <w:pPr>
        <w:spacing w:after="0" w:line="360" w:lineRule="auto"/>
        <w:jc w:val="both"/>
        <w:rPr>
          <w:rFonts w:ascii="Verdana" w:hAnsi="Verdana"/>
          <w:b/>
          <w:bCs/>
          <w:sz w:val="24"/>
          <w:szCs w:val="24"/>
        </w:rPr>
      </w:pPr>
      <w:r w:rsidRPr="00097599">
        <w:rPr>
          <w:rFonts w:ascii="Verdana" w:hAnsi="Verdana"/>
          <w:b/>
          <w:bCs/>
          <w:sz w:val="24"/>
          <w:szCs w:val="24"/>
        </w:rPr>
        <w:t>Vigencia 2026</w:t>
      </w:r>
    </w:p>
    <w:p w:rsidR="00097599" w:rsidP="006A0A13" w:rsidRDefault="00097599" w14:paraId="6E923DC3" w14:textId="77777777">
      <w:pPr>
        <w:spacing w:after="0" w:line="360" w:lineRule="auto"/>
        <w:jc w:val="both"/>
        <w:rPr>
          <w:rFonts w:ascii="Verdana" w:hAnsi="Verdana"/>
          <w:sz w:val="24"/>
          <w:szCs w:val="24"/>
        </w:rPr>
      </w:pPr>
    </w:p>
    <w:p w:rsidRPr="00097599" w:rsidR="00097599" w:rsidP="006A0A13" w:rsidRDefault="751DD037" w14:paraId="7B585CDE" w14:textId="3D636AF1">
      <w:pPr>
        <w:spacing w:after="0" w:line="360" w:lineRule="auto"/>
        <w:jc w:val="both"/>
        <w:rPr>
          <w:rFonts w:ascii="Verdana" w:hAnsi="Verdana"/>
          <w:sz w:val="24"/>
          <w:szCs w:val="24"/>
        </w:rPr>
      </w:pPr>
      <w:r w:rsidRPr="0FF05B1B">
        <w:rPr>
          <w:rFonts w:ascii="Verdana" w:hAnsi="Verdana"/>
          <w:sz w:val="24"/>
          <w:szCs w:val="24"/>
        </w:rPr>
        <w:t xml:space="preserve">De acuerdo con el Decreto 1477 del 30 de diciembre de 2025, </w:t>
      </w:r>
      <w:r w:rsidRPr="0FF05B1B" w:rsidR="4F20286A">
        <w:rPr>
          <w:rFonts w:ascii="Verdana" w:hAnsi="Verdana"/>
          <w:sz w:val="24"/>
          <w:szCs w:val="24"/>
        </w:rPr>
        <w:t>p</w:t>
      </w:r>
      <w:r w:rsidRPr="0FF05B1B">
        <w:rPr>
          <w:rFonts w:ascii="Verdana" w:hAnsi="Verdana"/>
          <w:sz w:val="24"/>
          <w:szCs w:val="24"/>
        </w:rPr>
        <w:t>or el cual se liquida el Presupuesto General de la Nación para la vigencia fiscal de 2026, se detallan las apropiaciones, se clasifican y definen los gastos, a continuación, se detalla la distribución por programa presupuestal asociado al Sector Minas y Energía:</w:t>
      </w:r>
    </w:p>
    <w:p w:rsidRPr="00097599" w:rsidR="00097599" w:rsidRDefault="00097599" w14:paraId="07EFBABF" w14:textId="77777777">
      <w:pPr>
        <w:pStyle w:val="Prrafodelista"/>
        <w:numPr>
          <w:ilvl w:val="0"/>
          <w:numId w:val="73"/>
        </w:numPr>
        <w:spacing w:after="0" w:line="360" w:lineRule="auto"/>
        <w:jc w:val="both"/>
        <w:rPr>
          <w:rFonts w:ascii="Verdana" w:hAnsi="Verdana"/>
          <w:sz w:val="24"/>
          <w:szCs w:val="24"/>
        </w:rPr>
      </w:pPr>
      <w:r w:rsidRPr="00097599">
        <w:rPr>
          <w:rFonts w:ascii="Verdana" w:hAnsi="Verdana"/>
          <w:sz w:val="24"/>
          <w:szCs w:val="24"/>
        </w:rPr>
        <w:t>2101: Acceso al Servicio Público Domiciliario de Gas Combustible: $1.729.277 millones.</w:t>
      </w:r>
    </w:p>
    <w:p w:rsidRPr="00097599" w:rsidR="00097599" w:rsidRDefault="00097599" w14:paraId="12DBDBE0" w14:textId="7A115AA3">
      <w:pPr>
        <w:pStyle w:val="Prrafodelista"/>
        <w:numPr>
          <w:ilvl w:val="0"/>
          <w:numId w:val="73"/>
        </w:numPr>
        <w:spacing w:after="0" w:line="360" w:lineRule="auto"/>
        <w:jc w:val="both"/>
        <w:rPr>
          <w:rFonts w:ascii="Verdana" w:hAnsi="Verdana"/>
          <w:sz w:val="24"/>
          <w:szCs w:val="24"/>
        </w:rPr>
      </w:pPr>
      <w:r w:rsidRPr="30CF4445" w:rsidR="1A4BBEA3">
        <w:rPr>
          <w:rFonts w:ascii="Verdana" w:hAnsi="Verdana"/>
          <w:sz w:val="24"/>
          <w:szCs w:val="24"/>
        </w:rPr>
        <w:t xml:space="preserve">2102: </w:t>
      </w:r>
      <w:r w:rsidRPr="30CF4445" w:rsidR="1A4BBEA3">
        <w:rPr>
          <w:rFonts w:ascii="Verdana" w:hAnsi="Verdana"/>
          <w:sz w:val="24"/>
          <w:szCs w:val="24"/>
        </w:rPr>
        <w:t>Consolidación Productiva del Sector de Energía Eléctrica</w:t>
      </w:r>
      <w:r w:rsidRPr="30CF4445" w:rsidR="34E31B81">
        <w:rPr>
          <w:rFonts w:ascii="Verdana" w:hAnsi="Verdana"/>
          <w:sz w:val="24"/>
          <w:szCs w:val="24"/>
        </w:rPr>
        <w:t>:</w:t>
      </w:r>
      <w:r w:rsidRPr="30CF4445" w:rsidR="1A4BBEA3">
        <w:rPr>
          <w:rFonts w:ascii="Verdana" w:hAnsi="Verdana"/>
          <w:sz w:val="24"/>
          <w:szCs w:val="24"/>
        </w:rPr>
        <w:t xml:space="preserve"> $7.499.419 millones.</w:t>
      </w:r>
    </w:p>
    <w:p w:rsidRPr="00097599" w:rsidR="00097599" w:rsidRDefault="00097599" w14:paraId="178ED37B" w14:textId="77777777">
      <w:pPr>
        <w:pStyle w:val="Prrafodelista"/>
        <w:numPr>
          <w:ilvl w:val="0"/>
          <w:numId w:val="73"/>
        </w:numPr>
        <w:spacing w:after="0" w:line="360" w:lineRule="auto"/>
        <w:jc w:val="both"/>
        <w:rPr>
          <w:rFonts w:ascii="Verdana" w:hAnsi="Verdana"/>
          <w:sz w:val="24"/>
          <w:szCs w:val="24"/>
        </w:rPr>
      </w:pPr>
      <w:r w:rsidRPr="00097599">
        <w:rPr>
          <w:rFonts w:ascii="Verdana" w:hAnsi="Verdana"/>
          <w:sz w:val="24"/>
          <w:szCs w:val="24"/>
        </w:rPr>
        <w:t>2103: Consolidación Productiva del Sector de Hidrocarburos: $165.464.645 millones.</w:t>
      </w:r>
    </w:p>
    <w:p w:rsidRPr="00097599" w:rsidR="00097599" w:rsidRDefault="00097599" w14:paraId="5D53C483" w14:textId="77777777">
      <w:pPr>
        <w:pStyle w:val="Prrafodelista"/>
        <w:numPr>
          <w:ilvl w:val="0"/>
          <w:numId w:val="73"/>
        </w:numPr>
        <w:spacing w:after="0" w:line="360" w:lineRule="auto"/>
        <w:jc w:val="both"/>
        <w:rPr>
          <w:rFonts w:ascii="Verdana" w:hAnsi="Verdana"/>
          <w:sz w:val="24"/>
          <w:szCs w:val="24"/>
        </w:rPr>
      </w:pPr>
      <w:r w:rsidRPr="00097599">
        <w:rPr>
          <w:rFonts w:ascii="Verdana" w:hAnsi="Verdana"/>
          <w:sz w:val="24"/>
          <w:szCs w:val="24"/>
        </w:rPr>
        <w:t xml:space="preserve">2104: Consolidación Productiva del Sector Minero: </w:t>
      </w:r>
    </w:p>
    <w:p w:rsidRPr="00097599" w:rsidR="00097599" w:rsidP="006A0A13" w:rsidRDefault="00097599" w14:paraId="71A6C395" w14:textId="77777777">
      <w:pPr>
        <w:pStyle w:val="Prrafodelista"/>
        <w:spacing w:after="0" w:line="360" w:lineRule="auto"/>
        <w:jc w:val="both"/>
        <w:rPr>
          <w:rFonts w:ascii="Verdana" w:hAnsi="Verdana"/>
          <w:sz w:val="24"/>
          <w:szCs w:val="24"/>
        </w:rPr>
      </w:pPr>
      <w:r w:rsidRPr="00097599">
        <w:rPr>
          <w:rFonts w:ascii="Verdana" w:hAnsi="Verdana"/>
          <w:sz w:val="24"/>
          <w:szCs w:val="24"/>
        </w:rPr>
        <w:t>$161.680 millones.</w:t>
      </w:r>
    </w:p>
    <w:p w:rsidRPr="00097599" w:rsidR="00097599" w:rsidRDefault="00097599" w14:paraId="25AA1DD9" w14:textId="77777777">
      <w:pPr>
        <w:pStyle w:val="Prrafodelista"/>
        <w:numPr>
          <w:ilvl w:val="0"/>
          <w:numId w:val="73"/>
        </w:numPr>
        <w:spacing w:after="0" w:line="360" w:lineRule="auto"/>
        <w:jc w:val="both"/>
        <w:rPr>
          <w:rFonts w:ascii="Verdana" w:hAnsi="Verdana"/>
          <w:sz w:val="24"/>
          <w:szCs w:val="24"/>
        </w:rPr>
      </w:pPr>
      <w:r w:rsidRPr="00097599">
        <w:rPr>
          <w:rFonts w:ascii="Verdana" w:hAnsi="Verdana"/>
          <w:sz w:val="24"/>
          <w:szCs w:val="24"/>
        </w:rPr>
        <w:t>2105: Desarrollo Ambiental Sostenible del Sector Minero Energético: $34.900 millones.</w:t>
      </w:r>
    </w:p>
    <w:p w:rsidRPr="00097599" w:rsidR="00097599" w:rsidRDefault="00097599" w14:paraId="0A47C4E8" w14:textId="77777777">
      <w:pPr>
        <w:pStyle w:val="Prrafodelista"/>
        <w:numPr>
          <w:ilvl w:val="0"/>
          <w:numId w:val="73"/>
        </w:numPr>
        <w:spacing w:after="0" w:line="360" w:lineRule="auto"/>
        <w:jc w:val="both"/>
        <w:rPr>
          <w:rFonts w:ascii="Verdana" w:hAnsi="Verdana"/>
          <w:sz w:val="24"/>
          <w:szCs w:val="24"/>
        </w:rPr>
      </w:pPr>
      <w:r w:rsidRPr="00097599">
        <w:rPr>
          <w:rFonts w:ascii="Verdana" w:hAnsi="Verdana"/>
          <w:sz w:val="24"/>
          <w:szCs w:val="24"/>
        </w:rPr>
        <w:t xml:space="preserve">2106: Gestión de la Información del Sector Minero Energético: </w:t>
      </w:r>
    </w:p>
    <w:p w:rsidRPr="00097599" w:rsidR="00097599" w:rsidP="006A0A13" w:rsidRDefault="00097599" w14:paraId="7E59BF29" w14:textId="77777777">
      <w:pPr>
        <w:pStyle w:val="Prrafodelista"/>
        <w:spacing w:after="0" w:line="360" w:lineRule="auto"/>
        <w:jc w:val="both"/>
        <w:rPr>
          <w:rFonts w:ascii="Verdana" w:hAnsi="Verdana"/>
          <w:sz w:val="24"/>
          <w:szCs w:val="24"/>
        </w:rPr>
      </w:pPr>
      <w:r w:rsidRPr="00097599">
        <w:rPr>
          <w:rFonts w:ascii="Verdana" w:hAnsi="Verdana"/>
          <w:sz w:val="24"/>
          <w:szCs w:val="24"/>
        </w:rPr>
        <w:t>$388.662 millones.</w:t>
      </w:r>
    </w:p>
    <w:p w:rsidRPr="00097599" w:rsidR="00097599" w:rsidRDefault="00097599" w14:paraId="540781A7" w14:textId="77777777">
      <w:pPr>
        <w:pStyle w:val="Prrafodelista"/>
        <w:numPr>
          <w:ilvl w:val="0"/>
          <w:numId w:val="73"/>
        </w:numPr>
        <w:spacing w:after="0" w:line="360" w:lineRule="auto"/>
        <w:jc w:val="both"/>
        <w:rPr>
          <w:rFonts w:ascii="Verdana" w:hAnsi="Verdana"/>
          <w:sz w:val="24"/>
          <w:szCs w:val="24"/>
        </w:rPr>
      </w:pPr>
      <w:r w:rsidRPr="00097599">
        <w:rPr>
          <w:rFonts w:ascii="Verdana" w:hAnsi="Verdana"/>
          <w:sz w:val="24"/>
          <w:szCs w:val="24"/>
        </w:rPr>
        <w:t xml:space="preserve">2199: Fortalecimiento y Apoyo a la Gestión Institucional: </w:t>
      </w:r>
    </w:p>
    <w:p w:rsidRPr="00097599" w:rsidR="00097599" w:rsidP="006A0A13" w:rsidRDefault="00097599" w14:paraId="3F05C3F4" w14:textId="77777777">
      <w:pPr>
        <w:pStyle w:val="Prrafodelista"/>
        <w:spacing w:after="0" w:line="360" w:lineRule="auto"/>
        <w:jc w:val="both"/>
        <w:rPr>
          <w:rFonts w:ascii="Verdana" w:hAnsi="Verdana"/>
          <w:sz w:val="24"/>
          <w:szCs w:val="24"/>
        </w:rPr>
      </w:pPr>
      <w:r w:rsidRPr="00097599">
        <w:rPr>
          <w:rFonts w:ascii="Verdana" w:hAnsi="Verdana"/>
          <w:sz w:val="24"/>
          <w:szCs w:val="24"/>
        </w:rPr>
        <w:t>$162.415 millones.</w:t>
      </w:r>
    </w:p>
    <w:p w:rsidRPr="00097599" w:rsidR="00097599" w:rsidP="006A0A13" w:rsidRDefault="00097599" w14:paraId="5B3B2AC6" w14:textId="77777777">
      <w:pPr>
        <w:spacing w:after="0" w:line="360" w:lineRule="auto"/>
        <w:jc w:val="both"/>
        <w:rPr>
          <w:rFonts w:ascii="Verdana" w:hAnsi="Verdana"/>
          <w:sz w:val="24"/>
          <w:szCs w:val="24"/>
        </w:rPr>
      </w:pPr>
    </w:p>
    <w:p w:rsidR="006D692F" w:rsidP="006A0A13" w:rsidRDefault="385A8564" w14:paraId="07E4E48B" w14:textId="4415E66A">
      <w:pPr>
        <w:spacing w:after="0" w:line="360" w:lineRule="auto"/>
        <w:jc w:val="both"/>
        <w:rPr>
          <w:rFonts w:ascii="Verdana" w:hAnsi="Verdana"/>
          <w:sz w:val="24"/>
          <w:szCs w:val="24"/>
        </w:rPr>
      </w:pPr>
      <w:r w:rsidRPr="30CF4445" w:rsidR="6E6FDF79">
        <w:rPr>
          <w:rFonts w:ascii="Verdana" w:hAnsi="Verdana"/>
          <w:sz w:val="24"/>
          <w:szCs w:val="24"/>
        </w:rPr>
        <w:t>La distribución de los recursos por programa presupuestal y en cada una de las entidades del sector minero</w:t>
      </w:r>
      <w:r w:rsidRPr="30CF4445" w:rsidR="622544C9">
        <w:rPr>
          <w:rFonts w:ascii="Verdana" w:hAnsi="Verdana"/>
          <w:sz w:val="24"/>
          <w:szCs w:val="24"/>
        </w:rPr>
        <w:t>-</w:t>
      </w:r>
      <w:r w:rsidRPr="30CF4445" w:rsidR="6E6FDF79">
        <w:rPr>
          <w:rFonts w:ascii="Verdana" w:hAnsi="Verdana"/>
          <w:sz w:val="24"/>
          <w:szCs w:val="24"/>
        </w:rPr>
        <w:t>energético, se puede evidenciar en la siguiente tabla:</w:t>
      </w:r>
    </w:p>
    <w:p w:rsidR="180099B3" w:rsidP="180099B3" w:rsidRDefault="180099B3" w14:paraId="73207093" w14:textId="77777777">
      <w:pPr>
        <w:spacing w:after="0" w:line="360" w:lineRule="auto"/>
        <w:jc w:val="both"/>
        <w:rPr>
          <w:rFonts w:ascii="Verdana" w:hAnsi="Verdana"/>
          <w:sz w:val="24"/>
          <w:szCs w:val="24"/>
        </w:rPr>
      </w:pPr>
    </w:p>
    <w:p w:rsidRPr="00097599" w:rsidR="00097599" w:rsidP="00097599" w:rsidRDefault="385A8564" w14:paraId="3E8BAD91" w14:textId="77777777">
      <w:pPr>
        <w:spacing w:after="0"/>
        <w:jc w:val="center"/>
        <w:rPr>
          <w:rFonts w:ascii="Verdana" w:hAnsi="Verdana"/>
          <w:sz w:val="18"/>
          <w:szCs w:val="18"/>
        </w:rPr>
      </w:pPr>
      <w:r w:rsidRPr="180099B3">
        <w:rPr>
          <w:rFonts w:ascii="Verdana" w:hAnsi="Verdana"/>
          <w:sz w:val="18"/>
          <w:szCs w:val="18"/>
        </w:rPr>
        <w:t>Tabla</w:t>
      </w:r>
      <w:r w:rsidRPr="180099B3" w:rsidR="30F40458">
        <w:rPr>
          <w:rFonts w:ascii="Verdana" w:hAnsi="Verdana"/>
          <w:sz w:val="18"/>
          <w:szCs w:val="18"/>
        </w:rPr>
        <w:t xml:space="preserve"> No. 4</w:t>
      </w:r>
      <w:r w:rsidRPr="180099B3" w:rsidR="2F942C77">
        <w:rPr>
          <w:rFonts w:ascii="Verdana" w:hAnsi="Verdana"/>
          <w:sz w:val="18"/>
          <w:szCs w:val="18"/>
        </w:rPr>
        <w:t>1</w:t>
      </w:r>
      <w:r w:rsidRPr="180099B3">
        <w:rPr>
          <w:rFonts w:ascii="Verdana" w:hAnsi="Verdana"/>
          <w:sz w:val="18"/>
          <w:szCs w:val="18"/>
        </w:rPr>
        <w:t>. Distribución de recursos sector 2026 por programa</w:t>
      </w:r>
    </w:p>
    <w:tbl>
      <w:tblPr>
        <w:tblW w:w="5056"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1303"/>
        <w:gridCol w:w="1187"/>
        <w:gridCol w:w="1187"/>
        <w:gridCol w:w="1070"/>
        <w:gridCol w:w="1007"/>
        <w:gridCol w:w="893"/>
        <w:gridCol w:w="1007"/>
        <w:gridCol w:w="1007"/>
        <w:gridCol w:w="1301"/>
      </w:tblGrid>
      <w:tr w:rsidRPr="00097599" w:rsidR="00097599" w:rsidTr="00097599" w14:paraId="036E585A" w14:textId="77777777">
        <w:trPr>
          <w:trHeight w:val="317"/>
        </w:trPr>
        <w:tc>
          <w:tcPr>
            <w:tcW w:w="644" w:type="pct"/>
            <w:vMerge w:val="restart"/>
            <w:shd w:val="clear" w:color="auto" w:fill="A6A6A6" w:themeFill="background1" w:themeFillShade="A6"/>
            <w:noWrap/>
            <w:vAlign w:val="center"/>
            <w:hideMark/>
          </w:tcPr>
          <w:p w:rsidRPr="00097599" w:rsidR="00097599" w:rsidRDefault="00097599" w14:paraId="0F8E5863" w14:textId="77777777">
            <w:pPr>
              <w:spacing w:after="0" w:line="240" w:lineRule="auto"/>
              <w:jc w:val="center"/>
              <w:rPr>
                <w:rFonts w:ascii="Verdana" w:hAnsi="Verdana" w:eastAsia="Times New Roman" w:cs="Times New Roman"/>
                <w:b/>
                <w:bCs/>
                <w:color w:val="000000"/>
                <w:sz w:val="18"/>
                <w:szCs w:val="18"/>
                <w:lang w:eastAsia="es-CO"/>
              </w:rPr>
            </w:pPr>
            <w:r w:rsidRPr="00097599">
              <w:rPr>
                <w:rFonts w:ascii="Verdana" w:hAnsi="Verdana" w:eastAsia="Times New Roman" w:cs="Times New Roman"/>
                <w:b/>
                <w:bCs/>
                <w:color w:val="000000"/>
                <w:sz w:val="18"/>
                <w:szCs w:val="18"/>
                <w:lang w:eastAsia="es-CO"/>
              </w:rPr>
              <w:t>PROGRAMA</w:t>
            </w:r>
          </w:p>
        </w:tc>
        <w:tc>
          <w:tcPr>
            <w:tcW w:w="4356" w:type="pct"/>
            <w:gridSpan w:val="8"/>
            <w:shd w:val="clear" w:color="auto" w:fill="A6A6A6" w:themeFill="background1" w:themeFillShade="A6"/>
            <w:noWrap/>
            <w:vAlign w:val="center"/>
            <w:hideMark/>
          </w:tcPr>
          <w:p w:rsidRPr="00097599" w:rsidR="00097599" w:rsidRDefault="00097599" w14:paraId="62E19718" w14:textId="77777777">
            <w:pPr>
              <w:spacing w:after="0" w:line="240" w:lineRule="auto"/>
              <w:jc w:val="center"/>
              <w:rPr>
                <w:rFonts w:ascii="Verdana" w:hAnsi="Verdana" w:eastAsia="Times New Roman" w:cs="Times New Roman"/>
                <w:b/>
                <w:bCs/>
                <w:color w:val="000000"/>
                <w:sz w:val="18"/>
                <w:szCs w:val="18"/>
                <w:lang w:eastAsia="es-CO"/>
              </w:rPr>
            </w:pPr>
            <w:r w:rsidRPr="00097599">
              <w:rPr>
                <w:rFonts w:ascii="Verdana" w:hAnsi="Verdana" w:eastAsia="Times New Roman" w:cs="Times New Roman"/>
                <w:b/>
                <w:bCs/>
                <w:color w:val="000000"/>
                <w:sz w:val="18"/>
                <w:szCs w:val="18"/>
                <w:lang w:eastAsia="es-CO"/>
              </w:rPr>
              <w:t>Cifras en millones de pesos</w:t>
            </w:r>
          </w:p>
        </w:tc>
      </w:tr>
      <w:tr w:rsidRPr="00097599" w:rsidR="00097599" w:rsidTr="00097599" w14:paraId="4B49E85F" w14:textId="77777777">
        <w:trPr>
          <w:trHeight w:val="317"/>
        </w:trPr>
        <w:tc>
          <w:tcPr>
            <w:tcW w:w="644" w:type="pct"/>
            <w:vMerge/>
            <w:shd w:val="clear" w:color="auto" w:fill="A6A6A6" w:themeFill="background1" w:themeFillShade="A6"/>
            <w:vAlign w:val="center"/>
            <w:hideMark/>
          </w:tcPr>
          <w:p w:rsidRPr="00097599" w:rsidR="00097599" w:rsidRDefault="00097599" w14:paraId="3B402600" w14:textId="77777777">
            <w:pPr>
              <w:spacing w:after="0" w:line="240" w:lineRule="auto"/>
              <w:rPr>
                <w:rFonts w:ascii="Verdana" w:hAnsi="Verdana" w:eastAsia="Times New Roman" w:cs="Times New Roman"/>
                <w:b/>
                <w:bCs/>
                <w:color w:val="000000"/>
                <w:sz w:val="18"/>
                <w:szCs w:val="18"/>
                <w:lang w:eastAsia="es-CO"/>
              </w:rPr>
            </w:pPr>
          </w:p>
        </w:tc>
        <w:tc>
          <w:tcPr>
            <w:tcW w:w="589" w:type="pct"/>
            <w:shd w:val="clear" w:color="auto" w:fill="A6A6A6" w:themeFill="background1" w:themeFillShade="A6"/>
            <w:noWrap/>
            <w:vAlign w:val="center"/>
            <w:hideMark/>
          </w:tcPr>
          <w:p w:rsidRPr="00097599" w:rsidR="00097599" w:rsidRDefault="00097599" w14:paraId="26FE9569" w14:textId="77777777">
            <w:pPr>
              <w:spacing w:after="0" w:line="240" w:lineRule="auto"/>
              <w:jc w:val="center"/>
              <w:rPr>
                <w:rFonts w:ascii="Verdana" w:hAnsi="Verdana" w:eastAsia="Times New Roman" w:cs="Times New Roman"/>
                <w:b/>
                <w:bCs/>
                <w:color w:val="000000"/>
                <w:sz w:val="18"/>
                <w:szCs w:val="18"/>
                <w:lang w:eastAsia="es-CO"/>
              </w:rPr>
            </w:pPr>
            <w:r w:rsidRPr="00097599">
              <w:rPr>
                <w:rFonts w:ascii="Verdana" w:hAnsi="Verdana" w:eastAsia="Times New Roman" w:cs="Times New Roman"/>
                <w:b/>
                <w:bCs/>
                <w:color w:val="000000"/>
                <w:sz w:val="18"/>
                <w:szCs w:val="18"/>
                <w:lang w:eastAsia="es-CO"/>
              </w:rPr>
              <w:t>2101</w:t>
            </w:r>
          </w:p>
        </w:tc>
        <w:tc>
          <w:tcPr>
            <w:tcW w:w="589" w:type="pct"/>
            <w:shd w:val="clear" w:color="auto" w:fill="A6A6A6" w:themeFill="background1" w:themeFillShade="A6"/>
            <w:noWrap/>
            <w:vAlign w:val="center"/>
            <w:hideMark/>
          </w:tcPr>
          <w:p w:rsidRPr="00097599" w:rsidR="00097599" w:rsidRDefault="00097599" w14:paraId="0FB69498" w14:textId="77777777">
            <w:pPr>
              <w:spacing w:after="0" w:line="240" w:lineRule="auto"/>
              <w:jc w:val="center"/>
              <w:rPr>
                <w:rFonts w:ascii="Verdana" w:hAnsi="Verdana" w:eastAsia="Times New Roman" w:cs="Times New Roman"/>
                <w:b/>
                <w:bCs/>
                <w:color w:val="000000"/>
                <w:sz w:val="18"/>
                <w:szCs w:val="18"/>
                <w:lang w:eastAsia="es-CO"/>
              </w:rPr>
            </w:pPr>
            <w:r w:rsidRPr="00097599">
              <w:rPr>
                <w:rFonts w:ascii="Verdana" w:hAnsi="Verdana" w:eastAsia="Times New Roman" w:cs="Times New Roman"/>
                <w:b/>
                <w:bCs/>
                <w:color w:val="000000"/>
                <w:sz w:val="18"/>
                <w:szCs w:val="18"/>
                <w:lang w:eastAsia="es-CO"/>
              </w:rPr>
              <w:t>2102</w:t>
            </w:r>
          </w:p>
        </w:tc>
        <w:tc>
          <w:tcPr>
            <w:tcW w:w="532" w:type="pct"/>
            <w:shd w:val="clear" w:color="auto" w:fill="A6A6A6" w:themeFill="background1" w:themeFillShade="A6"/>
            <w:noWrap/>
            <w:vAlign w:val="center"/>
            <w:hideMark/>
          </w:tcPr>
          <w:p w:rsidRPr="00097599" w:rsidR="00097599" w:rsidRDefault="00097599" w14:paraId="6A6F4E94" w14:textId="77777777">
            <w:pPr>
              <w:spacing w:after="0" w:line="240" w:lineRule="auto"/>
              <w:jc w:val="center"/>
              <w:rPr>
                <w:rFonts w:ascii="Verdana" w:hAnsi="Verdana" w:eastAsia="Times New Roman" w:cs="Times New Roman"/>
                <w:b/>
                <w:bCs/>
                <w:color w:val="000000"/>
                <w:sz w:val="18"/>
                <w:szCs w:val="18"/>
                <w:lang w:eastAsia="es-CO"/>
              </w:rPr>
            </w:pPr>
            <w:r w:rsidRPr="00097599">
              <w:rPr>
                <w:rFonts w:ascii="Verdana" w:hAnsi="Verdana" w:eastAsia="Times New Roman" w:cs="Times New Roman"/>
                <w:b/>
                <w:bCs/>
                <w:color w:val="000000"/>
                <w:sz w:val="18"/>
                <w:szCs w:val="18"/>
                <w:lang w:eastAsia="es-CO"/>
              </w:rPr>
              <w:t>2103</w:t>
            </w:r>
          </w:p>
        </w:tc>
        <w:tc>
          <w:tcPr>
            <w:tcW w:w="501" w:type="pct"/>
            <w:shd w:val="clear" w:color="auto" w:fill="A6A6A6" w:themeFill="background1" w:themeFillShade="A6"/>
            <w:noWrap/>
            <w:vAlign w:val="center"/>
            <w:hideMark/>
          </w:tcPr>
          <w:p w:rsidRPr="00097599" w:rsidR="00097599" w:rsidRDefault="00097599" w14:paraId="4B2668EB" w14:textId="77777777">
            <w:pPr>
              <w:spacing w:after="0" w:line="240" w:lineRule="auto"/>
              <w:jc w:val="center"/>
              <w:rPr>
                <w:rFonts w:ascii="Verdana" w:hAnsi="Verdana" w:eastAsia="Times New Roman" w:cs="Times New Roman"/>
                <w:b/>
                <w:bCs/>
                <w:color w:val="000000"/>
                <w:sz w:val="18"/>
                <w:szCs w:val="18"/>
                <w:lang w:eastAsia="es-CO"/>
              </w:rPr>
            </w:pPr>
            <w:r w:rsidRPr="00097599">
              <w:rPr>
                <w:rFonts w:ascii="Verdana" w:hAnsi="Verdana" w:eastAsia="Times New Roman" w:cs="Times New Roman"/>
                <w:b/>
                <w:bCs/>
                <w:color w:val="000000"/>
                <w:sz w:val="18"/>
                <w:szCs w:val="18"/>
                <w:lang w:eastAsia="es-CO"/>
              </w:rPr>
              <w:t>2104</w:t>
            </w:r>
          </w:p>
        </w:tc>
        <w:tc>
          <w:tcPr>
            <w:tcW w:w="445" w:type="pct"/>
            <w:shd w:val="clear" w:color="auto" w:fill="A6A6A6" w:themeFill="background1" w:themeFillShade="A6"/>
            <w:noWrap/>
            <w:vAlign w:val="center"/>
            <w:hideMark/>
          </w:tcPr>
          <w:p w:rsidRPr="00097599" w:rsidR="00097599" w:rsidRDefault="00097599" w14:paraId="1B93E174" w14:textId="77777777">
            <w:pPr>
              <w:spacing w:after="0" w:line="240" w:lineRule="auto"/>
              <w:jc w:val="center"/>
              <w:rPr>
                <w:rFonts w:ascii="Verdana" w:hAnsi="Verdana" w:eastAsia="Times New Roman" w:cs="Times New Roman"/>
                <w:b/>
                <w:bCs/>
                <w:color w:val="000000"/>
                <w:sz w:val="18"/>
                <w:szCs w:val="18"/>
                <w:lang w:eastAsia="es-CO"/>
              </w:rPr>
            </w:pPr>
            <w:r w:rsidRPr="00097599">
              <w:rPr>
                <w:rFonts w:ascii="Verdana" w:hAnsi="Verdana" w:eastAsia="Times New Roman" w:cs="Times New Roman"/>
                <w:b/>
                <w:bCs/>
                <w:color w:val="000000"/>
                <w:sz w:val="18"/>
                <w:szCs w:val="18"/>
                <w:lang w:eastAsia="es-CO"/>
              </w:rPr>
              <w:t>2105</w:t>
            </w:r>
          </w:p>
        </w:tc>
        <w:tc>
          <w:tcPr>
            <w:tcW w:w="501" w:type="pct"/>
            <w:shd w:val="clear" w:color="auto" w:fill="A6A6A6" w:themeFill="background1" w:themeFillShade="A6"/>
            <w:noWrap/>
            <w:vAlign w:val="center"/>
            <w:hideMark/>
          </w:tcPr>
          <w:p w:rsidRPr="00097599" w:rsidR="00097599" w:rsidRDefault="00097599" w14:paraId="133CF011" w14:textId="77777777">
            <w:pPr>
              <w:spacing w:after="0" w:line="240" w:lineRule="auto"/>
              <w:jc w:val="center"/>
              <w:rPr>
                <w:rFonts w:ascii="Verdana" w:hAnsi="Verdana" w:eastAsia="Times New Roman" w:cs="Times New Roman"/>
                <w:b/>
                <w:bCs/>
                <w:color w:val="000000"/>
                <w:sz w:val="18"/>
                <w:szCs w:val="18"/>
                <w:lang w:eastAsia="es-CO"/>
              </w:rPr>
            </w:pPr>
            <w:r w:rsidRPr="00097599">
              <w:rPr>
                <w:rFonts w:ascii="Verdana" w:hAnsi="Verdana" w:eastAsia="Times New Roman" w:cs="Times New Roman"/>
                <w:b/>
                <w:bCs/>
                <w:color w:val="000000"/>
                <w:sz w:val="18"/>
                <w:szCs w:val="18"/>
                <w:lang w:eastAsia="es-CO"/>
              </w:rPr>
              <w:t>2106</w:t>
            </w:r>
          </w:p>
        </w:tc>
        <w:tc>
          <w:tcPr>
            <w:tcW w:w="501" w:type="pct"/>
            <w:shd w:val="clear" w:color="auto" w:fill="A6A6A6" w:themeFill="background1" w:themeFillShade="A6"/>
            <w:noWrap/>
            <w:vAlign w:val="center"/>
            <w:hideMark/>
          </w:tcPr>
          <w:p w:rsidRPr="00097599" w:rsidR="00097599" w:rsidRDefault="00097599" w14:paraId="23D2763F" w14:textId="77777777">
            <w:pPr>
              <w:spacing w:after="0" w:line="240" w:lineRule="auto"/>
              <w:jc w:val="center"/>
              <w:rPr>
                <w:rFonts w:ascii="Verdana" w:hAnsi="Verdana" w:eastAsia="Times New Roman" w:cs="Times New Roman"/>
                <w:b/>
                <w:bCs/>
                <w:color w:val="000000"/>
                <w:sz w:val="18"/>
                <w:szCs w:val="18"/>
                <w:lang w:eastAsia="es-CO"/>
              </w:rPr>
            </w:pPr>
            <w:r w:rsidRPr="00097599">
              <w:rPr>
                <w:rFonts w:ascii="Verdana" w:hAnsi="Verdana" w:eastAsia="Times New Roman" w:cs="Times New Roman"/>
                <w:b/>
                <w:bCs/>
                <w:color w:val="000000"/>
                <w:sz w:val="18"/>
                <w:szCs w:val="18"/>
                <w:lang w:eastAsia="es-CO"/>
              </w:rPr>
              <w:t>2199</w:t>
            </w:r>
          </w:p>
        </w:tc>
        <w:tc>
          <w:tcPr>
            <w:tcW w:w="699" w:type="pct"/>
            <w:shd w:val="clear" w:color="auto" w:fill="A6A6A6" w:themeFill="background1" w:themeFillShade="A6"/>
            <w:noWrap/>
            <w:vAlign w:val="center"/>
            <w:hideMark/>
          </w:tcPr>
          <w:p w:rsidRPr="00097599" w:rsidR="00097599" w:rsidRDefault="00097599" w14:paraId="5C0F1FF5" w14:textId="77777777">
            <w:pPr>
              <w:spacing w:after="0" w:line="240" w:lineRule="auto"/>
              <w:jc w:val="center"/>
              <w:rPr>
                <w:rFonts w:ascii="Verdana" w:hAnsi="Verdana" w:eastAsia="Times New Roman" w:cs="Times New Roman"/>
                <w:b/>
                <w:bCs/>
                <w:color w:val="000000"/>
                <w:sz w:val="18"/>
                <w:szCs w:val="18"/>
                <w:lang w:eastAsia="es-CO"/>
              </w:rPr>
            </w:pPr>
            <w:r w:rsidRPr="00097599">
              <w:rPr>
                <w:rFonts w:ascii="Verdana" w:hAnsi="Verdana" w:eastAsia="Times New Roman" w:cs="Times New Roman"/>
                <w:b/>
                <w:bCs/>
                <w:color w:val="000000"/>
                <w:sz w:val="18"/>
                <w:szCs w:val="18"/>
                <w:lang w:eastAsia="es-CO"/>
              </w:rPr>
              <w:t>TOTAL</w:t>
            </w:r>
          </w:p>
        </w:tc>
      </w:tr>
      <w:tr w:rsidRPr="00097599" w:rsidR="00097599" w:rsidTr="00097599" w14:paraId="308C90EE" w14:textId="77777777">
        <w:trPr>
          <w:trHeight w:val="317"/>
        </w:trPr>
        <w:tc>
          <w:tcPr>
            <w:tcW w:w="644" w:type="pct"/>
            <w:noWrap/>
            <w:vAlign w:val="center"/>
            <w:hideMark/>
          </w:tcPr>
          <w:p w:rsidRPr="00097599" w:rsidR="00097599" w:rsidRDefault="00097599" w14:paraId="6D6473B4" w14:textId="77777777">
            <w:pPr>
              <w:spacing w:after="0" w:line="240" w:lineRule="auto"/>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xml:space="preserve"> ANH</w:t>
            </w:r>
          </w:p>
        </w:tc>
        <w:tc>
          <w:tcPr>
            <w:tcW w:w="589" w:type="pct"/>
            <w:noWrap/>
            <w:vAlign w:val="bottom"/>
            <w:hideMark/>
          </w:tcPr>
          <w:p w:rsidRPr="00097599" w:rsidR="00097599" w:rsidRDefault="00097599" w14:paraId="41B7AF82"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w:t>
            </w:r>
          </w:p>
        </w:tc>
        <w:tc>
          <w:tcPr>
            <w:tcW w:w="589" w:type="pct"/>
            <w:noWrap/>
            <w:vAlign w:val="bottom"/>
            <w:hideMark/>
          </w:tcPr>
          <w:p w:rsidRPr="00097599" w:rsidR="00097599" w:rsidRDefault="00097599" w14:paraId="3ED4F674"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$ 122.000</w:t>
            </w:r>
          </w:p>
        </w:tc>
        <w:tc>
          <w:tcPr>
            <w:tcW w:w="532" w:type="pct"/>
            <w:noWrap/>
            <w:vAlign w:val="bottom"/>
            <w:hideMark/>
          </w:tcPr>
          <w:p w:rsidRPr="00097599" w:rsidR="00097599" w:rsidRDefault="00097599" w14:paraId="0AFF8D05"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$ 57.362</w:t>
            </w:r>
          </w:p>
        </w:tc>
        <w:tc>
          <w:tcPr>
            <w:tcW w:w="501" w:type="pct"/>
            <w:noWrap/>
            <w:vAlign w:val="bottom"/>
            <w:hideMark/>
          </w:tcPr>
          <w:p w:rsidRPr="00097599" w:rsidR="00097599" w:rsidRDefault="00097599" w14:paraId="08D1BA3C"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w:t>
            </w:r>
          </w:p>
        </w:tc>
        <w:tc>
          <w:tcPr>
            <w:tcW w:w="445" w:type="pct"/>
            <w:noWrap/>
            <w:vAlign w:val="bottom"/>
            <w:hideMark/>
          </w:tcPr>
          <w:p w:rsidRPr="00097599" w:rsidR="00097599" w:rsidRDefault="00097599" w14:paraId="70E232DC"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w:t>
            </w:r>
          </w:p>
        </w:tc>
        <w:tc>
          <w:tcPr>
            <w:tcW w:w="501" w:type="pct"/>
            <w:noWrap/>
            <w:vAlign w:val="bottom"/>
            <w:hideMark/>
          </w:tcPr>
          <w:p w:rsidRPr="00097599" w:rsidR="00097599" w:rsidRDefault="00097599" w14:paraId="30C6226D"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$236.697</w:t>
            </w:r>
          </w:p>
        </w:tc>
        <w:tc>
          <w:tcPr>
            <w:tcW w:w="501" w:type="pct"/>
            <w:noWrap/>
            <w:vAlign w:val="bottom"/>
            <w:hideMark/>
          </w:tcPr>
          <w:p w:rsidRPr="00097599" w:rsidR="00097599" w:rsidRDefault="00097599" w14:paraId="3C2376DB"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$ 7.700</w:t>
            </w:r>
          </w:p>
        </w:tc>
        <w:tc>
          <w:tcPr>
            <w:tcW w:w="699" w:type="pct"/>
            <w:noWrap/>
            <w:vAlign w:val="bottom"/>
            <w:hideMark/>
          </w:tcPr>
          <w:p w:rsidRPr="00097599" w:rsidR="00097599" w:rsidRDefault="00097599" w14:paraId="37937F6F"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$ 423.761</w:t>
            </w:r>
          </w:p>
        </w:tc>
      </w:tr>
      <w:tr w:rsidRPr="00097599" w:rsidR="00097599" w:rsidTr="00097599" w14:paraId="2662E235" w14:textId="77777777">
        <w:trPr>
          <w:trHeight w:val="317"/>
        </w:trPr>
        <w:tc>
          <w:tcPr>
            <w:tcW w:w="644" w:type="pct"/>
            <w:noWrap/>
            <w:vAlign w:val="center"/>
            <w:hideMark/>
          </w:tcPr>
          <w:p w:rsidRPr="00097599" w:rsidR="00097599" w:rsidRDefault="00097599" w14:paraId="1BA0B881" w14:textId="77777777">
            <w:pPr>
              <w:spacing w:after="0" w:line="240" w:lineRule="auto"/>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ANM</w:t>
            </w:r>
          </w:p>
        </w:tc>
        <w:tc>
          <w:tcPr>
            <w:tcW w:w="589" w:type="pct"/>
            <w:noWrap/>
            <w:vAlign w:val="bottom"/>
            <w:hideMark/>
          </w:tcPr>
          <w:p w:rsidRPr="00097599" w:rsidR="00097599" w:rsidRDefault="00097599" w14:paraId="7FD2EF9F"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w:t>
            </w:r>
          </w:p>
        </w:tc>
        <w:tc>
          <w:tcPr>
            <w:tcW w:w="589" w:type="pct"/>
            <w:noWrap/>
            <w:vAlign w:val="bottom"/>
            <w:hideMark/>
          </w:tcPr>
          <w:p w:rsidRPr="00097599" w:rsidR="00097599" w:rsidRDefault="00097599" w14:paraId="5A3FA0E5"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w:t>
            </w:r>
          </w:p>
        </w:tc>
        <w:tc>
          <w:tcPr>
            <w:tcW w:w="532" w:type="pct"/>
            <w:noWrap/>
            <w:vAlign w:val="bottom"/>
            <w:hideMark/>
          </w:tcPr>
          <w:p w:rsidRPr="00097599" w:rsidR="00097599" w:rsidRDefault="00097599" w14:paraId="560C4E07"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w:t>
            </w:r>
          </w:p>
        </w:tc>
        <w:tc>
          <w:tcPr>
            <w:tcW w:w="501" w:type="pct"/>
            <w:noWrap/>
            <w:vAlign w:val="bottom"/>
            <w:hideMark/>
          </w:tcPr>
          <w:p w:rsidRPr="00097599" w:rsidR="00097599" w:rsidRDefault="00097599" w14:paraId="311A3E68"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$ 40.335</w:t>
            </w:r>
          </w:p>
        </w:tc>
        <w:tc>
          <w:tcPr>
            <w:tcW w:w="445" w:type="pct"/>
            <w:noWrap/>
            <w:vAlign w:val="bottom"/>
            <w:hideMark/>
          </w:tcPr>
          <w:p w:rsidRPr="00097599" w:rsidR="00097599" w:rsidRDefault="00097599" w14:paraId="56D8E9C8"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$ 6.065</w:t>
            </w:r>
          </w:p>
        </w:tc>
        <w:tc>
          <w:tcPr>
            <w:tcW w:w="501" w:type="pct"/>
            <w:noWrap/>
            <w:vAlign w:val="bottom"/>
            <w:hideMark/>
          </w:tcPr>
          <w:p w:rsidRPr="00097599" w:rsidR="00097599" w:rsidRDefault="00097599" w14:paraId="5A8D7ADE"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$ 10.906</w:t>
            </w:r>
          </w:p>
        </w:tc>
        <w:tc>
          <w:tcPr>
            <w:tcW w:w="501" w:type="pct"/>
            <w:noWrap/>
            <w:vAlign w:val="bottom"/>
            <w:hideMark/>
          </w:tcPr>
          <w:p w:rsidRPr="00097599" w:rsidR="00097599" w:rsidRDefault="00097599" w14:paraId="00AF6EFE"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$ 33.116</w:t>
            </w:r>
          </w:p>
        </w:tc>
        <w:tc>
          <w:tcPr>
            <w:tcW w:w="699" w:type="pct"/>
            <w:noWrap/>
            <w:vAlign w:val="bottom"/>
            <w:hideMark/>
          </w:tcPr>
          <w:p w:rsidRPr="00097599" w:rsidR="00097599" w:rsidRDefault="00097599" w14:paraId="6541BFAB"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$ 90.423</w:t>
            </w:r>
          </w:p>
        </w:tc>
      </w:tr>
      <w:tr w:rsidRPr="00097599" w:rsidR="00097599" w:rsidTr="00097599" w14:paraId="13AE42AB" w14:textId="77777777">
        <w:trPr>
          <w:trHeight w:val="317"/>
        </w:trPr>
        <w:tc>
          <w:tcPr>
            <w:tcW w:w="644" w:type="pct"/>
            <w:noWrap/>
            <w:vAlign w:val="center"/>
            <w:hideMark/>
          </w:tcPr>
          <w:p w:rsidRPr="00097599" w:rsidR="00097599" w:rsidRDefault="00097599" w14:paraId="3A8CDD73" w14:textId="77777777">
            <w:pPr>
              <w:spacing w:after="0" w:line="240" w:lineRule="auto"/>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xml:space="preserve"> IPSE</w:t>
            </w:r>
          </w:p>
        </w:tc>
        <w:tc>
          <w:tcPr>
            <w:tcW w:w="589" w:type="pct"/>
            <w:noWrap/>
            <w:vAlign w:val="bottom"/>
            <w:hideMark/>
          </w:tcPr>
          <w:p w:rsidRPr="00097599" w:rsidR="00097599" w:rsidRDefault="00097599" w14:paraId="49186895"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w:t>
            </w:r>
          </w:p>
        </w:tc>
        <w:tc>
          <w:tcPr>
            <w:tcW w:w="589" w:type="pct"/>
            <w:noWrap/>
            <w:vAlign w:val="bottom"/>
            <w:hideMark/>
          </w:tcPr>
          <w:p w:rsidRPr="00097599" w:rsidR="00097599" w:rsidRDefault="00097599" w14:paraId="4870F3DF"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$ 45.525</w:t>
            </w:r>
          </w:p>
        </w:tc>
        <w:tc>
          <w:tcPr>
            <w:tcW w:w="532" w:type="pct"/>
            <w:noWrap/>
            <w:vAlign w:val="bottom"/>
            <w:hideMark/>
          </w:tcPr>
          <w:p w:rsidRPr="00097599" w:rsidR="00097599" w:rsidRDefault="00097599" w14:paraId="30488063"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w:t>
            </w:r>
          </w:p>
        </w:tc>
        <w:tc>
          <w:tcPr>
            <w:tcW w:w="501" w:type="pct"/>
            <w:noWrap/>
            <w:vAlign w:val="bottom"/>
            <w:hideMark/>
          </w:tcPr>
          <w:p w:rsidRPr="00097599" w:rsidR="00097599" w:rsidRDefault="00097599" w14:paraId="68722FA7"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w:t>
            </w:r>
          </w:p>
        </w:tc>
        <w:tc>
          <w:tcPr>
            <w:tcW w:w="445" w:type="pct"/>
            <w:noWrap/>
            <w:vAlign w:val="bottom"/>
            <w:hideMark/>
          </w:tcPr>
          <w:p w:rsidRPr="00097599" w:rsidR="00097599" w:rsidRDefault="00097599" w14:paraId="7F9B03C3"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w:t>
            </w:r>
          </w:p>
        </w:tc>
        <w:tc>
          <w:tcPr>
            <w:tcW w:w="501" w:type="pct"/>
            <w:noWrap/>
            <w:vAlign w:val="bottom"/>
            <w:hideMark/>
          </w:tcPr>
          <w:p w:rsidRPr="00097599" w:rsidR="00097599" w:rsidRDefault="00097599" w14:paraId="78EC57D5"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$ 1.353</w:t>
            </w:r>
          </w:p>
        </w:tc>
        <w:tc>
          <w:tcPr>
            <w:tcW w:w="501" w:type="pct"/>
            <w:noWrap/>
            <w:vAlign w:val="bottom"/>
            <w:hideMark/>
          </w:tcPr>
          <w:p w:rsidRPr="00097599" w:rsidR="00097599" w:rsidRDefault="00097599" w14:paraId="1DF27A4C"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$ 3.121</w:t>
            </w:r>
          </w:p>
        </w:tc>
        <w:tc>
          <w:tcPr>
            <w:tcW w:w="699" w:type="pct"/>
            <w:noWrap/>
            <w:vAlign w:val="bottom"/>
            <w:hideMark/>
          </w:tcPr>
          <w:p w:rsidRPr="00097599" w:rsidR="00097599" w:rsidRDefault="00097599" w14:paraId="7A4A6915"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$ 50.000</w:t>
            </w:r>
          </w:p>
        </w:tc>
      </w:tr>
      <w:tr w:rsidRPr="00097599" w:rsidR="00097599" w:rsidTr="00097599" w14:paraId="7EC6F5CD" w14:textId="77777777">
        <w:trPr>
          <w:trHeight w:val="317"/>
        </w:trPr>
        <w:tc>
          <w:tcPr>
            <w:tcW w:w="644" w:type="pct"/>
            <w:noWrap/>
            <w:vAlign w:val="center"/>
            <w:hideMark/>
          </w:tcPr>
          <w:p w:rsidRPr="00097599" w:rsidR="00097599" w:rsidRDefault="00097599" w14:paraId="1F404D4D" w14:textId="77777777">
            <w:pPr>
              <w:spacing w:after="0" w:line="240" w:lineRule="auto"/>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xml:space="preserve"> CREG </w:t>
            </w:r>
          </w:p>
        </w:tc>
        <w:tc>
          <w:tcPr>
            <w:tcW w:w="589" w:type="pct"/>
            <w:noWrap/>
            <w:vAlign w:val="bottom"/>
            <w:hideMark/>
          </w:tcPr>
          <w:p w:rsidRPr="00097599" w:rsidR="00097599" w:rsidRDefault="00097599" w14:paraId="00E238C6"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w:t>
            </w:r>
          </w:p>
        </w:tc>
        <w:tc>
          <w:tcPr>
            <w:tcW w:w="589" w:type="pct"/>
            <w:noWrap/>
            <w:vAlign w:val="bottom"/>
            <w:hideMark/>
          </w:tcPr>
          <w:p w:rsidRPr="00097599" w:rsidR="00097599" w:rsidRDefault="00097599" w14:paraId="01A8C772"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w:t>
            </w:r>
          </w:p>
        </w:tc>
        <w:tc>
          <w:tcPr>
            <w:tcW w:w="532" w:type="pct"/>
            <w:noWrap/>
            <w:vAlign w:val="bottom"/>
            <w:hideMark/>
          </w:tcPr>
          <w:p w:rsidRPr="00097599" w:rsidR="00097599" w:rsidRDefault="00097599" w14:paraId="42F806C7"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w:t>
            </w:r>
          </w:p>
        </w:tc>
        <w:tc>
          <w:tcPr>
            <w:tcW w:w="501" w:type="pct"/>
            <w:noWrap/>
            <w:vAlign w:val="bottom"/>
            <w:hideMark/>
          </w:tcPr>
          <w:p w:rsidRPr="00097599" w:rsidR="00097599" w:rsidRDefault="00097599" w14:paraId="4028E5A2"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w:t>
            </w:r>
          </w:p>
        </w:tc>
        <w:tc>
          <w:tcPr>
            <w:tcW w:w="445" w:type="pct"/>
            <w:noWrap/>
            <w:vAlign w:val="bottom"/>
            <w:hideMark/>
          </w:tcPr>
          <w:p w:rsidRPr="00097599" w:rsidR="00097599" w:rsidRDefault="00097599" w14:paraId="7BFE4134"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w:t>
            </w:r>
          </w:p>
        </w:tc>
        <w:tc>
          <w:tcPr>
            <w:tcW w:w="501" w:type="pct"/>
            <w:noWrap/>
            <w:vAlign w:val="bottom"/>
            <w:hideMark/>
          </w:tcPr>
          <w:p w:rsidRPr="00097599" w:rsidR="00097599" w:rsidRDefault="00097599" w14:paraId="6418616C"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$ 16.860</w:t>
            </w:r>
          </w:p>
        </w:tc>
        <w:tc>
          <w:tcPr>
            <w:tcW w:w="501" w:type="pct"/>
            <w:noWrap/>
            <w:vAlign w:val="bottom"/>
            <w:hideMark/>
          </w:tcPr>
          <w:p w:rsidRPr="00097599" w:rsidR="00097599" w:rsidRDefault="00097599" w14:paraId="165E5E0E"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$ 7.192</w:t>
            </w:r>
          </w:p>
        </w:tc>
        <w:tc>
          <w:tcPr>
            <w:tcW w:w="699" w:type="pct"/>
            <w:noWrap/>
            <w:vAlign w:val="bottom"/>
            <w:hideMark/>
          </w:tcPr>
          <w:p w:rsidRPr="00097599" w:rsidR="00097599" w:rsidRDefault="00097599" w14:paraId="3D4AEF31"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$ 24.053</w:t>
            </w:r>
          </w:p>
        </w:tc>
      </w:tr>
      <w:tr w:rsidRPr="00097599" w:rsidR="00097599" w:rsidTr="00097599" w14:paraId="715506E2" w14:textId="77777777">
        <w:trPr>
          <w:trHeight w:val="317"/>
        </w:trPr>
        <w:tc>
          <w:tcPr>
            <w:tcW w:w="644" w:type="pct"/>
            <w:noWrap/>
            <w:vAlign w:val="center"/>
            <w:hideMark/>
          </w:tcPr>
          <w:p w:rsidRPr="00097599" w:rsidR="00097599" w:rsidRDefault="00097599" w14:paraId="31D0B2DC" w14:textId="77777777">
            <w:pPr>
              <w:spacing w:after="0" w:line="240" w:lineRule="auto"/>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MME</w:t>
            </w:r>
          </w:p>
        </w:tc>
        <w:tc>
          <w:tcPr>
            <w:tcW w:w="589" w:type="pct"/>
            <w:noWrap/>
            <w:vAlign w:val="bottom"/>
            <w:hideMark/>
          </w:tcPr>
          <w:p w:rsidRPr="00097599" w:rsidR="00097599" w:rsidRDefault="00097599" w14:paraId="2E6A5F4A"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$1.729.277</w:t>
            </w:r>
          </w:p>
        </w:tc>
        <w:tc>
          <w:tcPr>
            <w:tcW w:w="589" w:type="pct"/>
            <w:noWrap/>
            <w:vAlign w:val="bottom"/>
            <w:hideMark/>
          </w:tcPr>
          <w:p w:rsidRPr="00097599" w:rsidR="00097599" w:rsidRDefault="00097599" w14:paraId="41D66AA8"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$7.320.119</w:t>
            </w:r>
          </w:p>
        </w:tc>
        <w:tc>
          <w:tcPr>
            <w:tcW w:w="532" w:type="pct"/>
            <w:noWrap/>
            <w:vAlign w:val="bottom"/>
            <w:hideMark/>
          </w:tcPr>
          <w:p w:rsidRPr="00097599" w:rsidR="00097599" w:rsidRDefault="00097599" w14:paraId="59C68187"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$ 103.335</w:t>
            </w:r>
          </w:p>
        </w:tc>
        <w:tc>
          <w:tcPr>
            <w:tcW w:w="501" w:type="pct"/>
            <w:noWrap/>
            <w:vAlign w:val="bottom"/>
            <w:hideMark/>
          </w:tcPr>
          <w:p w:rsidRPr="00097599" w:rsidR="00097599" w:rsidRDefault="00097599" w14:paraId="2F63F15C"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$121.345</w:t>
            </w:r>
          </w:p>
        </w:tc>
        <w:tc>
          <w:tcPr>
            <w:tcW w:w="445" w:type="pct"/>
            <w:noWrap/>
            <w:vAlign w:val="bottom"/>
            <w:hideMark/>
          </w:tcPr>
          <w:p w:rsidRPr="00097599" w:rsidR="00097599" w:rsidRDefault="00097599" w14:paraId="282F1DAE"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$28.835</w:t>
            </w:r>
          </w:p>
        </w:tc>
        <w:tc>
          <w:tcPr>
            <w:tcW w:w="501" w:type="pct"/>
            <w:noWrap/>
            <w:vAlign w:val="bottom"/>
            <w:hideMark/>
          </w:tcPr>
          <w:p w:rsidRPr="00097599" w:rsidR="00097599" w:rsidRDefault="00097599" w14:paraId="32926C16"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$ 40.177</w:t>
            </w:r>
          </w:p>
        </w:tc>
        <w:tc>
          <w:tcPr>
            <w:tcW w:w="501" w:type="pct"/>
            <w:noWrap/>
            <w:vAlign w:val="bottom"/>
            <w:hideMark/>
          </w:tcPr>
          <w:p w:rsidRPr="00097599" w:rsidR="00097599" w:rsidRDefault="00097599" w14:paraId="36495399"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$ 87.597</w:t>
            </w:r>
          </w:p>
        </w:tc>
        <w:tc>
          <w:tcPr>
            <w:tcW w:w="699" w:type="pct"/>
            <w:noWrap/>
            <w:vAlign w:val="bottom"/>
            <w:hideMark/>
          </w:tcPr>
          <w:p w:rsidRPr="00097599" w:rsidR="00097599" w:rsidRDefault="00097599" w14:paraId="3618D2A0"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$ 9.430.689</w:t>
            </w:r>
          </w:p>
        </w:tc>
      </w:tr>
      <w:tr w:rsidRPr="00097599" w:rsidR="00097599" w:rsidTr="00097599" w14:paraId="0698BFDB" w14:textId="77777777">
        <w:trPr>
          <w:trHeight w:val="317"/>
        </w:trPr>
        <w:tc>
          <w:tcPr>
            <w:tcW w:w="644" w:type="pct"/>
            <w:noWrap/>
            <w:vAlign w:val="center"/>
            <w:hideMark/>
          </w:tcPr>
          <w:p w:rsidRPr="00097599" w:rsidR="00097599" w:rsidRDefault="00097599" w14:paraId="65F6063C" w14:textId="77777777">
            <w:pPr>
              <w:spacing w:after="0" w:line="240" w:lineRule="auto"/>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SGC</w:t>
            </w:r>
          </w:p>
        </w:tc>
        <w:tc>
          <w:tcPr>
            <w:tcW w:w="589" w:type="pct"/>
            <w:noWrap/>
            <w:vAlign w:val="bottom"/>
            <w:hideMark/>
          </w:tcPr>
          <w:p w:rsidRPr="00097599" w:rsidR="00097599" w:rsidRDefault="00097599" w14:paraId="2A5A08A2"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w:t>
            </w:r>
          </w:p>
        </w:tc>
        <w:tc>
          <w:tcPr>
            <w:tcW w:w="589" w:type="pct"/>
            <w:noWrap/>
            <w:vAlign w:val="bottom"/>
            <w:hideMark/>
          </w:tcPr>
          <w:p w:rsidRPr="00097599" w:rsidR="00097599" w:rsidRDefault="00097599" w14:paraId="5B0A0AB6"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w:t>
            </w:r>
          </w:p>
        </w:tc>
        <w:tc>
          <w:tcPr>
            <w:tcW w:w="532" w:type="pct"/>
            <w:noWrap/>
            <w:vAlign w:val="bottom"/>
            <w:hideMark/>
          </w:tcPr>
          <w:p w:rsidRPr="00097599" w:rsidR="00097599" w:rsidRDefault="00097599" w14:paraId="2B49DC7B"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w:t>
            </w:r>
          </w:p>
        </w:tc>
        <w:tc>
          <w:tcPr>
            <w:tcW w:w="501" w:type="pct"/>
            <w:noWrap/>
            <w:vAlign w:val="bottom"/>
            <w:hideMark/>
          </w:tcPr>
          <w:p w:rsidRPr="00097599" w:rsidR="00097599" w:rsidRDefault="00097599" w14:paraId="4B9C37E5"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w:t>
            </w:r>
          </w:p>
        </w:tc>
        <w:tc>
          <w:tcPr>
            <w:tcW w:w="445" w:type="pct"/>
            <w:noWrap/>
            <w:vAlign w:val="bottom"/>
            <w:hideMark/>
          </w:tcPr>
          <w:p w:rsidRPr="00097599" w:rsidR="00097599" w:rsidRDefault="00097599" w14:paraId="43192488"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w:t>
            </w:r>
          </w:p>
        </w:tc>
        <w:tc>
          <w:tcPr>
            <w:tcW w:w="501" w:type="pct"/>
            <w:noWrap/>
            <w:vAlign w:val="bottom"/>
            <w:hideMark/>
          </w:tcPr>
          <w:p w:rsidRPr="00097599" w:rsidR="00097599" w:rsidRDefault="00097599" w14:paraId="369B552A"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$ 65.863</w:t>
            </w:r>
          </w:p>
        </w:tc>
        <w:tc>
          <w:tcPr>
            <w:tcW w:w="501" w:type="pct"/>
            <w:noWrap/>
            <w:vAlign w:val="bottom"/>
            <w:hideMark/>
          </w:tcPr>
          <w:p w:rsidRPr="00097599" w:rsidR="00097599" w:rsidRDefault="00097599" w14:paraId="001F0B59"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$ 14.136</w:t>
            </w:r>
          </w:p>
        </w:tc>
        <w:tc>
          <w:tcPr>
            <w:tcW w:w="699" w:type="pct"/>
            <w:noWrap/>
            <w:vAlign w:val="bottom"/>
            <w:hideMark/>
          </w:tcPr>
          <w:p w:rsidRPr="00097599" w:rsidR="00097599" w:rsidRDefault="00097599" w14:paraId="4202F5B4"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$ 80.000</w:t>
            </w:r>
          </w:p>
        </w:tc>
      </w:tr>
      <w:tr w:rsidRPr="00097599" w:rsidR="00097599" w:rsidTr="00097599" w14:paraId="146571DA" w14:textId="77777777">
        <w:trPr>
          <w:trHeight w:val="317"/>
        </w:trPr>
        <w:tc>
          <w:tcPr>
            <w:tcW w:w="644" w:type="pct"/>
            <w:noWrap/>
            <w:vAlign w:val="center"/>
            <w:hideMark/>
          </w:tcPr>
          <w:p w:rsidRPr="00097599" w:rsidR="00097599" w:rsidRDefault="00097599" w14:paraId="2D04DEAB" w14:textId="77777777">
            <w:pPr>
              <w:spacing w:after="0" w:line="240" w:lineRule="auto"/>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xml:space="preserve"> UPME</w:t>
            </w:r>
          </w:p>
        </w:tc>
        <w:tc>
          <w:tcPr>
            <w:tcW w:w="589" w:type="pct"/>
            <w:noWrap/>
            <w:vAlign w:val="bottom"/>
            <w:hideMark/>
          </w:tcPr>
          <w:p w:rsidRPr="00097599" w:rsidR="00097599" w:rsidRDefault="00097599" w14:paraId="2EDF231C"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w:t>
            </w:r>
          </w:p>
        </w:tc>
        <w:tc>
          <w:tcPr>
            <w:tcW w:w="589" w:type="pct"/>
            <w:noWrap/>
            <w:vAlign w:val="bottom"/>
            <w:hideMark/>
          </w:tcPr>
          <w:p w:rsidRPr="00097599" w:rsidR="00097599" w:rsidRDefault="00097599" w14:paraId="4152AC9C"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$ 11.773</w:t>
            </w:r>
          </w:p>
        </w:tc>
        <w:tc>
          <w:tcPr>
            <w:tcW w:w="532" w:type="pct"/>
            <w:noWrap/>
            <w:vAlign w:val="bottom"/>
            <w:hideMark/>
          </w:tcPr>
          <w:p w:rsidRPr="00097599" w:rsidR="00097599" w:rsidRDefault="00097599" w14:paraId="1BB4A26F"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$ 4.766</w:t>
            </w:r>
          </w:p>
        </w:tc>
        <w:tc>
          <w:tcPr>
            <w:tcW w:w="501" w:type="pct"/>
            <w:noWrap/>
            <w:vAlign w:val="bottom"/>
            <w:hideMark/>
          </w:tcPr>
          <w:p w:rsidRPr="00097599" w:rsidR="00097599" w:rsidRDefault="00097599" w14:paraId="7BC833EB"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w:t>
            </w:r>
          </w:p>
        </w:tc>
        <w:tc>
          <w:tcPr>
            <w:tcW w:w="445" w:type="pct"/>
            <w:noWrap/>
            <w:vAlign w:val="bottom"/>
            <w:hideMark/>
          </w:tcPr>
          <w:p w:rsidRPr="00097599" w:rsidR="00097599" w:rsidRDefault="00097599" w14:paraId="4A7CB608"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w:t>
            </w:r>
          </w:p>
        </w:tc>
        <w:tc>
          <w:tcPr>
            <w:tcW w:w="501" w:type="pct"/>
            <w:noWrap/>
            <w:vAlign w:val="bottom"/>
            <w:hideMark/>
          </w:tcPr>
          <w:p w:rsidRPr="00097599" w:rsidR="00097599" w:rsidRDefault="00097599" w14:paraId="2D602DE5"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$ 16.804</w:t>
            </w:r>
          </w:p>
        </w:tc>
        <w:tc>
          <w:tcPr>
            <w:tcW w:w="501" w:type="pct"/>
            <w:noWrap/>
            <w:vAlign w:val="bottom"/>
            <w:hideMark/>
          </w:tcPr>
          <w:p w:rsidRPr="00097599" w:rsidR="00097599" w:rsidRDefault="00097599" w14:paraId="5DCD6DA0"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$ 9.549</w:t>
            </w:r>
          </w:p>
        </w:tc>
        <w:tc>
          <w:tcPr>
            <w:tcW w:w="699" w:type="pct"/>
            <w:noWrap/>
            <w:vAlign w:val="bottom"/>
            <w:hideMark/>
          </w:tcPr>
          <w:p w:rsidRPr="00097599" w:rsidR="00097599" w:rsidRDefault="00097599" w14:paraId="2CF37F3F"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$ 42.894</w:t>
            </w:r>
          </w:p>
        </w:tc>
      </w:tr>
      <w:tr w:rsidRPr="00097599" w:rsidR="00097599" w:rsidTr="00097599" w14:paraId="04F1B99F" w14:textId="77777777">
        <w:trPr>
          <w:trHeight w:val="317"/>
        </w:trPr>
        <w:tc>
          <w:tcPr>
            <w:tcW w:w="644" w:type="pct"/>
            <w:shd w:val="clear" w:color="auto" w:fill="BFBFBF" w:themeFill="background1" w:themeFillShade="BF"/>
            <w:noWrap/>
            <w:vAlign w:val="center"/>
            <w:hideMark/>
          </w:tcPr>
          <w:p w:rsidRPr="00097599" w:rsidR="00097599" w:rsidRDefault="00097599" w14:paraId="12CD6322" w14:textId="77777777">
            <w:pPr>
              <w:spacing w:after="0" w:line="240" w:lineRule="auto"/>
              <w:rPr>
                <w:rFonts w:ascii="Verdana" w:hAnsi="Verdana" w:eastAsia="Times New Roman" w:cs="Times New Roman"/>
                <w:b/>
                <w:bCs/>
                <w:color w:val="000000"/>
                <w:sz w:val="18"/>
                <w:szCs w:val="18"/>
                <w:lang w:eastAsia="es-CO"/>
              </w:rPr>
            </w:pPr>
            <w:r w:rsidRPr="00097599">
              <w:rPr>
                <w:rFonts w:ascii="Verdana" w:hAnsi="Verdana" w:eastAsia="Times New Roman" w:cs="Times New Roman"/>
                <w:b/>
                <w:bCs/>
                <w:color w:val="000000"/>
                <w:sz w:val="18"/>
                <w:szCs w:val="18"/>
                <w:lang w:eastAsia="es-CO"/>
              </w:rPr>
              <w:t>Total</w:t>
            </w:r>
          </w:p>
        </w:tc>
        <w:tc>
          <w:tcPr>
            <w:tcW w:w="589" w:type="pct"/>
            <w:shd w:val="clear" w:color="auto" w:fill="BFBFBF" w:themeFill="background1" w:themeFillShade="BF"/>
            <w:noWrap/>
            <w:vAlign w:val="bottom"/>
            <w:hideMark/>
          </w:tcPr>
          <w:p w:rsidRPr="00097599" w:rsidR="00097599" w:rsidRDefault="00097599" w14:paraId="6C60C5E6"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$1.729.277</w:t>
            </w:r>
          </w:p>
        </w:tc>
        <w:tc>
          <w:tcPr>
            <w:tcW w:w="589" w:type="pct"/>
            <w:shd w:val="clear" w:color="auto" w:fill="BFBFBF" w:themeFill="background1" w:themeFillShade="BF"/>
            <w:noWrap/>
            <w:vAlign w:val="bottom"/>
            <w:hideMark/>
          </w:tcPr>
          <w:p w:rsidRPr="00097599" w:rsidR="00097599" w:rsidRDefault="00097599" w14:paraId="5794EB62"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$7.499.419</w:t>
            </w:r>
          </w:p>
        </w:tc>
        <w:tc>
          <w:tcPr>
            <w:tcW w:w="532" w:type="pct"/>
            <w:shd w:val="clear" w:color="auto" w:fill="BFBFBF" w:themeFill="background1" w:themeFillShade="BF"/>
            <w:noWrap/>
            <w:vAlign w:val="bottom"/>
            <w:hideMark/>
          </w:tcPr>
          <w:p w:rsidRPr="00097599" w:rsidR="00097599" w:rsidRDefault="00097599" w14:paraId="0716FEEC"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themeColor="text1"/>
                <w:sz w:val="18"/>
                <w:szCs w:val="18"/>
                <w:lang w:eastAsia="es-CO"/>
              </w:rPr>
              <w:t>$165.464</w:t>
            </w:r>
          </w:p>
        </w:tc>
        <w:tc>
          <w:tcPr>
            <w:tcW w:w="501" w:type="pct"/>
            <w:shd w:val="clear" w:color="auto" w:fill="BFBFBF" w:themeFill="background1" w:themeFillShade="BF"/>
            <w:noWrap/>
            <w:vAlign w:val="bottom"/>
            <w:hideMark/>
          </w:tcPr>
          <w:p w:rsidRPr="00097599" w:rsidR="00097599" w:rsidRDefault="00097599" w14:paraId="183E61ED"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$161.680</w:t>
            </w:r>
          </w:p>
        </w:tc>
        <w:tc>
          <w:tcPr>
            <w:tcW w:w="445" w:type="pct"/>
            <w:shd w:val="clear" w:color="auto" w:fill="BFBFBF" w:themeFill="background1" w:themeFillShade="BF"/>
            <w:noWrap/>
            <w:vAlign w:val="bottom"/>
            <w:hideMark/>
          </w:tcPr>
          <w:p w:rsidRPr="00097599" w:rsidR="00097599" w:rsidRDefault="00097599" w14:paraId="2C3F91CC"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$34.900</w:t>
            </w:r>
          </w:p>
        </w:tc>
        <w:tc>
          <w:tcPr>
            <w:tcW w:w="501" w:type="pct"/>
            <w:shd w:val="clear" w:color="auto" w:fill="BFBFBF" w:themeFill="background1" w:themeFillShade="BF"/>
            <w:noWrap/>
            <w:vAlign w:val="bottom"/>
            <w:hideMark/>
          </w:tcPr>
          <w:p w:rsidRPr="00097599" w:rsidR="00097599" w:rsidRDefault="00097599" w14:paraId="1DC90AA4"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$388.662</w:t>
            </w:r>
          </w:p>
        </w:tc>
        <w:tc>
          <w:tcPr>
            <w:tcW w:w="501" w:type="pct"/>
            <w:shd w:val="clear" w:color="auto" w:fill="BFBFBF" w:themeFill="background1" w:themeFillShade="BF"/>
            <w:noWrap/>
            <w:vAlign w:val="bottom"/>
            <w:hideMark/>
          </w:tcPr>
          <w:p w:rsidRPr="00097599" w:rsidR="00097599" w:rsidRDefault="00097599" w14:paraId="44A9ECA7"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$162.415</w:t>
            </w:r>
          </w:p>
        </w:tc>
        <w:tc>
          <w:tcPr>
            <w:tcW w:w="699" w:type="pct"/>
            <w:shd w:val="clear" w:color="auto" w:fill="BFBFBF" w:themeFill="background1" w:themeFillShade="BF"/>
            <w:noWrap/>
            <w:vAlign w:val="bottom"/>
            <w:hideMark/>
          </w:tcPr>
          <w:p w:rsidRPr="00097599" w:rsidR="00097599" w:rsidRDefault="00097599" w14:paraId="45E8898D" w14:textId="77777777">
            <w:pPr>
              <w:spacing w:after="0" w:line="240" w:lineRule="auto"/>
              <w:jc w:val="right"/>
              <w:rPr>
                <w:rFonts w:ascii="Verdana" w:hAnsi="Verdana" w:eastAsia="Times New Roman" w:cs="Times New Roman"/>
                <w:color w:val="000000"/>
                <w:sz w:val="18"/>
                <w:szCs w:val="18"/>
                <w:lang w:eastAsia="es-CO"/>
              </w:rPr>
            </w:pPr>
            <w:r w:rsidRPr="00097599">
              <w:rPr>
                <w:rFonts w:ascii="Verdana" w:hAnsi="Verdana" w:eastAsia="Times New Roman" w:cs="Times New Roman"/>
                <w:color w:val="000000"/>
                <w:sz w:val="18"/>
                <w:szCs w:val="18"/>
                <w:lang w:eastAsia="es-CO"/>
              </w:rPr>
              <w:t>$10.141.820</w:t>
            </w:r>
          </w:p>
        </w:tc>
      </w:tr>
    </w:tbl>
    <w:p w:rsidR="00097599" w:rsidP="00097599" w:rsidRDefault="00097599" w14:paraId="486AC29B" w14:textId="66157455">
      <w:pPr>
        <w:pStyle w:val="Fuente"/>
        <w:rPr>
          <w:rFonts w:ascii="Verdana" w:hAnsi="Verdana"/>
        </w:rPr>
      </w:pPr>
      <w:r w:rsidRPr="30CF4445" w:rsidR="1A4BBEA3">
        <w:rPr>
          <w:rFonts w:ascii="Verdana" w:hAnsi="Verdana"/>
        </w:rPr>
        <w:t>Fuente: Elaboración propia del Grupo de Programación y Gestión Estratégica de Proyectos con</w:t>
      </w:r>
      <w:r w:rsidRPr="30CF4445" w:rsidR="1A4BBEA3">
        <w:rPr>
          <w:rFonts w:ascii="Verdana" w:hAnsi="Verdana"/>
        </w:rPr>
        <w:t xml:space="preserve"> </w:t>
      </w:r>
      <w:r w:rsidRPr="30CF4445" w:rsidR="1A4BBEA3">
        <w:rPr>
          <w:rFonts w:ascii="Verdana" w:hAnsi="Verdana"/>
        </w:rPr>
        <w:t>información del SIIF Nación del MinHacienda. - Apropiación inicial decreto de liquidación</w:t>
      </w:r>
    </w:p>
    <w:p w:rsidRPr="00097599" w:rsidR="006A0A13" w:rsidP="006A0A13" w:rsidRDefault="006A0A13" w14:paraId="2C4DA8EF" w14:textId="77777777">
      <w:pPr>
        <w:pStyle w:val="Fuente"/>
        <w:spacing w:after="0" w:line="360" w:lineRule="auto"/>
        <w:jc w:val="both"/>
        <w:rPr>
          <w:rFonts w:ascii="Verdana" w:hAnsi="Verdana"/>
          <w:b/>
          <w:bCs/>
          <w:color w:val="0E2841" w:themeColor="text2"/>
        </w:rPr>
      </w:pPr>
    </w:p>
    <w:p w:rsidR="00097599" w:rsidP="006A0A13" w:rsidRDefault="00097599" w14:paraId="42B896D7" w14:textId="77777777">
      <w:pPr>
        <w:spacing w:after="0" w:line="360" w:lineRule="auto"/>
        <w:jc w:val="both"/>
        <w:rPr>
          <w:rFonts w:ascii="Verdana" w:hAnsi="Verdana"/>
          <w:sz w:val="24"/>
          <w:szCs w:val="24"/>
        </w:rPr>
      </w:pPr>
      <w:r w:rsidRPr="00097599">
        <w:rPr>
          <w:rFonts w:ascii="Verdana" w:hAnsi="Verdana"/>
          <w:sz w:val="24"/>
          <w:szCs w:val="24"/>
        </w:rPr>
        <w:t>La anterior asignación de apropiación se distribuye en el Ministerio de Minas y Energía y sus entidades adscritas de la siguiente manera:</w:t>
      </w:r>
    </w:p>
    <w:p w:rsidRPr="00097599" w:rsidR="00097599" w:rsidP="006A0A13" w:rsidRDefault="00097599" w14:paraId="3E7F8A7A" w14:textId="77777777">
      <w:pPr>
        <w:spacing w:after="0" w:line="360" w:lineRule="auto"/>
        <w:jc w:val="both"/>
        <w:rPr>
          <w:rFonts w:ascii="Verdana" w:hAnsi="Verdana"/>
          <w:sz w:val="18"/>
          <w:szCs w:val="18"/>
        </w:rPr>
      </w:pPr>
    </w:p>
    <w:p w:rsidRPr="00097599" w:rsidR="00097599" w:rsidP="00097599" w:rsidRDefault="385A8564" w14:paraId="3DF03207" w14:textId="77777777">
      <w:pPr>
        <w:pStyle w:val="Fuente"/>
        <w:spacing w:after="0"/>
        <w:rPr>
          <w:rFonts w:ascii="Verdana" w:hAnsi="Verdana"/>
        </w:rPr>
      </w:pPr>
      <w:r w:rsidRPr="180099B3">
        <w:rPr>
          <w:rFonts w:ascii="Verdana" w:hAnsi="Verdana"/>
        </w:rPr>
        <w:t>Tabla</w:t>
      </w:r>
      <w:r w:rsidRPr="180099B3" w:rsidR="30F40458">
        <w:rPr>
          <w:rFonts w:ascii="Verdana" w:hAnsi="Verdana"/>
        </w:rPr>
        <w:t xml:space="preserve"> No. 4</w:t>
      </w:r>
      <w:r w:rsidRPr="180099B3" w:rsidR="21B4D3AE">
        <w:rPr>
          <w:rFonts w:ascii="Verdana" w:hAnsi="Verdana"/>
        </w:rPr>
        <w:t>2</w:t>
      </w:r>
      <w:r w:rsidRPr="180099B3">
        <w:rPr>
          <w:rFonts w:ascii="Verdana" w:hAnsi="Verdana"/>
        </w:rPr>
        <w:t>. Distribución de la Apropiación del Presupuesto General de la Nación 2026 para el Sector Minero Energético.</w:t>
      </w:r>
    </w:p>
    <w:tbl>
      <w:tblPr>
        <w:tblW w:w="3700" w:type="dxa"/>
        <w:jc w:val="center"/>
        <w:tblCellMar>
          <w:left w:w="70" w:type="dxa"/>
          <w:right w:w="70" w:type="dxa"/>
        </w:tblCellMar>
        <w:tblLook w:val="04A0" w:firstRow="1" w:lastRow="0" w:firstColumn="1" w:lastColumn="0" w:noHBand="0" w:noVBand="1"/>
      </w:tblPr>
      <w:tblGrid>
        <w:gridCol w:w="1200"/>
        <w:gridCol w:w="2500"/>
      </w:tblGrid>
      <w:tr w:rsidRPr="00097599" w:rsidR="00097599" w:rsidTr="00097599" w14:paraId="3CC5C755" w14:textId="77777777">
        <w:trPr>
          <w:trHeight w:val="460"/>
          <w:jc w:val="center"/>
        </w:trPr>
        <w:tc>
          <w:tcPr>
            <w:tcW w:w="1200" w:type="dxa"/>
            <w:tcBorders>
              <w:top w:val="single" w:color="auto" w:sz="4" w:space="0"/>
              <w:left w:val="single" w:color="auto" w:sz="4" w:space="0"/>
              <w:bottom w:val="single" w:color="auto" w:sz="4" w:space="0"/>
              <w:right w:val="single" w:color="auto" w:sz="4" w:space="0"/>
            </w:tcBorders>
            <w:shd w:val="clear" w:color="auto" w:fill="A6A6A6" w:themeFill="background1" w:themeFillShade="A6"/>
            <w:noWrap/>
            <w:vAlign w:val="center"/>
            <w:hideMark/>
          </w:tcPr>
          <w:p w:rsidRPr="00097599" w:rsidR="00097599" w:rsidP="00097599" w:rsidRDefault="00097599" w14:paraId="42BC09DD" w14:textId="77777777">
            <w:pPr>
              <w:spacing w:after="0" w:line="240" w:lineRule="auto"/>
              <w:jc w:val="center"/>
              <w:rPr>
                <w:rFonts w:ascii="Verdana" w:hAnsi="Verdana" w:eastAsia="Times New Roman" w:cs="Times New Roman"/>
                <w:b/>
                <w:bCs/>
                <w:sz w:val="18"/>
                <w:szCs w:val="18"/>
                <w:lang w:eastAsia="es-CO"/>
              </w:rPr>
            </w:pPr>
            <w:r w:rsidRPr="00097599">
              <w:rPr>
                <w:rFonts w:ascii="Verdana" w:hAnsi="Verdana" w:eastAsia="Times New Roman" w:cs="Times New Roman"/>
                <w:b/>
                <w:bCs/>
                <w:sz w:val="18"/>
                <w:szCs w:val="18"/>
                <w:lang w:eastAsia="es-CO"/>
              </w:rPr>
              <w:t>ENTIDAD</w:t>
            </w:r>
          </w:p>
        </w:tc>
        <w:tc>
          <w:tcPr>
            <w:tcW w:w="2500" w:type="dxa"/>
            <w:tcBorders>
              <w:top w:val="single" w:color="auto" w:sz="4" w:space="0"/>
              <w:left w:val="nil"/>
              <w:bottom w:val="single" w:color="auto" w:sz="4" w:space="0"/>
              <w:right w:val="single" w:color="auto" w:sz="4" w:space="0"/>
            </w:tcBorders>
            <w:shd w:val="clear" w:color="auto" w:fill="A6A6A6" w:themeFill="background1" w:themeFillShade="A6"/>
            <w:vAlign w:val="center"/>
            <w:hideMark/>
          </w:tcPr>
          <w:p w:rsidRPr="00097599" w:rsidR="00097599" w:rsidP="00097599" w:rsidRDefault="00097599" w14:paraId="42D33C86" w14:textId="77777777">
            <w:pPr>
              <w:spacing w:after="0" w:line="240" w:lineRule="auto"/>
              <w:jc w:val="center"/>
              <w:rPr>
                <w:rFonts w:ascii="Verdana" w:hAnsi="Verdana" w:eastAsia="Times New Roman" w:cs="Times New Roman"/>
                <w:b/>
                <w:bCs/>
                <w:sz w:val="18"/>
                <w:szCs w:val="18"/>
                <w:lang w:eastAsia="es-CO"/>
              </w:rPr>
            </w:pPr>
            <w:r w:rsidRPr="00097599">
              <w:rPr>
                <w:rFonts w:ascii="Verdana" w:hAnsi="Verdana" w:eastAsia="Times New Roman" w:cs="Times New Roman"/>
                <w:b/>
                <w:bCs/>
                <w:sz w:val="18"/>
                <w:szCs w:val="18"/>
                <w:lang w:eastAsia="es-CO"/>
              </w:rPr>
              <w:t> Apropiación Inicial 2026</w:t>
            </w:r>
          </w:p>
        </w:tc>
      </w:tr>
      <w:tr w:rsidRPr="00097599" w:rsidR="00097599" w14:paraId="2B5A5ADF" w14:textId="77777777">
        <w:trPr>
          <w:trHeight w:val="290"/>
          <w:jc w:val="center"/>
        </w:trPr>
        <w:tc>
          <w:tcPr>
            <w:tcW w:w="1200" w:type="dxa"/>
            <w:tcBorders>
              <w:top w:val="nil"/>
              <w:left w:val="single" w:color="auto" w:sz="4" w:space="0"/>
              <w:bottom w:val="single" w:color="auto" w:sz="4" w:space="0"/>
              <w:right w:val="single" w:color="auto" w:sz="4" w:space="0"/>
            </w:tcBorders>
            <w:noWrap/>
            <w:vAlign w:val="center"/>
            <w:hideMark/>
          </w:tcPr>
          <w:p w:rsidRPr="00097599" w:rsidR="00097599" w:rsidP="00097599" w:rsidRDefault="00097599" w14:paraId="0A7CDBE1" w14:textId="77777777">
            <w:pPr>
              <w:spacing w:after="0" w:line="240" w:lineRule="auto"/>
              <w:rPr>
                <w:rFonts w:ascii="Verdana" w:hAnsi="Verdana" w:eastAsia="Times New Roman" w:cs="Times New Roman"/>
                <w:sz w:val="18"/>
                <w:szCs w:val="18"/>
                <w:lang w:eastAsia="es-CO"/>
              </w:rPr>
            </w:pPr>
            <w:r w:rsidRPr="00097599">
              <w:rPr>
                <w:rFonts w:ascii="Verdana" w:hAnsi="Verdana" w:eastAsia="Times New Roman" w:cs="Times New Roman"/>
                <w:sz w:val="18"/>
                <w:szCs w:val="18"/>
                <w:lang w:eastAsia="es-CO"/>
              </w:rPr>
              <w:t>ANH</w:t>
            </w:r>
          </w:p>
        </w:tc>
        <w:tc>
          <w:tcPr>
            <w:tcW w:w="2500" w:type="dxa"/>
            <w:tcBorders>
              <w:top w:val="nil"/>
              <w:left w:val="nil"/>
              <w:bottom w:val="single" w:color="auto" w:sz="4" w:space="0"/>
              <w:right w:val="single" w:color="auto" w:sz="4" w:space="0"/>
            </w:tcBorders>
            <w:noWrap/>
            <w:vAlign w:val="bottom"/>
            <w:hideMark/>
          </w:tcPr>
          <w:p w:rsidRPr="00097599" w:rsidR="00097599" w:rsidP="00097599" w:rsidRDefault="00097599" w14:paraId="730BEB9A" w14:textId="77777777">
            <w:pPr>
              <w:spacing w:after="0" w:line="240" w:lineRule="auto"/>
              <w:jc w:val="right"/>
              <w:rPr>
                <w:rFonts w:ascii="Verdana" w:hAnsi="Verdana" w:eastAsia="Times New Roman" w:cs="Times New Roman"/>
                <w:sz w:val="18"/>
                <w:szCs w:val="18"/>
                <w:lang w:eastAsia="es-CO"/>
              </w:rPr>
            </w:pPr>
            <w:r w:rsidRPr="00097599">
              <w:rPr>
                <w:rFonts w:ascii="Verdana" w:hAnsi="Verdana" w:eastAsia="Times New Roman" w:cs="Times New Roman"/>
                <w:sz w:val="18"/>
                <w:szCs w:val="18"/>
                <w:lang w:eastAsia="es-CO"/>
              </w:rPr>
              <w:t>$ 423.761</w:t>
            </w:r>
          </w:p>
        </w:tc>
      </w:tr>
      <w:tr w:rsidRPr="00097599" w:rsidR="00097599" w14:paraId="4AEA1389" w14:textId="77777777">
        <w:trPr>
          <w:trHeight w:val="290"/>
          <w:jc w:val="center"/>
        </w:trPr>
        <w:tc>
          <w:tcPr>
            <w:tcW w:w="1200" w:type="dxa"/>
            <w:tcBorders>
              <w:top w:val="nil"/>
              <w:left w:val="single" w:color="auto" w:sz="4" w:space="0"/>
              <w:bottom w:val="single" w:color="auto" w:sz="4" w:space="0"/>
              <w:right w:val="single" w:color="auto" w:sz="4" w:space="0"/>
            </w:tcBorders>
            <w:noWrap/>
            <w:vAlign w:val="center"/>
            <w:hideMark/>
          </w:tcPr>
          <w:p w:rsidRPr="00097599" w:rsidR="00097599" w:rsidP="00097599" w:rsidRDefault="00097599" w14:paraId="445CF474" w14:textId="77777777">
            <w:pPr>
              <w:spacing w:after="0" w:line="240" w:lineRule="auto"/>
              <w:rPr>
                <w:rFonts w:ascii="Verdana" w:hAnsi="Verdana" w:eastAsia="Times New Roman" w:cs="Times New Roman"/>
                <w:sz w:val="18"/>
                <w:szCs w:val="18"/>
                <w:lang w:eastAsia="es-CO"/>
              </w:rPr>
            </w:pPr>
            <w:r w:rsidRPr="00097599">
              <w:rPr>
                <w:rFonts w:ascii="Verdana" w:hAnsi="Verdana" w:eastAsia="Times New Roman" w:cs="Times New Roman"/>
                <w:sz w:val="18"/>
                <w:szCs w:val="18"/>
                <w:lang w:eastAsia="es-CO"/>
              </w:rPr>
              <w:t>ANM</w:t>
            </w:r>
          </w:p>
        </w:tc>
        <w:tc>
          <w:tcPr>
            <w:tcW w:w="2500" w:type="dxa"/>
            <w:tcBorders>
              <w:top w:val="nil"/>
              <w:left w:val="nil"/>
              <w:bottom w:val="single" w:color="auto" w:sz="4" w:space="0"/>
              <w:right w:val="single" w:color="auto" w:sz="4" w:space="0"/>
            </w:tcBorders>
            <w:noWrap/>
            <w:vAlign w:val="bottom"/>
            <w:hideMark/>
          </w:tcPr>
          <w:p w:rsidRPr="00097599" w:rsidR="00097599" w:rsidP="00097599" w:rsidRDefault="00097599" w14:paraId="3D1ADF02" w14:textId="77777777">
            <w:pPr>
              <w:spacing w:after="0" w:line="240" w:lineRule="auto"/>
              <w:jc w:val="right"/>
              <w:rPr>
                <w:rFonts w:ascii="Verdana" w:hAnsi="Verdana" w:eastAsia="Times New Roman" w:cs="Times New Roman"/>
                <w:sz w:val="18"/>
                <w:szCs w:val="18"/>
                <w:lang w:eastAsia="es-CO"/>
              </w:rPr>
            </w:pPr>
            <w:r w:rsidRPr="00097599">
              <w:rPr>
                <w:rFonts w:ascii="Verdana" w:hAnsi="Verdana" w:eastAsia="Times New Roman" w:cs="Times New Roman"/>
                <w:sz w:val="18"/>
                <w:szCs w:val="18"/>
                <w:lang w:eastAsia="es-CO"/>
              </w:rPr>
              <w:t>$ 90.423</w:t>
            </w:r>
          </w:p>
        </w:tc>
      </w:tr>
      <w:tr w:rsidRPr="00097599" w:rsidR="00097599" w14:paraId="021837D3" w14:textId="77777777">
        <w:trPr>
          <w:trHeight w:val="290"/>
          <w:jc w:val="center"/>
        </w:trPr>
        <w:tc>
          <w:tcPr>
            <w:tcW w:w="1200" w:type="dxa"/>
            <w:tcBorders>
              <w:top w:val="nil"/>
              <w:left w:val="single" w:color="auto" w:sz="4" w:space="0"/>
              <w:bottom w:val="single" w:color="auto" w:sz="4" w:space="0"/>
              <w:right w:val="single" w:color="auto" w:sz="4" w:space="0"/>
            </w:tcBorders>
            <w:noWrap/>
            <w:vAlign w:val="center"/>
            <w:hideMark/>
          </w:tcPr>
          <w:p w:rsidRPr="00097599" w:rsidR="00097599" w:rsidP="00097599" w:rsidRDefault="00097599" w14:paraId="10FC575F" w14:textId="77777777">
            <w:pPr>
              <w:spacing w:after="0" w:line="240" w:lineRule="auto"/>
              <w:rPr>
                <w:rFonts w:ascii="Verdana" w:hAnsi="Verdana" w:eastAsia="Times New Roman" w:cs="Times New Roman"/>
                <w:sz w:val="18"/>
                <w:szCs w:val="18"/>
                <w:lang w:eastAsia="es-CO"/>
              </w:rPr>
            </w:pPr>
            <w:r w:rsidRPr="00097599">
              <w:rPr>
                <w:rFonts w:ascii="Verdana" w:hAnsi="Verdana" w:eastAsia="Times New Roman" w:cs="Times New Roman"/>
                <w:sz w:val="18"/>
                <w:szCs w:val="18"/>
                <w:lang w:eastAsia="es-CO"/>
              </w:rPr>
              <w:t>IPSE</w:t>
            </w:r>
          </w:p>
        </w:tc>
        <w:tc>
          <w:tcPr>
            <w:tcW w:w="2500" w:type="dxa"/>
            <w:tcBorders>
              <w:top w:val="nil"/>
              <w:left w:val="nil"/>
              <w:bottom w:val="single" w:color="auto" w:sz="4" w:space="0"/>
              <w:right w:val="single" w:color="auto" w:sz="4" w:space="0"/>
            </w:tcBorders>
            <w:noWrap/>
            <w:vAlign w:val="bottom"/>
            <w:hideMark/>
          </w:tcPr>
          <w:p w:rsidRPr="00097599" w:rsidR="00097599" w:rsidP="00097599" w:rsidRDefault="00097599" w14:paraId="3BB0A0DE" w14:textId="77777777">
            <w:pPr>
              <w:spacing w:after="0" w:line="240" w:lineRule="auto"/>
              <w:jc w:val="right"/>
              <w:rPr>
                <w:rFonts w:ascii="Verdana" w:hAnsi="Verdana" w:eastAsia="Times New Roman" w:cs="Times New Roman"/>
                <w:sz w:val="18"/>
                <w:szCs w:val="18"/>
                <w:lang w:eastAsia="es-CO"/>
              </w:rPr>
            </w:pPr>
            <w:r w:rsidRPr="00097599">
              <w:rPr>
                <w:rFonts w:ascii="Verdana" w:hAnsi="Verdana" w:eastAsia="Times New Roman" w:cs="Times New Roman"/>
                <w:sz w:val="18"/>
                <w:szCs w:val="18"/>
                <w:lang w:eastAsia="es-CO"/>
              </w:rPr>
              <w:t>$ 50.000</w:t>
            </w:r>
          </w:p>
        </w:tc>
      </w:tr>
      <w:tr w:rsidRPr="00097599" w:rsidR="00097599" w14:paraId="08F75114" w14:textId="77777777">
        <w:trPr>
          <w:trHeight w:val="290"/>
          <w:jc w:val="center"/>
        </w:trPr>
        <w:tc>
          <w:tcPr>
            <w:tcW w:w="1200" w:type="dxa"/>
            <w:tcBorders>
              <w:top w:val="nil"/>
              <w:left w:val="single" w:color="auto" w:sz="4" w:space="0"/>
              <w:bottom w:val="single" w:color="auto" w:sz="4" w:space="0"/>
              <w:right w:val="single" w:color="auto" w:sz="4" w:space="0"/>
            </w:tcBorders>
            <w:noWrap/>
            <w:vAlign w:val="center"/>
            <w:hideMark/>
          </w:tcPr>
          <w:p w:rsidRPr="00097599" w:rsidR="00097599" w:rsidP="00097599" w:rsidRDefault="00097599" w14:paraId="76223E97" w14:textId="77777777">
            <w:pPr>
              <w:spacing w:after="0" w:line="240" w:lineRule="auto"/>
              <w:rPr>
                <w:rFonts w:ascii="Verdana" w:hAnsi="Verdana" w:eastAsia="Times New Roman" w:cs="Times New Roman"/>
                <w:sz w:val="18"/>
                <w:szCs w:val="18"/>
                <w:lang w:eastAsia="es-CO"/>
              </w:rPr>
            </w:pPr>
            <w:r w:rsidRPr="00097599">
              <w:rPr>
                <w:rFonts w:ascii="Verdana" w:hAnsi="Verdana" w:eastAsia="Times New Roman" w:cs="Times New Roman"/>
                <w:sz w:val="18"/>
                <w:szCs w:val="18"/>
                <w:lang w:eastAsia="es-CO"/>
              </w:rPr>
              <w:t>CREG</w:t>
            </w:r>
          </w:p>
        </w:tc>
        <w:tc>
          <w:tcPr>
            <w:tcW w:w="2500" w:type="dxa"/>
            <w:tcBorders>
              <w:top w:val="nil"/>
              <w:left w:val="nil"/>
              <w:bottom w:val="single" w:color="auto" w:sz="4" w:space="0"/>
              <w:right w:val="single" w:color="auto" w:sz="4" w:space="0"/>
            </w:tcBorders>
            <w:noWrap/>
            <w:vAlign w:val="bottom"/>
            <w:hideMark/>
          </w:tcPr>
          <w:p w:rsidRPr="00097599" w:rsidR="00097599" w:rsidP="00097599" w:rsidRDefault="00097599" w14:paraId="1AC815C1" w14:textId="77777777">
            <w:pPr>
              <w:spacing w:after="0" w:line="240" w:lineRule="auto"/>
              <w:jc w:val="right"/>
              <w:rPr>
                <w:rFonts w:ascii="Verdana" w:hAnsi="Verdana" w:eastAsia="Times New Roman" w:cs="Times New Roman"/>
                <w:sz w:val="18"/>
                <w:szCs w:val="18"/>
                <w:lang w:eastAsia="es-CO"/>
              </w:rPr>
            </w:pPr>
            <w:r w:rsidRPr="00097599">
              <w:rPr>
                <w:rFonts w:ascii="Verdana" w:hAnsi="Verdana" w:eastAsia="Times New Roman" w:cs="Times New Roman"/>
                <w:sz w:val="18"/>
                <w:szCs w:val="18"/>
                <w:lang w:eastAsia="es-CO"/>
              </w:rPr>
              <w:t>$ 24.053</w:t>
            </w:r>
          </w:p>
        </w:tc>
      </w:tr>
      <w:tr w:rsidRPr="00097599" w:rsidR="00097599" w14:paraId="53816328" w14:textId="77777777">
        <w:trPr>
          <w:trHeight w:val="290"/>
          <w:jc w:val="center"/>
        </w:trPr>
        <w:tc>
          <w:tcPr>
            <w:tcW w:w="1200" w:type="dxa"/>
            <w:tcBorders>
              <w:top w:val="nil"/>
              <w:left w:val="single" w:color="auto" w:sz="4" w:space="0"/>
              <w:bottom w:val="single" w:color="auto" w:sz="4" w:space="0"/>
              <w:right w:val="single" w:color="auto" w:sz="4" w:space="0"/>
            </w:tcBorders>
            <w:noWrap/>
            <w:vAlign w:val="center"/>
            <w:hideMark/>
          </w:tcPr>
          <w:p w:rsidRPr="00097599" w:rsidR="00097599" w:rsidP="00097599" w:rsidRDefault="00097599" w14:paraId="12EE1614" w14:textId="77777777">
            <w:pPr>
              <w:spacing w:after="0" w:line="240" w:lineRule="auto"/>
              <w:rPr>
                <w:rFonts w:ascii="Verdana" w:hAnsi="Verdana" w:eastAsia="Times New Roman" w:cs="Times New Roman"/>
                <w:sz w:val="18"/>
                <w:szCs w:val="18"/>
                <w:lang w:eastAsia="es-CO"/>
              </w:rPr>
            </w:pPr>
            <w:r w:rsidRPr="00097599">
              <w:rPr>
                <w:rFonts w:ascii="Verdana" w:hAnsi="Verdana" w:eastAsia="Times New Roman" w:cs="Times New Roman"/>
                <w:sz w:val="18"/>
                <w:szCs w:val="18"/>
                <w:lang w:eastAsia="es-CO"/>
              </w:rPr>
              <w:t>MME</w:t>
            </w:r>
          </w:p>
        </w:tc>
        <w:tc>
          <w:tcPr>
            <w:tcW w:w="2500" w:type="dxa"/>
            <w:tcBorders>
              <w:top w:val="nil"/>
              <w:left w:val="nil"/>
              <w:bottom w:val="single" w:color="auto" w:sz="4" w:space="0"/>
              <w:right w:val="single" w:color="auto" w:sz="4" w:space="0"/>
            </w:tcBorders>
            <w:noWrap/>
            <w:vAlign w:val="bottom"/>
            <w:hideMark/>
          </w:tcPr>
          <w:p w:rsidRPr="00097599" w:rsidR="00097599" w:rsidP="00097599" w:rsidRDefault="00097599" w14:paraId="52D1BE61" w14:textId="77777777">
            <w:pPr>
              <w:spacing w:after="0" w:line="240" w:lineRule="auto"/>
              <w:jc w:val="right"/>
              <w:rPr>
                <w:rFonts w:ascii="Verdana" w:hAnsi="Verdana" w:eastAsia="Times New Roman" w:cs="Times New Roman"/>
                <w:sz w:val="18"/>
                <w:szCs w:val="18"/>
                <w:lang w:eastAsia="es-CO"/>
              </w:rPr>
            </w:pPr>
            <w:r w:rsidRPr="00097599">
              <w:rPr>
                <w:rFonts w:ascii="Verdana" w:hAnsi="Verdana" w:eastAsia="Times New Roman" w:cs="Times New Roman"/>
                <w:sz w:val="18"/>
                <w:szCs w:val="18"/>
                <w:lang w:eastAsia="es-CO"/>
              </w:rPr>
              <w:t>$ 9.430.689</w:t>
            </w:r>
          </w:p>
        </w:tc>
      </w:tr>
      <w:tr w:rsidRPr="00097599" w:rsidR="00097599" w14:paraId="18BB28FA" w14:textId="77777777">
        <w:trPr>
          <w:trHeight w:val="290"/>
          <w:jc w:val="center"/>
        </w:trPr>
        <w:tc>
          <w:tcPr>
            <w:tcW w:w="1200" w:type="dxa"/>
            <w:tcBorders>
              <w:top w:val="nil"/>
              <w:left w:val="single" w:color="auto" w:sz="4" w:space="0"/>
              <w:bottom w:val="single" w:color="auto" w:sz="4" w:space="0"/>
              <w:right w:val="single" w:color="auto" w:sz="4" w:space="0"/>
            </w:tcBorders>
            <w:noWrap/>
            <w:vAlign w:val="center"/>
            <w:hideMark/>
          </w:tcPr>
          <w:p w:rsidRPr="00097599" w:rsidR="00097599" w:rsidP="00097599" w:rsidRDefault="00097599" w14:paraId="25C5E028" w14:textId="77777777">
            <w:pPr>
              <w:spacing w:after="0" w:line="240" w:lineRule="auto"/>
              <w:rPr>
                <w:rFonts w:ascii="Verdana" w:hAnsi="Verdana" w:eastAsia="Times New Roman" w:cs="Times New Roman"/>
                <w:sz w:val="18"/>
                <w:szCs w:val="18"/>
                <w:lang w:eastAsia="es-CO"/>
              </w:rPr>
            </w:pPr>
            <w:r w:rsidRPr="00097599">
              <w:rPr>
                <w:rFonts w:ascii="Verdana" w:hAnsi="Verdana" w:eastAsia="Times New Roman" w:cs="Times New Roman"/>
                <w:sz w:val="18"/>
                <w:szCs w:val="18"/>
                <w:lang w:eastAsia="es-CO"/>
              </w:rPr>
              <w:t>SGC</w:t>
            </w:r>
          </w:p>
        </w:tc>
        <w:tc>
          <w:tcPr>
            <w:tcW w:w="2500" w:type="dxa"/>
            <w:tcBorders>
              <w:top w:val="nil"/>
              <w:left w:val="nil"/>
              <w:bottom w:val="single" w:color="auto" w:sz="4" w:space="0"/>
              <w:right w:val="single" w:color="auto" w:sz="4" w:space="0"/>
            </w:tcBorders>
            <w:noWrap/>
            <w:vAlign w:val="bottom"/>
            <w:hideMark/>
          </w:tcPr>
          <w:p w:rsidRPr="00097599" w:rsidR="00097599" w:rsidP="00097599" w:rsidRDefault="00097599" w14:paraId="33352437" w14:textId="77777777">
            <w:pPr>
              <w:spacing w:after="0" w:line="240" w:lineRule="auto"/>
              <w:jc w:val="right"/>
              <w:rPr>
                <w:rFonts w:ascii="Verdana" w:hAnsi="Verdana" w:eastAsia="Times New Roman" w:cs="Times New Roman"/>
                <w:sz w:val="18"/>
                <w:szCs w:val="18"/>
                <w:lang w:eastAsia="es-CO"/>
              </w:rPr>
            </w:pPr>
            <w:r w:rsidRPr="00097599">
              <w:rPr>
                <w:rFonts w:ascii="Verdana" w:hAnsi="Verdana" w:eastAsia="Times New Roman" w:cs="Times New Roman"/>
                <w:sz w:val="18"/>
                <w:szCs w:val="18"/>
                <w:lang w:eastAsia="es-CO"/>
              </w:rPr>
              <w:t>$ 80.000</w:t>
            </w:r>
          </w:p>
        </w:tc>
      </w:tr>
      <w:tr w:rsidRPr="00097599" w:rsidR="00097599" w14:paraId="04D33F00" w14:textId="77777777">
        <w:trPr>
          <w:trHeight w:val="290"/>
          <w:jc w:val="center"/>
        </w:trPr>
        <w:tc>
          <w:tcPr>
            <w:tcW w:w="1200" w:type="dxa"/>
            <w:tcBorders>
              <w:top w:val="nil"/>
              <w:left w:val="single" w:color="auto" w:sz="4" w:space="0"/>
              <w:bottom w:val="single" w:color="auto" w:sz="4" w:space="0"/>
              <w:right w:val="single" w:color="auto" w:sz="4" w:space="0"/>
            </w:tcBorders>
            <w:noWrap/>
            <w:vAlign w:val="center"/>
            <w:hideMark/>
          </w:tcPr>
          <w:p w:rsidRPr="00097599" w:rsidR="00097599" w:rsidP="00097599" w:rsidRDefault="00097599" w14:paraId="5F1FADE0" w14:textId="77777777">
            <w:pPr>
              <w:spacing w:after="0" w:line="240" w:lineRule="auto"/>
              <w:rPr>
                <w:rFonts w:ascii="Verdana" w:hAnsi="Verdana" w:eastAsia="Times New Roman" w:cs="Times New Roman"/>
                <w:sz w:val="18"/>
                <w:szCs w:val="18"/>
                <w:lang w:eastAsia="es-CO"/>
              </w:rPr>
            </w:pPr>
            <w:r w:rsidRPr="00097599">
              <w:rPr>
                <w:rFonts w:ascii="Verdana" w:hAnsi="Verdana" w:eastAsia="Times New Roman" w:cs="Times New Roman"/>
                <w:sz w:val="18"/>
                <w:szCs w:val="18"/>
                <w:lang w:eastAsia="es-CO"/>
              </w:rPr>
              <w:t>UPME</w:t>
            </w:r>
          </w:p>
        </w:tc>
        <w:tc>
          <w:tcPr>
            <w:tcW w:w="2500" w:type="dxa"/>
            <w:tcBorders>
              <w:top w:val="nil"/>
              <w:left w:val="nil"/>
              <w:bottom w:val="single" w:color="auto" w:sz="4" w:space="0"/>
              <w:right w:val="single" w:color="auto" w:sz="4" w:space="0"/>
            </w:tcBorders>
            <w:noWrap/>
            <w:vAlign w:val="bottom"/>
            <w:hideMark/>
          </w:tcPr>
          <w:p w:rsidRPr="00097599" w:rsidR="00097599" w:rsidP="00097599" w:rsidRDefault="00097599" w14:paraId="5D5E46E9" w14:textId="77777777">
            <w:pPr>
              <w:spacing w:after="0" w:line="240" w:lineRule="auto"/>
              <w:jc w:val="right"/>
              <w:rPr>
                <w:rFonts w:ascii="Verdana" w:hAnsi="Verdana" w:eastAsia="Times New Roman" w:cs="Times New Roman"/>
                <w:sz w:val="18"/>
                <w:szCs w:val="18"/>
                <w:lang w:eastAsia="es-CO"/>
              </w:rPr>
            </w:pPr>
            <w:r w:rsidRPr="00097599">
              <w:rPr>
                <w:rFonts w:ascii="Verdana" w:hAnsi="Verdana" w:eastAsia="Times New Roman" w:cs="Times New Roman"/>
                <w:sz w:val="18"/>
                <w:szCs w:val="18"/>
                <w:lang w:eastAsia="es-CO"/>
              </w:rPr>
              <w:t>$ 42.894</w:t>
            </w:r>
          </w:p>
        </w:tc>
      </w:tr>
      <w:tr w:rsidRPr="00097599" w:rsidR="00097599" w14:paraId="00BA69E3" w14:textId="77777777">
        <w:trPr>
          <w:trHeight w:val="290"/>
          <w:jc w:val="center"/>
        </w:trPr>
        <w:tc>
          <w:tcPr>
            <w:tcW w:w="1200" w:type="dxa"/>
            <w:tcBorders>
              <w:top w:val="nil"/>
              <w:left w:val="single" w:color="auto" w:sz="4" w:space="0"/>
              <w:bottom w:val="single" w:color="auto" w:sz="4" w:space="0"/>
              <w:right w:val="single" w:color="auto" w:sz="4" w:space="0"/>
            </w:tcBorders>
            <w:shd w:val="clear" w:color="auto" w:fill="BFBFBF" w:themeFill="background1" w:themeFillShade="BF"/>
            <w:noWrap/>
            <w:vAlign w:val="center"/>
            <w:hideMark/>
          </w:tcPr>
          <w:p w:rsidRPr="00097599" w:rsidR="00097599" w:rsidP="00097599" w:rsidRDefault="00097599" w14:paraId="37249B1F" w14:textId="77777777">
            <w:pPr>
              <w:spacing w:after="0" w:line="240" w:lineRule="auto"/>
              <w:rPr>
                <w:rFonts w:ascii="Verdana" w:hAnsi="Verdana" w:eastAsia="Times New Roman" w:cs="Times New Roman"/>
                <w:b/>
                <w:bCs/>
                <w:sz w:val="18"/>
                <w:szCs w:val="18"/>
                <w:lang w:eastAsia="es-CO"/>
              </w:rPr>
            </w:pPr>
            <w:r w:rsidRPr="00097599">
              <w:rPr>
                <w:rFonts w:ascii="Verdana" w:hAnsi="Verdana" w:eastAsia="Times New Roman" w:cs="Times New Roman"/>
                <w:b/>
                <w:bCs/>
                <w:sz w:val="18"/>
                <w:szCs w:val="18"/>
                <w:lang w:eastAsia="es-CO"/>
              </w:rPr>
              <w:t>Total</w:t>
            </w:r>
          </w:p>
        </w:tc>
        <w:tc>
          <w:tcPr>
            <w:tcW w:w="2500" w:type="dxa"/>
            <w:tcBorders>
              <w:top w:val="nil"/>
              <w:left w:val="nil"/>
              <w:bottom w:val="single" w:color="auto" w:sz="4" w:space="0"/>
              <w:right w:val="single" w:color="auto" w:sz="4" w:space="0"/>
            </w:tcBorders>
            <w:shd w:val="clear" w:color="auto" w:fill="BFBFBF" w:themeFill="background1" w:themeFillShade="BF"/>
            <w:noWrap/>
            <w:vAlign w:val="bottom"/>
            <w:hideMark/>
          </w:tcPr>
          <w:p w:rsidRPr="00097599" w:rsidR="00097599" w:rsidP="00097599" w:rsidRDefault="00097599" w14:paraId="125FCFFA" w14:textId="77777777">
            <w:pPr>
              <w:spacing w:after="0" w:line="240" w:lineRule="auto"/>
              <w:jc w:val="right"/>
              <w:rPr>
                <w:rFonts w:ascii="Verdana" w:hAnsi="Verdana" w:eastAsia="Times New Roman" w:cs="Times New Roman"/>
                <w:sz w:val="18"/>
                <w:szCs w:val="18"/>
                <w:lang w:eastAsia="es-CO"/>
              </w:rPr>
            </w:pPr>
            <w:r w:rsidRPr="00097599">
              <w:rPr>
                <w:rFonts w:ascii="Verdana" w:hAnsi="Verdana" w:eastAsia="Times New Roman" w:cs="Times New Roman"/>
                <w:sz w:val="18"/>
                <w:szCs w:val="18"/>
                <w:lang w:eastAsia="es-CO"/>
              </w:rPr>
              <w:t>$ 10.141.820</w:t>
            </w:r>
          </w:p>
        </w:tc>
      </w:tr>
    </w:tbl>
    <w:p w:rsidRPr="00097599" w:rsidR="00097599" w:rsidP="00097599" w:rsidRDefault="00097599" w14:paraId="0A7CE88F" w14:textId="77777777">
      <w:pPr>
        <w:pStyle w:val="Fuente"/>
        <w:spacing w:after="0"/>
        <w:rPr>
          <w:rFonts w:ascii="Verdana" w:hAnsi="Verdana"/>
        </w:rPr>
      </w:pPr>
      <w:r w:rsidRPr="00097599">
        <w:rPr>
          <w:rFonts w:ascii="Verdana" w:hAnsi="Verdana"/>
        </w:rPr>
        <w:t>Fuente: Elaboración propia del Grupo de</w:t>
      </w:r>
      <w:r>
        <w:rPr>
          <w:rFonts w:ascii="Verdana" w:hAnsi="Verdana"/>
        </w:rPr>
        <w:t xml:space="preserve"> </w:t>
      </w:r>
      <w:r w:rsidRPr="00097599">
        <w:rPr>
          <w:rFonts w:ascii="Verdana" w:hAnsi="Verdana"/>
        </w:rPr>
        <w:t xml:space="preserve">Programación y Gestión Estratégica de Proyectos información </w:t>
      </w:r>
      <w:r w:rsidRPr="00097599">
        <w:rPr>
          <w:rFonts w:ascii="Verdana" w:hAnsi="Verdana" w:eastAsia="Verdana" w:cs="Verdana"/>
        </w:rPr>
        <w:t>- Apropiación inicial decreto de liquidación.</w:t>
      </w:r>
    </w:p>
    <w:p w:rsidR="00097599" w:rsidP="006A0A13" w:rsidRDefault="00097599" w14:paraId="74F2672D" w14:textId="77777777">
      <w:pPr>
        <w:spacing w:after="0" w:line="360" w:lineRule="auto"/>
        <w:jc w:val="both"/>
        <w:rPr>
          <w:rFonts w:ascii="Verdana" w:hAnsi="Verdana"/>
          <w:sz w:val="24"/>
          <w:szCs w:val="24"/>
        </w:rPr>
      </w:pPr>
    </w:p>
    <w:p w:rsidRPr="00C140A0" w:rsidR="00A82055" w:rsidRDefault="00A82055" w14:paraId="126D1BA7" w14:textId="77777777">
      <w:pPr>
        <w:pStyle w:val="Ttulo2"/>
        <w:numPr>
          <w:ilvl w:val="1"/>
          <w:numId w:val="42"/>
        </w:numPr>
        <w:spacing w:before="0" w:after="0" w:line="360" w:lineRule="auto"/>
        <w:rPr>
          <w:rFonts w:ascii="Verdana" w:hAnsi="Verdana"/>
          <w:b/>
          <w:bCs/>
          <w:color w:val="auto"/>
          <w:sz w:val="24"/>
          <w:szCs w:val="24"/>
        </w:rPr>
      </w:pPr>
      <w:bookmarkStart w:name="_Toc233996731" w:id="14"/>
      <w:r w:rsidRPr="00C140A0">
        <w:rPr>
          <w:rFonts w:ascii="Verdana" w:hAnsi="Verdana"/>
          <w:b/>
          <w:bCs/>
          <w:color w:val="auto"/>
          <w:sz w:val="24"/>
          <w:szCs w:val="24"/>
        </w:rPr>
        <w:t>Ejecución presupuestal proyectos de inversión Sector Minas y Energía por vigencia (Por vigencia)</w:t>
      </w:r>
      <w:bookmarkEnd w:id="14"/>
    </w:p>
    <w:p w:rsidRPr="00C140A0" w:rsidR="00FA3949" w:rsidP="006A0A13" w:rsidRDefault="00FA3949" w14:paraId="7ECA9FEB" w14:textId="77777777">
      <w:pPr>
        <w:spacing w:after="0" w:line="360" w:lineRule="auto"/>
        <w:rPr>
          <w:rFonts w:ascii="Verdana" w:hAnsi="Verdana"/>
        </w:rPr>
      </w:pPr>
    </w:p>
    <w:p w:rsidRPr="001D2D91" w:rsidR="00344D3A" w:rsidRDefault="00344D3A" w14:paraId="3E65FACC" w14:textId="77777777">
      <w:pPr>
        <w:pStyle w:val="Prrafodelista"/>
        <w:numPr>
          <w:ilvl w:val="2"/>
          <w:numId w:val="42"/>
        </w:numPr>
        <w:tabs>
          <w:tab w:val="left" w:pos="1274"/>
        </w:tabs>
        <w:spacing w:after="0" w:line="360" w:lineRule="auto"/>
        <w:rPr>
          <w:rFonts w:ascii="Verdana" w:hAnsi="Verdana" w:eastAsiaTheme="majorEastAsia" w:cstheme="majorBidi"/>
          <w:b/>
          <w:bCs/>
          <w:sz w:val="24"/>
          <w:szCs w:val="24"/>
        </w:rPr>
      </w:pPr>
      <w:r w:rsidRPr="001D2D91">
        <w:rPr>
          <w:rFonts w:ascii="Verdana" w:hAnsi="Verdana" w:eastAsiaTheme="majorEastAsia" w:cstheme="majorBidi"/>
          <w:b/>
          <w:bCs/>
          <w:sz w:val="24"/>
          <w:szCs w:val="24"/>
        </w:rPr>
        <w:t>Cierre Presupuestal 2022</w:t>
      </w:r>
    </w:p>
    <w:p w:rsidR="00097599" w:rsidP="006A0A13" w:rsidRDefault="00097599" w14:paraId="69534AD5" w14:textId="77777777">
      <w:pPr>
        <w:tabs>
          <w:tab w:val="left" w:pos="1274"/>
        </w:tabs>
        <w:spacing w:after="0" w:line="360" w:lineRule="auto"/>
        <w:jc w:val="both"/>
        <w:rPr>
          <w:rFonts w:ascii="Verdana" w:hAnsi="Verdana"/>
        </w:rPr>
      </w:pPr>
    </w:p>
    <w:p w:rsidRPr="001D2D91" w:rsidR="00097599" w:rsidP="006A0A13" w:rsidRDefault="751DD037" w14:paraId="3B6ACEB5" w14:textId="3B503DC0">
      <w:pPr>
        <w:tabs>
          <w:tab w:val="left" w:pos="1274"/>
        </w:tabs>
        <w:spacing w:after="0" w:line="360" w:lineRule="auto"/>
        <w:jc w:val="both"/>
        <w:rPr>
          <w:rFonts w:ascii="Verdana" w:hAnsi="Verdana"/>
          <w:sz w:val="24"/>
          <w:szCs w:val="24"/>
        </w:rPr>
      </w:pPr>
      <w:commentRangeStart w:id="19731430"/>
      <w:r w:rsidRPr="30CF4445" w:rsidR="577BBA6A">
        <w:rPr>
          <w:rFonts w:ascii="Verdana" w:hAnsi="Verdana"/>
          <w:sz w:val="24"/>
          <w:szCs w:val="24"/>
        </w:rPr>
        <w:t>El Sector Minero Energético registró una apropiación vigente de $478.715 millones, de los cuales se comprometieron $4.425.975 millones, equivalentes al 92,5% de la apropiación total.</w:t>
      </w:r>
      <w:commentRangeEnd w:id="19731430"/>
      <w:r>
        <w:rPr>
          <w:rStyle w:val="CommentReference"/>
        </w:rPr>
        <w:commentReference w:id="19731430"/>
      </w:r>
    </w:p>
    <w:p w:rsidRPr="001D2D91" w:rsidR="00097599" w:rsidP="006A0A13" w:rsidRDefault="00097599" w14:paraId="0B88BCDD" w14:textId="77777777">
      <w:pPr>
        <w:tabs>
          <w:tab w:val="left" w:pos="1274"/>
        </w:tabs>
        <w:spacing w:after="0" w:line="360" w:lineRule="auto"/>
        <w:jc w:val="both"/>
        <w:rPr>
          <w:rFonts w:ascii="Verdana" w:hAnsi="Verdana"/>
          <w:sz w:val="24"/>
          <w:szCs w:val="24"/>
        </w:rPr>
      </w:pPr>
    </w:p>
    <w:p w:rsidRPr="001D2D91" w:rsidR="00097599" w:rsidP="006A0A13" w:rsidRDefault="00097599" w14:paraId="17C22C3A" w14:textId="77777777">
      <w:pPr>
        <w:tabs>
          <w:tab w:val="left" w:pos="1274"/>
        </w:tabs>
        <w:spacing w:after="0" w:line="360" w:lineRule="auto"/>
        <w:jc w:val="both"/>
        <w:rPr>
          <w:rFonts w:ascii="Verdana" w:hAnsi="Verdana"/>
          <w:sz w:val="24"/>
          <w:szCs w:val="24"/>
        </w:rPr>
      </w:pPr>
      <w:r w:rsidRPr="001D2D91">
        <w:rPr>
          <w:rFonts w:ascii="Verdana" w:hAnsi="Verdana"/>
          <w:sz w:val="24"/>
          <w:szCs w:val="24"/>
        </w:rPr>
        <w:t xml:space="preserve">El comportamiento sectorial estuvo determinado principalmente por el Ministerio de Minas y Energía (MME), entidad que concentró la mayor </w:t>
      </w:r>
      <w:r w:rsidRPr="001D2D91">
        <w:rPr>
          <w:rFonts w:ascii="Verdana" w:hAnsi="Verdana"/>
          <w:sz w:val="24"/>
          <w:szCs w:val="24"/>
        </w:rPr>
        <w:t>participación de los recursos del sector, con compromisos por $3.777.979 millones, alcanzando una ejecución presupuestal del 94,2%.</w:t>
      </w:r>
    </w:p>
    <w:p w:rsidRPr="001D2D91" w:rsidR="00097599" w:rsidP="006A0A13" w:rsidRDefault="00097599" w14:paraId="0F275A8E" w14:textId="77777777">
      <w:pPr>
        <w:tabs>
          <w:tab w:val="left" w:pos="1274"/>
        </w:tabs>
        <w:spacing w:after="0" w:line="360" w:lineRule="auto"/>
        <w:jc w:val="both"/>
        <w:rPr>
          <w:rFonts w:ascii="Verdana" w:hAnsi="Verdana"/>
          <w:sz w:val="24"/>
          <w:szCs w:val="24"/>
        </w:rPr>
      </w:pPr>
    </w:p>
    <w:p w:rsidRPr="001D2D91" w:rsidR="00097599" w:rsidP="006A0A13" w:rsidRDefault="00097599" w14:paraId="73C9B6E0" w14:textId="2BCCC2AB">
      <w:pPr>
        <w:tabs>
          <w:tab w:val="left" w:pos="1274"/>
        </w:tabs>
        <w:spacing w:after="0" w:line="360" w:lineRule="auto"/>
        <w:jc w:val="both"/>
        <w:rPr>
          <w:rFonts w:ascii="Verdana" w:hAnsi="Verdana"/>
          <w:sz w:val="24"/>
          <w:szCs w:val="24"/>
        </w:rPr>
      </w:pPr>
      <w:r w:rsidRPr="30CF4445" w:rsidR="1A4BBEA3">
        <w:rPr>
          <w:rFonts w:ascii="Verdana" w:hAnsi="Verdana"/>
          <w:sz w:val="24"/>
          <w:szCs w:val="24"/>
        </w:rPr>
        <w:t>Entre las entidades adscritas se destacan los niveles de ejecución presupuestal alcanzados por la ANH, que presentó compromisos por $206.901 millones, equivalentes al 66,5% de su apropiación; la ANM, que alcanzó compromisos por $18.820 millones, correspondientes al 96,5% de ejecución; la CREG registró compromisos por $8.121 millones, alcanzando una ejecución presupuestal del 70,9%; IPSE, que registró compromisos por $234.434 millones, equivalentes a una ejecución del 99,5% de su apropiación; por su parte el SGC registr</w:t>
      </w:r>
      <w:r w:rsidRPr="30CF4445" w:rsidR="605BAEC9">
        <w:rPr>
          <w:rFonts w:ascii="Verdana" w:hAnsi="Verdana"/>
          <w:sz w:val="24"/>
          <w:szCs w:val="24"/>
        </w:rPr>
        <w:t>ó</w:t>
      </w:r>
      <w:r w:rsidRPr="30CF4445" w:rsidR="1A4BBEA3">
        <w:rPr>
          <w:rFonts w:ascii="Verdana" w:hAnsi="Verdana"/>
          <w:sz w:val="24"/>
          <w:szCs w:val="24"/>
        </w:rPr>
        <w:t xml:space="preserve"> compromisos por $ 154.585 millones, equivalentes a 88,2% del total de la ejecución; la UPME, con compromisos por $27.137 millones y una ejecución del 98,2%.</w:t>
      </w:r>
    </w:p>
    <w:p w:rsidRPr="001D2D91" w:rsidR="00097599" w:rsidP="006A0A13" w:rsidRDefault="00097599" w14:paraId="1C799F8C" w14:textId="77777777">
      <w:pPr>
        <w:tabs>
          <w:tab w:val="left" w:pos="1274"/>
        </w:tabs>
        <w:spacing w:after="0" w:line="360" w:lineRule="auto"/>
        <w:jc w:val="both"/>
        <w:rPr>
          <w:rFonts w:ascii="Verdana" w:hAnsi="Verdana"/>
          <w:sz w:val="24"/>
          <w:szCs w:val="24"/>
        </w:rPr>
      </w:pPr>
    </w:p>
    <w:p w:rsidR="00344D3A" w:rsidP="006A0A13" w:rsidRDefault="751DD037" w14:paraId="00EA6E31" w14:textId="77777777">
      <w:pPr>
        <w:tabs>
          <w:tab w:val="left" w:pos="1274"/>
        </w:tabs>
        <w:spacing w:after="0" w:line="360" w:lineRule="auto"/>
        <w:jc w:val="both"/>
      </w:pPr>
      <w:r w:rsidRPr="0FF05B1B">
        <w:rPr>
          <w:rFonts w:ascii="Verdana" w:hAnsi="Verdana"/>
          <w:sz w:val="24"/>
          <w:szCs w:val="24"/>
        </w:rPr>
        <w:t>Estos resultados evidencian una adecuada capacidad de planeación, gestión y ejecución de los recursos asignados, reflejando un desempeño favorable en el cumplimiento de las metas institucionales y en la gestión presupuestal de las entidades que conforman el sector.</w:t>
      </w:r>
    </w:p>
    <w:p w:rsidRPr="00097599" w:rsidR="00097599" w:rsidP="006A0A13" w:rsidRDefault="00097599" w14:paraId="3C920759" w14:textId="77777777">
      <w:pPr>
        <w:tabs>
          <w:tab w:val="left" w:pos="1274"/>
        </w:tabs>
        <w:spacing w:after="0" w:line="240" w:lineRule="auto"/>
        <w:rPr>
          <w:rFonts w:ascii="Verdana" w:hAnsi="Verdana"/>
          <w:sz w:val="18"/>
          <w:szCs w:val="18"/>
        </w:rPr>
      </w:pPr>
    </w:p>
    <w:p w:rsidRPr="001D2D91" w:rsidR="00097599" w:rsidP="00097599" w:rsidRDefault="385A8564" w14:paraId="4930A7FE" w14:textId="77777777">
      <w:pPr>
        <w:spacing w:after="0" w:line="240" w:lineRule="auto"/>
        <w:jc w:val="center"/>
        <w:rPr>
          <w:rFonts w:ascii="Verdana" w:hAnsi="Verdana"/>
          <w:sz w:val="18"/>
          <w:szCs w:val="18"/>
        </w:rPr>
      </w:pPr>
      <w:r w:rsidRPr="180099B3">
        <w:rPr>
          <w:rFonts w:ascii="Verdana" w:hAnsi="Verdana"/>
          <w:sz w:val="18"/>
          <w:szCs w:val="18"/>
        </w:rPr>
        <w:t>Tabla</w:t>
      </w:r>
      <w:r w:rsidRPr="180099B3" w:rsidR="30F40458">
        <w:rPr>
          <w:rFonts w:ascii="Verdana" w:hAnsi="Verdana"/>
          <w:sz w:val="18"/>
          <w:szCs w:val="18"/>
        </w:rPr>
        <w:t xml:space="preserve"> No. 4</w:t>
      </w:r>
      <w:r w:rsidRPr="180099B3" w:rsidR="35E678EF">
        <w:rPr>
          <w:rFonts w:ascii="Verdana" w:hAnsi="Verdana"/>
          <w:sz w:val="18"/>
          <w:szCs w:val="18"/>
        </w:rPr>
        <w:t>3</w:t>
      </w:r>
      <w:r w:rsidRPr="180099B3" w:rsidR="7B8FDCB2">
        <w:rPr>
          <w:rFonts w:ascii="Verdana" w:hAnsi="Verdana"/>
          <w:sz w:val="18"/>
          <w:szCs w:val="18"/>
        </w:rPr>
        <w:t>.</w:t>
      </w:r>
      <w:r w:rsidRPr="180099B3">
        <w:rPr>
          <w:rFonts w:ascii="Verdana" w:hAnsi="Verdana"/>
          <w:sz w:val="18"/>
          <w:szCs w:val="18"/>
        </w:rPr>
        <w:t xml:space="preserve"> Ejecución Presupuestal del Sector Minero Energético con corte a 31 de diciembre de 2022</w:t>
      </w: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655"/>
        <w:gridCol w:w="949"/>
        <w:gridCol w:w="1177"/>
        <w:gridCol w:w="866"/>
        <w:gridCol w:w="948"/>
        <w:gridCol w:w="1078"/>
        <w:gridCol w:w="1060"/>
        <w:gridCol w:w="544"/>
        <w:gridCol w:w="1007"/>
        <w:gridCol w:w="544"/>
      </w:tblGrid>
      <w:tr w:rsidRPr="00097599" w:rsidR="00097599" w:rsidTr="00097599" w14:paraId="2AD48856" w14:textId="77777777">
        <w:trPr>
          <w:trHeight w:val="450"/>
        </w:trPr>
        <w:tc>
          <w:tcPr>
            <w:tcW w:w="374" w:type="pct"/>
            <w:vMerge w:val="restart"/>
            <w:shd w:val="clear" w:color="auto" w:fill="A6A6A6" w:themeFill="background1" w:themeFillShade="A6"/>
            <w:vAlign w:val="center"/>
            <w:hideMark/>
          </w:tcPr>
          <w:p w:rsidRPr="00097599" w:rsidR="00097599" w:rsidP="00097599" w:rsidRDefault="00097599" w14:paraId="6AA9853A" w14:textId="77777777">
            <w:pPr>
              <w:spacing w:after="0" w:line="240" w:lineRule="auto"/>
              <w:jc w:val="center"/>
              <w:rPr>
                <w:rFonts w:ascii="Verdana" w:hAnsi="Verdana" w:eastAsia="Times New Roman" w:cs="Times New Roman"/>
                <w:b/>
                <w:bCs/>
                <w:color w:val="000000"/>
                <w:sz w:val="16"/>
                <w:szCs w:val="16"/>
                <w:lang w:eastAsia="es-CO"/>
              </w:rPr>
            </w:pPr>
            <w:r w:rsidRPr="00097599">
              <w:rPr>
                <w:rFonts w:ascii="Verdana" w:hAnsi="Verdana" w:eastAsia="Times New Roman" w:cs="Times New Roman"/>
                <w:b/>
                <w:bCs/>
                <w:color w:val="000000"/>
                <w:sz w:val="16"/>
                <w:szCs w:val="16"/>
                <w:lang w:eastAsia="es-CO"/>
              </w:rPr>
              <w:t>Entidad</w:t>
            </w:r>
          </w:p>
        </w:tc>
        <w:tc>
          <w:tcPr>
            <w:tcW w:w="552" w:type="pct"/>
            <w:vMerge w:val="restart"/>
            <w:shd w:val="clear" w:color="auto" w:fill="A6A6A6" w:themeFill="background1" w:themeFillShade="A6"/>
            <w:vAlign w:val="center"/>
            <w:hideMark/>
          </w:tcPr>
          <w:p w:rsidRPr="00097599" w:rsidR="00097599" w:rsidP="00097599" w:rsidRDefault="00097599" w14:paraId="0468E6A1" w14:textId="77777777">
            <w:pPr>
              <w:spacing w:after="0" w:line="240" w:lineRule="auto"/>
              <w:jc w:val="center"/>
              <w:rPr>
                <w:rFonts w:ascii="Verdana" w:hAnsi="Verdana" w:eastAsia="Times New Roman" w:cs="Times New Roman"/>
                <w:b/>
                <w:bCs/>
                <w:color w:val="000000"/>
                <w:sz w:val="16"/>
                <w:szCs w:val="16"/>
                <w:lang w:eastAsia="es-CO"/>
              </w:rPr>
            </w:pPr>
            <w:r w:rsidRPr="00097599">
              <w:rPr>
                <w:rFonts w:ascii="Verdana" w:hAnsi="Verdana" w:eastAsia="Times New Roman" w:cs="Times New Roman"/>
                <w:b/>
                <w:bCs/>
                <w:color w:val="000000"/>
                <w:sz w:val="16"/>
                <w:szCs w:val="16"/>
                <w:lang w:eastAsia="es-CO"/>
              </w:rPr>
              <w:t>Apropiación Inicial 2022</w:t>
            </w:r>
          </w:p>
        </w:tc>
        <w:tc>
          <w:tcPr>
            <w:tcW w:w="690" w:type="pct"/>
            <w:vMerge w:val="restart"/>
            <w:shd w:val="clear" w:color="auto" w:fill="A6A6A6" w:themeFill="background1" w:themeFillShade="A6"/>
            <w:vAlign w:val="center"/>
            <w:hideMark/>
          </w:tcPr>
          <w:p w:rsidRPr="00097599" w:rsidR="00097599" w:rsidP="00097599" w:rsidRDefault="00097599" w14:paraId="476458D3" w14:textId="77777777">
            <w:pPr>
              <w:spacing w:after="0" w:line="240" w:lineRule="auto"/>
              <w:jc w:val="center"/>
              <w:rPr>
                <w:rFonts w:ascii="Verdana" w:hAnsi="Verdana" w:eastAsia="Times New Roman" w:cs="Times New Roman"/>
                <w:b/>
                <w:bCs/>
                <w:color w:val="000000"/>
                <w:sz w:val="16"/>
                <w:szCs w:val="16"/>
                <w:lang w:eastAsia="es-CO"/>
              </w:rPr>
            </w:pPr>
            <w:r w:rsidRPr="00097599">
              <w:rPr>
                <w:rFonts w:ascii="Verdana" w:hAnsi="Verdana" w:eastAsia="Times New Roman" w:cs="Times New Roman"/>
                <w:b/>
                <w:bCs/>
                <w:color w:val="000000"/>
                <w:sz w:val="16"/>
                <w:szCs w:val="16"/>
                <w:lang w:eastAsia="es-CO"/>
              </w:rPr>
              <w:t>Traslados Presupuestales por Reducción</w:t>
            </w:r>
          </w:p>
        </w:tc>
        <w:tc>
          <w:tcPr>
            <w:tcW w:w="458" w:type="pct"/>
            <w:vMerge w:val="restart"/>
            <w:shd w:val="clear" w:color="auto" w:fill="A6A6A6" w:themeFill="background1" w:themeFillShade="A6"/>
            <w:vAlign w:val="center"/>
            <w:hideMark/>
          </w:tcPr>
          <w:p w:rsidRPr="00097599" w:rsidR="00097599" w:rsidP="00097599" w:rsidRDefault="00097599" w14:paraId="6FB0622D" w14:textId="77777777">
            <w:pPr>
              <w:spacing w:after="0" w:line="240" w:lineRule="auto"/>
              <w:jc w:val="center"/>
              <w:rPr>
                <w:rFonts w:ascii="Verdana" w:hAnsi="Verdana" w:eastAsia="Times New Roman" w:cs="Times New Roman"/>
                <w:b/>
                <w:bCs/>
                <w:color w:val="000000"/>
                <w:sz w:val="16"/>
                <w:szCs w:val="16"/>
                <w:lang w:eastAsia="es-CO"/>
              </w:rPr>
            </w:pPr>
            <w:r w:rsidRPr="00097599">
              <w:rPr>
                <w:rFonts w:ascii="Verdana" w:hAnsi="Verdana" w:eastAsia="Times New Roman" w:cs="Times New Roman"/>
                <w:b/>
                <w:bCs/>
                <w:color w:val="000000"/>
                <w:sz w:val="16"/>
                <w:szCs w:val="16"/>
                <w:lang w:eastAsia="es-CO"/>
              </w:rPr>
              <w:t>Total Adiciones</w:t>
            </w:r>
          </w:p>
        </w:tc>
        <w:tc>
          <w:tcPr>
            <w:tcW w:w="552" w:type="pct"/>
            <w:vMerge w:val="restart"/>
            <w:shd w:val="clear" w:color="auto" w:fill="A6A6A6" w:themeFill="background1" w:themeFillShade="A6"/>
            <w:vAlign w:val="center"/>
            <w:hideMark/>
          </w:tcPr>
          <w:p w:rsidRPr="00097599" w:rsidR="00097599" w:rsidP="00097599" w:rsidRDefault="00097599" w14:paraId="5CB35C25" w14:textId="77777777">
            <w:pPr>
              <w:spacing w:after="0" w:line="240" w:lineRule="auto"/>
              <w:jc w:val="center"/>
              <w:rPr>
                <w:rFonts w:ascii="Verdana" w:hAnsi="Verdana" w:eastAsia="Times New Roman" w:cs="Times New Roman"/>
                <w:b/>
                <w:bCs/>
                <w:color w:val="000000"/>
                <w:sz w:val="16"/>
                <w:szCs w:val="16"/>
                <w:lang w:eastAsia="es-CO"/>
              </w:rPr>
            </w:pPr>
            <w:r w:rsidRPr="00097599">
              <w:rPr>
                <w:rFonts w:ascii="Verdana" w:hAnsi="Verdana" w:eastAsia="Times New Roman" w:cs="Times New Roman"/>
                <w:b/>
                <w:bCs/>
                <w:color w:val="000000"/>
                <w:sz w:val="16"/>
                <w:szCs w:val="16"/>
                <w:lang w:eastAsia="es-CO"/>
              </w:rPr>
              <w:t>Apropiación</w:t>
            </w:r>
            <w:r w:rsidRPr="00097599">
              <w:rPr>
                <w:rFonts w:ascii="Verdana" w:hAnsi="Verdana" w:eastAsia="Times New Roman" w:cs="Times New Roman"/>
                <w:b/>
                <w:bCs/>
                <w:color w:val="000000"/>
                <w:sz w:val="16"/>
                <w:szCs w:val="16"/>
                <w:lang w:eastAsia="es-CO"/>
              </w:rPr>
              <w:br/>
            </w:r>
            <w:r w:rsidRPr="00097599">
              <w:rPr>
                <w:rFonts w:ascii="Verdana" w:hAnsi="Verdana" w:eastAsia="Times New Roman" w:cs="Times New Roman"/>
                <w:b/>
                <w:bCs/>
                <w:color w:val="000000"/>
                <w:sz w:val="16"/>
                <w:szCs w:val="16"/>
                <w:lang w:eastAsia="es-CO"/>
              </w:rPr>
              <w:t>Vigente</w:t>
            </w:r>
          </w:p>
        </w:tc>
        <w:tc>
          <w:tcPr>
            <w:tcW w:w="552" w:type="pct"/>
            <w:vMerge w:val="restart"/>
            <w:shd w:val="clear" w:color="auto" w:fill="A6A6A6" w:themeFill="background1" w:themeFillShade="A6"/>
            <w:vAlign w:val="center"/>
            <w:hideMark/>
          </w:tcPr>
          <w:p w:rsidRPr="00097599" w:rsidR="00097599" w:rsidP="00097599" w:rsidRDefault="00097599" w14:paraId="67E2E4C2" w14:textId="77777777">
            <w:pPr>
              <w:spacing w:after="0" w:line="240" w:lineRule="auto"/>
              <w:jc w:val="center"/>
              <w:rPr>
                <w:rFonts w:ascii="Verdana" w:hAnsi="Verdana" w:eastAsia="Times New Roman" w:cs="Times New Roman"/>
                <w:b/>
                <w:bCs/>
                <w:color w:val="000000"/>
                <w:sz w:val="16"/>
                <w:szCs w:val="16"/>
                <w:lang w:eastAsia="es-CO"/>
              </w:rPr>
            </w:pPr>
            <w:r w:rsidRPr="00097599">
              <w:rPr>
                <w:rFonts w:ascii="Verdana" w:hAnsi="Verdana" w:eastAsia="Times New Roman" w:cs="Times New Roman"/>
                <w:b/>
                <w:bCs/>
                <w:color w:val="000000"/>
                <w:sz w:val="16"/>
                <w:szCs w:val="16"/>
                <w:lang w:eastAsia="es-CO"/>
              </w:rPr>
              <w:t>Apropiación Bloqueada 2022</w:t>
            </w:r>
          </w:p>
        </w:tc>
        <w:tc>
          <w:tcPr>
            <w:tcW w:w="619" w:type="pct"/>
            <w:vMerge w:val="restart"/>
            <w:shd w:val="clear" w:color="auto" w:fill="A6A6A6" w:themeFill="background1" w:themeFillShade="A6"/>
            <w:vAlign w:val="center"/>
            <w:hideMark/>
          </w:tcPr>
          <w:p w:rsidRPr="00097599" w:rsidR="00097599" w:rsidP="00097599" w:rsidRDefault="00097599" w14:paraId="066EE735" w14:textId="77777777">
            <w:pPr>
              <w:spacing w:after="0" w:line="240" w:lineRule="auto"/>
              <w:jc w:val="center"/>
              <w:rPr>
                <w:rFonts w:ascii="Verdana" w:hAnsi="Verdana" w:eastAsia="Times New Roman" w:cs="Times New Roman"/>
                <w:b/>
                <w:bCs/>
                <w:color w:val="000000"/>
                <w:sz w:val="16"/>
                <w:szCs w:val="16"/>
                <w:lang w:eastAsia="es-CO"/>
              </w:rPr>
            </w:pPr>
            <w:r w:rsidRPr="00097599">
              <w:rPr>
                <w:rFonts w:ascii="Verdana" w:hAnsi="Verdana" w:eastAsia="Times New Roman" w:cs="Times New Roman"/>
                <w:b/>
                <w:bCs/>
                <w:color w:val="000000"/>
                <w:sz w:val="16"/>
                <w:szCs w:val="16"/>
                <w:lang w:eastAsia="es-CO"/>
              </w:rPr>
              <w:t>Compromisos</w:t>
            </w:r>
          </w:p>
        </w:tc>
        <w:tc>
          <w:tcPr>
            <w:tcW w:w="308" w:type="pct"/>
            <w:vMerge w:val="restart"/>
            <w:shd w:val="clear" w:color="auto" w:fill="A6A6A6" w:themeFill="background1" w:themeFillShade="A6"/>
            <w:vAlign w:val="center"/>
            <w:hideMark/>
          </w:tcPr>
          <w:p w:rsidRPr="00097599" w:rsidR="00097599" w:rsidP="00097599" w:rsidRDefault="00097599" w14:paraId="67A891FA" w14:textId="77777777">
            <w:pPr>
              <w:spacing w:after="0" w:line="240" w:lineRule="auto"/>
              <w:jc w:val="center"/>
              <w:rPr>
                <w:rFonts w:ascii="Verdana" w:hAnsi="Verdana" w:eastAsia="Times New Roman" w:cs="Times New Roman"/>
                <w:b/>
                <w:bCs/>
                <w:color w:val="000000"/>
                <w:sz w:val="16"/>
                <w:szCs w:val="16"/>
                <w:lang w:eastAsia="es-CO"/>
              </w:rPr>
            </w:pPr>
            <w:r w:rsidRPr="00097599">
              <w:rPr>
                <w:rFonts w:ascii="Verdana" w:hAnsi="Verdana" w:eastAsia="Times New Roman" w:cs="Times New Roman"/>
                <w:b/>
                <w:bCs/>
                <w:color w:val="000000"/>
                <w:sz w:val="16"/>
                <w:szCs w:val="16"/>
                <w:lang w:eastAsia="es-CO"/>
              </w:rPr>
              <w:t>% Comp</w:t>
            </w:r>
          </w:p>
        </w:tc>
        <w:tc>
          <w:tcPr>
            <w:tcW w:w="587" w:type="pct"/>
            <w:vMerge w:val="restart"/>
            <w:shd w:val="clear" w:color="auto" w:fill="A6A6A6" w:themeFill="background1" w:themeFillShade="A6"/>
            <w:vAlign w:val="center"/>
            <w:hideMark/>
          </w:tcPr>
          <w:p w:rsidRPr="00097599" w:rsidR="00097599" w:rsidP="00097599" w:rsidRDefault="00097599" w14:paraId="48F506BA" w14:textId="77777777">
            <w:pPr>
              <w:spacing w:after="0" w:line="240" w:lineRule="auto"/>
              <w:jc w:val="center"/>
              <w:rPr>
                <w:rFonts w:ascii="Verdana" w:hAnsi="Verdana" w:eastAsia="Times New Roman" w:cs="Times New Roman"/>
                <w:b/>
                <w:bCs/>
                <w:color w:val="000000"/>
                <w:sz w:val="16"/>
                <w:szCs w:val="16"/>
                <w:lang w:eastAsia="es-CO"/>
              </w:rPr>
            </w:pPr>
            <w:r w:rsidRPr="00097599">
              <w:rPr>
                <w:rFonts w:ascii="Verdana" w:hAnsi="Verdana" w:eastAsia="Times New Roman" w:cs="Times New Roman"/>
                <w:b/>
                <w:bCs/>
                <w:color w:val="000000"/>
                <w:sz w:val="16"/>
                <w:szCs w:val="16"/>
                <w:lang w:eastAsia="es-CO"/>
              </w:rPr>
              <w:t>Obligaciones</w:t>
            </w:r>
          </w:p>
        </w:tc>
        <w:tc>
          <w:tcPr>
            <w:tcW w:w="308" w:type="pct"/>
            <w:vMerge w:val="restart"/>
            <w:shd w:val="clear" w:color="auto" w:fill="A6A6A6" w:themeFill="background1" w:themeFillShade="A6"/>
            <w:vAlign w:val="center"/>
            <w:hideMark/>
          </w:tcPr>
          <w:p w:rsidRPr="00097599" w:rsidR="00097599" w:rsidP="00097599" w:rsidRDefault="00097599" w14:paraId="7B0FDE6A" w14:textId="77777777">
            <w:pPr>
              <w:spacing w:after="0" w:line="240" w:lineRule="auto"/>
              <w:jc w:val="center"/>
              <w:rPr>
                <w:rFonts w:ascii="Verdana" w:hAnsi="Verdana" w:eastAsia="Times New Roman" w:cs="Times New Roman"/>
                <w:b/>
                <w:bCs/>
                <w:color w:val="000000"/>
                <w:sz w:val="16"/>
                <w:szCs w:val="16"/>
                <w:lang w:eastAsia="es-CO"/>
              </w:rPr>
            </w:pPr>
            <w:r w:rsidRPr="00097599">
              <w:rPr>
                <w:rFonts w:ascii="Verdana" w:hAnsi="Verdana" w:eastAsia="Times New Roman" w:cs="Times New Roman"/>
                <w:b/>
                <w:bCs/>
                <w:color w:val="000000"/>
                <w:sz w:val="16"/>
                <w:szCs w:val="16"/>
                <w:lang w:eastAsia="es-CO"/>
              </w:rPr>
              <w:t>% Oblig.</w:t>
            </w:r>
          </w:p>
        </w:tc>
      </w:tr>
      <w:tr w:rsidRPr="00097599" w:rsidR="00097599" w:rsidTr="00097599" w14:paraId="1F944368" w14:textId="77777777">
        <w:trPr>
          <w:trHeight w:val="456"/>
        </w:trPr>
        <w:tc>
          <w:tcPr>
            <w:tcW w:w="374" w:type="pct"/>
            <w:vMerge/>
            <w:shd w:val="clear" w:color="auto" w:fill="A6A6A6" w:themeFill="background1" w:themeFillShade="A6"/>
            <w:vAlign w:val="center"/>
            <w:hideMark/>
          </w:tcPr>
          <w:p w:rsidRPr="00097599" w:rsidR="00097599" w:rsidP="00097599" w:rsidRDefault="00097599" w14:paraId="367F2096" w14:textId="77777777">
            <w:pPr>
              <w:spacing w:after="0" w:line="240" w:lineRule="auto"/>
              <w:jc w:val="center"/>
              <w:rPr>
                <w:rFonts w:ascii="Verdana" w:hAnsi="Verdana" w:eastAsia="Times New Roman" w:cs="Times New Roman"/>
                <w:b/>
                <w:bCs/>
                <w:color w:val="000000"/>
                <w:sz w:val="16"/>
                <w:szCs w:val="16"/>
                <w:lang w:eastAsia="es-CO"/>
              </w:rPr>
            </w:pPr>
          </w:p>
        </w:tc>
        <w:tc>
          <w:tcPr>
            <w:tcW w:w="552" w:type="pct"/>
            <w:vMerge/>
            <w:shd w:val="clear" w:color="auto" w:fill="A6A6A6" w:themeFill="background1" w:themeFillShade="A6"/>
            <w:vAlign w:val="center"/>
            <w:hideMark/>
          </w:tcPr>
          <w:p w:rsidRPr="00097599" w:rsidR="00097599" w:rsidP="00097599" w:rsidRDefault="00097599" w14:paraId="4611F00F" w14:textId="77777777">
            <w:pPr>
              <w:spacing w:after="0" w:line="240" w:lineRule="auto"/>
              <w:jc w:val="center"/>
              <w:rPr>
                <w:rFonts w:ascii="Verdana" w:hAnsi="Verdana" w:eastAsia="Times New Roman" w:cs="Times New Roman"/>
                <w:b/>
                <w:bCs/>
                <w:color w:val="000000"/>
                <w:sz w:val="16"/>
                <w:szCs w:val="16"/>
                <w:lang w:eastAsia="es-CO"/>
              </w:rPr>
            </w:pPr>
          </w:p>
        </w:tc>
        <w:tc>
          <w:tcPr>
            <w:tcW w:w="690" w:type="pct"/>
            <w:vMerge/>
            <w:shd w:val="clear" w:color="auto" w:fill="A6A6A6" w:themeFill="background1" w:themeFillShade="A6"/>
            <w:vAlign w:val="center"/>
            <w:hideMark/>
          </w:tcPr>
          <w:p w:rsidRPr="00097599" w:rsidR="00097599" w:rsidP="00097599" w:rsidRDefault="00097599" w14:paraId="393359EC" w14:textId="77777777">
            <w:pPr>
              <w:spacing w:after="0" w:line="240" w:lineRule="auto"/>
              <w:jc w:val="center"/>
              <w:rPr>
                <w:rFonts w:ascii="Verdana" w:hAnsi="Verdana" w:eastAsia="Times New Roman" w:cs="Times New Roman"/>
                <w:b/>
                <w:bCs/>
                <w:color w:val="000000"/>
                <w:sz w:val="16"/>
                <w:szCs w:val="16"/>
                <w:lang w:eastAsia="es-CO"/>
              </w:rPr>
            </w:pPr>
          </w:p>
        </w:tc>
        <w:tc>
          <w:tcPr>
            <w:tcW w:w="458" w:type="pct"/>
            <w:vMerge/>
            <w:shd w:val="clear" w:color="auto" w:fill="A6A6A6" w:themeFill="background1" w:themeFillShade="A6"/>
            <w:vAlign w:val="center"/>
            <w:hideMark/>
          </w:tcPr>
          <w:p w:rsidRPr="00097599" w:rsidR="00097599" w:rsidP="00097599" w:rsidRDefault="00097599" w14:paraId="020D90D9" w14:textId="77777777">
            <w:pPr>
              <w:spacing w:after="0" w:line="240" w:lineRule="auto"/>
              <w:jc w:val="center"/>
              <w:rPr>
                <w:rFonts w:ascii="Verdana" w:hAnsi="Verdana" w:eastAsia="Times New Roman" w:cs="Times New Roman"/>
                <w:b/>
                <w:bCs/>
                <w:color w:val="000000"/>
                <w:sz w:val="16"/>
                <w:szCs w:val="16"/>
                <w:lang w:eastAsia="es-CO"/>
              </w:rPr>
            </w:pPr>
          </w:p>
        </w:tc>
        <w:tc>
          <w:tcPr>
            <w:tcW w:w="552" w:type="pct"/>
            <w:vMerge/>
            <w:shd w:val="clear" w:color="auto" w:fill="A6A6A6" w:themeFill="background1" w:themeFillShade="A6"/>
            <w:vAlign w:val="center"/>
            <w:hideMark/>
          </w:tcPr>
          <w:p w:rsidRPr="00097599" w:rsidR="00097599" w:rsidP="00097599" w:rsidRDefault="00097599" w14:paraId="5D7A8DB3" w14:textId="77777777">
            <w:pPr>
              <w:spacing w:after="0" w:line="240" w:lineRule="auto"/>
              <w:jc w:val="center"/>
              <w:rPr>
                <w:rFonts w:ascii="Verdana" w:hAnsi="Verdana" w:eastAsia="Times New Roman" w:cs="Times New Roman"/>
                <w:b/>
                <w:bCs/>
                <w:color w:val="000000"/>
                <w:sz w:val="16"/>
                <w:szCs w:val="16"/>
                <w:lang w:eastAsia="es-CO"/>
              </w:rPr>
            </w:pPr>
          </w:p>
        </w:tc>
        <w:tc>
          <w:tcPr>
            <w:tcW w:w="552" w:type="pct"/>
            <w:vMerge/>
            <w:shd w:val="clear" w:color="auto" w:fill="A6A6A6" w:themeFill="background1" w:themeFillShade="A6"/>
            <w:vAlign w:val="center"/>
            <w:hideMark/>
          </w:tcPr>
          <w:p w:rsidRPr="00097599" w:rsidR="00097599" w:rsidP="00097599" w:rsidRDefault="00097599" w14:paraId="419B0710" w14:textId="77777777">
            <w:pPr>
              <w:spacing w:after="0" w:line="240" w:lineRule="auto"/>
              <w:jc w:val="center"/>
              <w:rPr>
                <w:rFonts w:ascii="Verdana" w:hAnsi="Verdana" w:eastAsia="Times New Roman" w:cs="Times New Roman"/>
                <w:b/>
                <w:bCs/>
                <w:color w:val="000000"/>
                <w:sz w:val="16"/>
                <w:szCs w:val="16"/>
                <w:lang w:eastAsia="es-CO"/>
              </w:rPr>
            </w:pPr>
          </w:p>
        </w:tc>
        <w:tc>
          <w:tcPr>
            <w:tcW w:w="619" w:type="pct"/>
            <w:vMerge/>
            <w:shd w:val="clear" w:color="auto" w:fill="A6A6A6" w:themeFill="background1" w:themeFillShade="A6"/>
            <w:vAlign w:val="center"/>
            <w:hideMark/>
          </w:tcPr>
          <w:p w:rsidRPr="00097599" w:rsidR="00097599" w:rsidP="00097599" w:rsidRDefault="00097599" w14:paraId="736AC507" w14:textId="77777777">
            <w:pPr>
              <w:spacing w:after="0" w:line="240" w:lineRule="auto"/>
              <w:jc w:val="center"/>
              <w:rPr>
                <w:rFonts w:ascii="Verdana" w:hAnsi="Verdana" w:eastAsia="Times New Roman" w:cs="Times New Roman"/>
                <w:b/>
                <w:bCs/>
                <w:color w:val="000000"/>
                <w:sz w:val="16"/>
                <w:szCs w:val="16"/>
                <w:lang w:eastAsia="es-CO"/>
              </w:rPr>
            </w:pPr>
          </w:p>
        </w:tc>
        <w:tc>
          <w:tcPr>
            <w:tcW w:w="308" w:type="pct"/>
            <w:vMerge/>
            <w:shd w:val="clear" w:color="auto" w:fill="A6A6A6" w:themeFill="background1" w:themeFillShade="A6"/>
            <w:vAlign w:val="center"/>
            <w:hideMark/>
          </w:tcPr>
          <w:p w:rsidRPr="00097599" w:rsidR="00097599" w:rsidP="00097599" w:rsidRDefault="00097599" w14:paraId="6215A40A" w14:textId="77777777">
            <w:pPr>
              <w:spacing w:after="0" w:line="240" w:lineRule="auto"/>
              <w:jc w:val="center"/>
              <w:rPr>
                <w:rFonts w:ascii="Verdana" w:hAnsi="Verdana" w:eastAsia="Times New Roman" w:cs="Times New Roman"/>
                <w:b/>
                <w:bCs/>
                <w:color w:val="000000"/>
                <w:sz w:val="16"/>
                <w:szCs w:val="16"/>
                <w:lang w:eastAsia="es-CO"/>
              </w:rPr>
            </w:pPr>
          </w:p>
        </w:tc>
        <w:tc>
          <w:tcPr>
            <w:tcW w:w="587" w:type="pct"/>
            <w:vMerge/>
            <w:shd w:val="clear" w:color="auto" w:fill="A6A6A6" w:themeFill="background1" w:themeFillShade="A6"/>
            <w:vAlign w:val="center"/>
            <w:hideMark/>
          </w:tcPr>
          <w:p w:rsidRPr="00097599" w:rsidR="00097599" w:rsidP="00097599" w:rsidRDefault="00097599" w14:paraId="7342EF44" w14:textId="77777777">
            <w:pPr>
              <w:spacing w:after="0" w:line="240" w:lineRule="auto"/>
              <w:jc w:val="center"/>
              <w:rPr>
                <w:rFonts w:ascii="Verdana" w:hAnsi="Verdana" w:eastAsia="Times New Roman" w:cs="Times New Roman"/>
                <w:b/>
                <w:bCs/>
                <w:color w:val="000000"/>
                <w:sz w:val="16"/>
                <w:szCs w:val="16"/>
                <w:lang w:eastAsia="es-CO"/>
              </w:rPr>
            </w:pPr>
          </w:p>
        </w:tc>
        <w:tc>
          <w:tcPr>
            <w:tcW w:w="308" w:type="pct"/>
            <w:vMerge/>
            <w:shd w:val="clear" w:color="auto" w:fill="A6A6A6" w:themeFill="background1" w:themeFillShade="A6"/>
            <w:vAlign w:val="center"/>
            <w:hideMark/>
          </w:tcPr>
          <w:p w:rsidRPr="00097599" w:rsidR="00097599" w:rsidP="00097599" w:rsidRDefault="00097599" w14:paraId="69E20986" w14:textId="77777777">
            <w:pPr>
              <w:spacing w:after="0" w:line="240" w:lineRule="auto"/>
              <w:jc w:val="center"/>
              <w:rPr>
                <w:rFonts w:ascii="Verdana" w:hAnsi="Verdana" w:eastAsia="Times New Roman" w:cs="Times New Roman"/>
                <w:b/>
                <w:bCs/>
                <w:color w:val="000000"/>
                <w:sz w:val="16"/>
                <w:szCs w:val="16"/>
                <w:lang w:eastAsia="es-CO"/>
              </w:rPr>
            </w:pPr>
          </w:p>
        </w:tc>
      </w:tr>
      <w:tr w:rsidRPr="00097599" w:rsidR="00097599" w:rsidTr="00097599" w14:paraId="04772BD7" w14:textId="77777777">
        <w:trPr>
          <w:trHeight w:val="287"/>
        </w:trPr>
        <w:tc>
          <w:tcPr>
            <w:tcW w:w="374" w:type="pct"/>
            <w:vAlign w:val="center"/>
            <w:hideMark/>
          </w:tcPr>
          <w:p w:rsidRPr="00097599" w:rsidR="00097599" w:rsidP="00097599" w:rsidRDefault="00097599" w14:paraId="15EAAB93"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Times New Roman"/>
                <w:color w:val="000000"/>
                <w:sz w:val="16"/>
                <w:szCs w:val="16"/>
                <w:lang w:eastAsia="es-CO"/>
              </w:rPr>
              <w:t>MME</w:t>
            </w:r>
          </w:p>
        </w:tc>
        <w:tc>
          <w:tcPr>
            <w:tcW w:w="552" w:type="pct"/>
            <w:noWrap/>
            <w:vAlign w:val="center"/>
            <w:hideMark/>
          </w:tcPr>
          <w:p w:rsidRPr="00097599" w:rsidR="00097599" w:rsidP="00097599" w:rsidRDefault="00097599" w14:paraId="66C4E21E"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$ 4.008.535</w:t>
            </w:r>
          </w:p>
        </w:tc>
        <w:tc>
          <w:tcPr>
            <w:tcW w:w="690" w:type="pct"/>
            <w:noWrap/>
            <w:vAlign w:val="center"/>
            <w:hideMark/>
          </w:tcPr>
          <w:p w:rsidRPr="00097599" w:rsidR="00097599" w:rsidP="00097599" w:rsidRDefault="00097599" w14:paraId="2A239030"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$ 22.212</w:t>
            </w:r>
          </w:p>
        </w:tc>
        <w:tc>
          <w:tcPr>
            <w:tcW w:w="458" w:type="pct"/>
            <w:noWrap/>
            <w:vAlign w:val="center"/>
            <w:hideMark/>
          </w:tcPr>
          <w:p w:rsidRPr="00097599" w:rsidR="00097599" w:rsidP="00097599" w:rsidRDefault="00097599" w14:paraId="315F3B82"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themeColor="text1"/>
                <w:sz w:val="16"/>
                <w:szCs w:val="16"/>
                <w:lang w:eastAsia="es-CO"/>
              </w:rPr>
              <w:t>$ 22.212</w:t>
            </w:r>
          </w:p>
        </w:tc>
        <w:tc>
          <w:tcPr>
            <w:tcW w:w="552" w:type="pct"/>
            <w:noWrap/>
            <w:vAlign w:val="center"/>
            <w:hideMark/>
          </w:tcPr>
          <w:p w:rsidRPr="00097599" w:rsidR="00097599" w:rsidP="00097599" w:rsidRDefault="00097599" w14:paraId="2D7ABB4D"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$ 4.008.535</w:t>
            </w:r>
          </w:p>
        </w:tc>
        <w:tc>
          <w:tcPr>
            <w:tcW w:w="552" w:type="pct"/>
            <w:noWrap/>
            <w:vAlign w:val="center"/>
            <w:hideMark/>
          </w:tcPr>
          <w:p w:rsidRPr="00097599" w:rsidR="00097599" w:rsidP="00097599" w:rsidRDefault="00097599" w14:paraId="587040FA"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                   -</w:t>
            </w:r>
          </w:p>
        </w:tc>
        <w:tc>
          <w:tcPr>
            <w:tcW w:w="619" w:type="pct"/>
            <w:noWrap/>
            <w:vAlign w:val="center"/>
            <w:hideMark/>
          </w:tcPr>
          <w:p w:rsidRPr="00097599" w:rsidR="00097599" w:rsidP="00097599" w:rsidRDefault="00097599" w14:paraId="6579A603"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$ 3.777.979</w:t>
            </w:r>
          </w:p>
        </w:tc>
        <w:tc>
          <w:tcPr>
            <w:tcW w:w="308" w:type="pct"/>
            <w:vAlign w:val="center"/>
            <w:hideMark/>
          </w:tcPr>
          <w:p w:rsidRPr="00097599" w:rsidR="00097599" w:rsidP="00097599" w:rsidRDefault="00097599" w14:paraId="06E2B036"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94,2%</w:t>
            </w:r>
          </w:p>
        </w:tc>
        <w:tc>
          <w:tcPr>
            <w:tcW w:w="587" w:type="pct"/>
            <w:noWrap/>
            <w:vAlign w:val="center"/>
            <w:hideMark/>
          </w:tcPr>
          <w:p w:rsidRPr="00097599" w:rsidR="00097599" w:rsidP="00097599" w:rsidRDefault="00097599" w14:paraId="418EC968"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$ 3.482.371</w:t>
            </w:r>
          </w:p>
        </w:tc>
        <w:tc>
          <w:tcPr>
            <w:tcW w:w="308" w:type="pct"/>
            <w:noWrap/>
            <w:vAlign w:val="center"/>
            <w:hideMark/>
          </w:tcPr>
          <w:p w:rsidRPr="00097599" w:rsidR="00097599" w:rsidP="00097599" w:rsidRDefault="00097599" w14:paraId="1DD160B1"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86,9%</w:t>
            </w:r>
          </w:p>
        </w:tc>
      </w:tr>
      <w:tr w:rsidRPr="00097599" w:rsidR="00097599" w:rsidTr="00097599" w14:paraId="3A394EF4" w14:textId="77777777">
        <w:trPr>
          <w:trHeight w:val="287"/>
        </w:trPr>
        <w:tc>
          <w:tcPr>
            <w:tcW w:w="374" w:type="pct"/>
            <w:vAlign w:val="center"/>
            <w:hideMark/>
          </w:tcPr>
          <w:p w:rsidRPr="00097599" w:rsidR="00097599" w:rsidP="00097599" w:rsidRDefault="00097599" w14:paraId="6AD979CC"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Times New Roman"/>
                <w:color w:val="000000"/>
                <w:sz w:val="16"/>
                <w:szCs w:val="16"/>
                <w:lang w:eastAsia="es-CO"/>
              </w:rPr>
              <w:t>ANH</w:t>
            </w:r>
          </w:p>
        </w:tc>
        <w:tc>
          <w:tcPr>
            <w:tcW w:w="552" w:type="pct"/>
            <w:noWrap/>
            <w:vAlign w:val="center"/>
            <w:hideMark/>
          </w:tcPr>
          <w:p w:rsidRPr="00097599" w:rsidR="00097599" w:rsidP="00097599" w:rsidRDefault="00097599" w14:paraId="342264C5"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themeColor="text1"/>
                <w:sz w:val="16"/>
                <w:szCs w:val="16"/>
                <w:lang w:eastAsia="es-CO"/>
              </w:rPr>
              <w:t>$ 311.104</w:t>
            </w:r>
          </w:p>
        </w:tc>
        <w:tc>
          <w:tcPr>
            <w:tcW w:w="690" w:type="pct"/>
            <w:noWrap/>
            <w:vAlign w:val="center"/>
            <w:hideMark/>
          </w:tcPr>
          <w:p w:rsidRPr="00097599" w:rsidR="00097599" w:rsidP="00097599" w:rsidRDefault="00097599" w14:paraId="2680B581"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                   -</w:t>
            </w:r>
          </w:p>
        </w:tc>
        <w:tc>
          <w:tcPr>
            <w:tcW w:w="458" w:type="pct"/>
            <w:noWrap/>
            <w:vAlign w:val="center"/>
            <w:hideMark/>
          </w:tcPr>
          <w:p w:rsidRPr="00097599" w:rsidR="00097599" w:rsidP="00097599" w:rsidRDefault="00097599" w14:paraId="32BFEAD5"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              -</w:t>
            </w:r>
          </w:p>
        </w:tc>
        <w:tc>
          <w:tcPr>
            <w:tcW w:w="552" w:type="pct"/>
            <w:noWrap/>
            <w:vAlign w:val="center"/>
            <w:hideMark/>
          </w:tcPr>
          <w:p w:rsidRPr="00097599" w:rsidR="00097599" w:rsidP="00097599" w:rsidRDefault="00097599" w14:paraId="07A0C679"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$ 311.104</w:t>
            </w:r>
          </w:p>
        </w:tc>
        <w:tc>
          <w:tcPr>
            <w:tcW w:w="552" w:type="pct"/>
            <w:noWrap/>
            <w:vAlign w:val="center"/>
            <w:hideMark/>
          </w:tcPr>
          <w:p w:rsidRPr="00097599" w:rsidR="00097599" w:rsidP="00097599" w:rsidRDefault="00097599" w14:paraId="3DEAC24F"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                   -</w:t>
            </w:r>
          </w:p>
        </w:tc>
        <w:tc>
          <w:tcPr>
            <w:tcW w:w="619" w:type="pct"/>
            <w:noWrap/>
            <w:vAlign w:val="center"/>
            <w:hideMark/>
          </w:tcPr>
          <w:p w:rsidRPr="00097599" w:rsidR="00097599" w:rsidP="00097599" w:rsidRDefault="00097599" w14:paraId="722D2CEF"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$ 206.901</w:t>
            </w:r>
          </w:p>
        </w:tc>
        <w:tc>
          <w:tcPr>
            <w:tcW w:w="308" w:type="pct"/>
            <w:vAlign w:val="center"/>
            <w:hideMark/>
          </w:tcPr>
          <w:p w:rsidRPr="00097599" w:rsidR="00097599" w:rsidP="00097599" w:rsidRDefault="00097599" w14:paraId="4A21BDAA"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66,5%</w:t>
            </w:r>
          </w:p>
        </w:tc>
        <w:tc>
          <w:tcPr>
            <w:tcW w:w="587" w:type="pct"/>
            <w:noWrap/>
            <w:vAlign w:val="center"/>
            <w:hideMark/>
          </w:tcPr>
          <w:p w:rsidRPr="00097599" w:rsidR="00097599" w:rsidP="00097599" w:rsidRDefault="00097599" w14:paraId="0B7611E1"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$ 191.093</w:t>
            </w:r>
          </w:p>
        </w:tc>
        <w:tc>
          <w:tcPr>
            <w:tcW w:w="308" w:type="pct"/>
            <w:noWrap/>
            <w:vAlign w:val="center"/>
            <w:hideMark/>
          </w:tcPr>
          <w:p w:rsidRPr="00097599" w:rsidR="00097599" w:rsidP="00097599" w:rsidRDefault="00097599" w14:paraId="4B98A686"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61,4%</w:t>
            </w:r>
          </w:p>
        </w:tc>
      </w:tr>
      <w:tr w:rsidRPr="00097599" w:rsidR="00097599" w:rsidTr="00097599" w14:paraId="5C8EEE12" w14:textId="77777777">
        <w:trPr>
          <w:trHeight w:val="426"/>
        </w:trPr>
        <w:tc>
          <w:tcPr>
            <w:tcW w:w="374" w:type="pct"/>
            <w:vAlign w:val="center"/>
            <w:hideMark/>
          </w:tcPr>
          <w:p w:rsidRPr="00097599" w:rsidR="00097599" w:rsidP="00097599" w:rsidRDefault="00097599" w14:paraId="4396AC2D"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Times New Roman"/>
                <w:color w:val="000000"/>
                <w:sz w:val="16"/>
                <w:szCs w:val="16"/>
                <w:lang w:eastAsia="es-CO"/>
              </w:rPr>
              <w:t>ANM</w:t>
            </w:r>
          </w:p>
        </w:tc>
        <w:tc>
          <w:tcPr>
            <w:tcW w:w="552" w:type="pct"/>
            <w:shd w:val="clear" w:color="auto" w:fill="FFFFFF" w:themeFill="background1"/>
            <w:noWrap/>
            <w:vAlign w:val="center"/>
            <w:hideMark/>
          </w:tcPr>
          <w:p w:rsidRPr="00097599" w:rsidR="00097599" w:rsidP="00097599" w:rsidRDefault="00097599" w14:paraId="06580368"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Times New Roman"/>
                <w:color w:val="000000"/>
                <w:sz w:val="16"/>
                <w:szCs w:val="16"/>
                <w:lang w:eastAsia="es-CO"/>
              </w:rPr>
              <w:t>$ 19.500</w:t>
            </w:r>
          </w:p>
        </w:tc>
        <w:tc>
          <w:tcPr>
            <w:tcW w:w="690" w:type="pct"/>
            <w:shd w:val="clear" w:color="auto" w:fill="FFFFFF" w:themeFill="background1"/>
            <w:noWrap/>
            <w:vAlign w:val="center"/>
            <w:hideMark/>
          </w:tcPr>
          <w:p w:rsidRPr="00097599" w:rsidR="00097599" w:rsidP="00097599" w:rsidRDefault="00097599" w14:paraId="79876413"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sz w:val="16"/>
                <w:szCs w:val="16"/>
                <w:lang w:eastAsia="es-CO"/>
              </w:rPr>
              <w:t>$ 300</w:t>
            </w:r>
          </w:p>
        </w:tc>
        <w:tc>
          <w:tcPr>
            <w:tcW w:w="458" w:type="pct"/>
            <w:shd w:val="clear" w:color="auto" w:fill="FFFFFF" w:themeFill="background1"/>
            <w:noWrap/>
            <w:vAlign w:val="center"/>
            <w:hideMark/>
          </w:tcPr>
          <w:p w:rsidRPr="00097599" w:rsidR="00097599" w:rsidP="00097599" w:rsidRDefault="00097599" w14:paraId="5A172F0D" w14:textId="77777777">
            <w:pPr>
              <w:spacing w:after="0" w:line="240" w:lineRule="auto"/>
              <w:jc w:val="center"/>
              <w:rPr>
                <w:rFonts w:ascii="Verdana" w:hAnsi="Verdana" w:eastAsia="Times New Roman" w:cs="Times New Roman"/>
                <w:color w:val="000000" w:themeColor="text1"/>
                <w:sz w:val="16"/>
                <w:szCs w:val="16"/>
                <w:lang w:eastAsia="es-CO"/>
              </w:rPr>
            </w:pPr>
            <w:r w:rsidRPr="00097599">
              <w:rPr>
                <w:rFonts w:ascii="Verdana" w:hAnsi="Verdana" w:eastAsia="Times New Roman" w:cs="Arial"/>
                <w:sz w:val="16"/>
                <w:szCs w:val="16"/>
                <w:lang w:eastAsia="es-CO"/>
              </w:rPr>
              <w:t>$ 300</w:t>
            </w:r>
          </w:p>
          <w:p w:rsidRPr="00097599" w:rsidR="00097599" w:rsidP="00097599" w:rsidRDefault="00097599" w14:paraId="4674F331" w14:textId="77777777">
            <w:pPr>
              <w:spacing w:after="0" w:line="240" w:lineRule="auto"/>
              <w:jc w:val="center"/>
              <w:rPr>
                <w:rFonts w:ascii="Verdana" w:hAnsi="Verdana" w:eastAsia="Times New Roman" w:cs="Times New Roman"/>
                <w:color w:val="000000"/>
                <w:sz w:val="16"/>
                <w:szCs w:val="16"/>
                <w:lang w:eastAsia="es-CO"/>
              </w:rPr>
            </w:pPr>
          </w:p>
        </w:tc>
        <w:tc>
          <w:tcPr>
            <w:tcW w:w="552" w:type="pct"/>
            <w:shd w:val="clear" w:color="auto" w:fill="FFFFFF" w:themeFill="background1"/>
            <w:noWrap/>
            <w:vAlign w:val="center"/>
            <w:hideMark/>
          </w:tcPr>
          <w:p w:rsidRPr="00097599" w:rsidR="00097599" w:rsidP="00097599" w:rsidRDefault="00097599" w14:paraId="0FA2871B"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Times New Roman"/>
                <w:color w:val="000000"/>
                <w:sz w:val="16"/>
                <w:szCs w:val="16"/>
                <w:lang w:eastAsia="es-CO"/>
              </w:rPr>
              <w:t>$ 19.500</w:t>
            </w:r>
          </w:p>
        </w:tc>
        <w:tc>
          <w:tcPr>
            <w:tcW w:w="552" w:type="pct"/>
            <w:shd w:val="clear" w:color="auto" w:fill="FFFFFF" w:themeFill="background1"/>
            <w:noWrap/>
            <w:vAlign w:val="center"/>
            <w:hideMark/>
          </w:tcPr>
          <w:p w:rsidRPr="00097599" w:rsidR="00097599" w:rsidP="00097599" w:rsidRDefault="00097599" w14:paraId="6925C44A"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sz w:val="16"/>
                <w:szCs w:val="16"/>
                <w:lang w:eastAsia="es-CO"/>
              </w:rPr>
              <w:t>$                   -</w:t>
            </w:r>
          </w:p>
        </w:tc>
        <w:tc>
          <w:tcPr>
            <w:tcW w:w="619" w:type="pct"/>
            <w:shd w:val="clear" w:color="auto" w:fill="FFFFFF" w:themeFill="background1"/>
            <w:noWrap/>
            <w:vAlign w:val="center"/>
            <w:hideMark/>
          </w:tcPr>
          <w:p w:rsidRPr="00097599" w:rsidR="00097599" w:rsidP="00097599" w:rsidRDefault="00097599" w14:paraId="68E82E89"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sz w:val="16"/>
                <w:szCs w:val="16"/>
                <w:lang w:eastAsia="es-CO"/>
              </w:rPr>
              <w:t>$ 18.820</w:t>
            </w:r>
          </w:p>
        </w:tc>
        <w:tc>
          <w:tcPr>
            <w:tcW w:w="308" w:type="pct"/>
            <w:vAlign w:val="center"/>
            <w:hideMark/>
          </w:tcPr>
          <w:p w:rsidRPr="00097599" w:rsidR="00097599" w:rsidP="00097599" w:rsidRDefault="00097599" w14:paraId="2E4E2DF0"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96,5%</w:t>
            </w:r>
          </w:p>
        </w:tc>
        <w:tc>
          <w:tcPr>
            <w:tcW w:w="587" w:type="pct"/>
            <w:noWrap/>
            <w:vAlign w:val="center"/>
            <w:hideMark/>
          </w:tcPr>
          <w:p w:rsidRPr="00097599" w:rsidR="00097599" w:rsidP="00097599" w:rsidRDefault="00097599" w14:paraId="084526CF"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$ 17.942</w:t>
            </w:r>
          </w:p>
        </w:tc>
        <w:tc>
          <w:tcPr>
            <w:tcW w:w="308" w:type="pct"/>
            <w:noWrap/>
            <w:vAlign w:val="center"/>
            <w:hideMark/>
          </w:tcPr>
          <w:p w:rsidRPr="00097599" w:rsidR="00097599" w:rsidP="00097599" w:rsidRDefault="00097599" w14:paraId="5FEE85C6"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92,0%</w:t>
            </w:r>
          </w:p>
        </w:tc>
      </w:tr>
      <w:tr w:rsidRPr="00097599" w:rsidR="00097599" w:rsidTr="00097599" w14:paraId="2A65AF2D" w14:textId="77777777">
        <w:trPr>
          <w:trHeight w:val="300"/>
        </w:trPr>
        <w:tc>
          <w:tcPr>
            <w:tcW w:w="374" w:type="pct"/>
            <w:vAlign w:val="center"/>
            <w:hideMark/>
          </w:tcPr>
          <w:p w:rsidRPr="00097599" w:rsidR="00097599" w:rsidP="00097599" w:rsidRDefault="00097599" w14:paraId="72500D04"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Times New Roman"/>
                <w:color w:val="000000"/>
                <w:sz w:val="16"/>
                <w:szCs w:val="16"/>
                <w:lang w:eastAsia="es-CO"/>
              </w:rPr>
              <w:t>CREG</w:t>
            </w:r>
          </w:p>
        </w:tc>
        <w:tc>
          <w:tcPr>
            <w:tcW w:w="552" w:type="pct"/>
            <w:noWrap/>
            <w:vAlign w:val="center"/>
            <w:hideMark/>
          </w:tcPr>
          <w:p w:rsidRPr="00097599" w:rsidR="00097599" w:rsidP="00097599" w:rsidRDefault="00097599" w14:paraId="0410428D" w14:textId="77777777">
            <w:pPr>
              <w:spacing w:after="0" w:line="240" w:lineRule="auto"/>
              <w:jc w:val="center"/>
              <w:rPr>
                <w:rFonts w:ascii="Verdana" w:hAnsi="Verdana" w:eastAsia="Times New Roman" w:cs="Times New Roman"/>
                <w:color w:val="FFFF00"/>
                <w:sz w:val="16"/>
                <w:szCs w:val="16"/>
                <w:lang w:eastAsia="es-CO"/>
              </w:rPr>
            </w:pPr>
            <w:r w:rsidRPr="00097599">
              <w:rPr>
                <w:rFonts w:ascii="Verdana" w:hAnsi="Verdana" w:eastAsia="Times New Roman" w:cs="Arial"/>
                <w:color w:val="000000"/>
                <w:sz w:val="16"/>
                <w:szCs w:val="16"/>
                <w:lang w:eastAsia="es-CO"/>
              </w:rPr>
              <w:t>$ 11.523</w:t>
            </w:r>
          </w:p>
        </w:tc>
        <w:tc>
          <w:tcPr>
            <w:tcW w:w="690" w:type="pct"/>
            <w:noWrap/>
            <w:vAlign w:val="center"/>
            <w:hideMark/>
          </w:tcPr>
          <w:p w:rsidRPr="00097599" w:rsidR="00097599" w:rsidP="00097599" w:rsidRDefault="00097599" w14:paraId="7ED5C481"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                   -</w:t>
            </w:r>
          </w:p>
        </w:tc>
        <w:tc>
          <w:tcPr>
            <w:tcW w:w="458" w:type="pct"/>
            <w:noWrap/>
            <w:vAlign w:val="center"/>
            <w:hideMark/>
          </w:tcPr>
          <w:p w:rsidRPr="00097599" w:rsidR="00097599" w:rsidP="00097599" w:rsidRDefault="00097599" w14:paraId="69E08C49"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              -</w:t>
            </w:r>
          </w:p>
        </w:tc>
        <w:tc>
          <w:tcPr>
            <w:tcW w:w="552" w:type="pct"/>
            <w:noWrap/>
            <w:vAlign w:val="center"/>
            <w:hideMark/>
          </w:tcPr>
          <w:p w:rsidRPr="00097599" w:rsidR="00097599" w:rsidP="00097599" w:rsidRDefault="00097599" w14:paraId="6672BD6F"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$ 11.523</w:t>
            </w:r>
          </w:p>
        </w:tc>
        <w:tc>
          <w:tcPr>
            <w:tcW w:w="552" w:type="pct"/>
            <w:noWrap/>
            <w:vAlign w:val="center"/>
            <w:hideMark/>
          </w:tcPr>
          <w:p w:rsidRPr="00097599" w:rsidR="00097599" w:rsidP="00097599" w:rsidRDefault="00097599" w14:paraId="5ADA4143"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                   -</w:t>
            </w:r>
          </w:p>
        </w:tc>
        <w:tc>
          <w:tcPr>
            <w:tcW w:w="619" w:type="pct"/>
            <w:noWrap/>
            <w:vAlign w:val="center"/>
            <w:hideMark/>
          </w:tcPr>
          <w:p w:rsidRPr="00097599" w:rsidR="00097599" w:rsidP="00097599" w:rsidRDefault="00097599" w14:paraId="02067D70" w14:textId="77777777">
            <w:pPr>
              <w:spacing w:after="0" w:line="240" w:lineRule="auto"/>
              <w:jc w:val="center"/>
              <w:rPr>
                <w:rFonts w:ascii="Verdana" w:hAnsi="Verdana" w:eastAsia="Times New Roman" w:cs="Arial"/>
                <w:color w:val="000000"/>
                <w:sz w:val="16"/>
                <w:szCs w:val="16"/>
                <w:lang w:eastAsia="es-CO"/>
              </w:rPr>
            </w:pPr>
            <w:r w:rsidRPr="00097599">
              <w:rPr>
                <w:rFonts w:ascii="Verdana" w:hAnsi="Verdana" w:eastAsia="Times New Roman" w:cs="Arial"/>
                <w:color w:val="000000" w:themeColor="text1"/>
                <w:sz w:val="16"/>
                <w:szCs w:val="16"/>
                <w:lang w:eastAsia="es-CO"/>
              </w:rPr>
              <w:t>$ 8.121</w:t>
            </w:r>
          </w:p>
        </w:tc>
        <w:tc>
          <w:tcPr>
            <w:tcW w:w="308" w:type="pct"/>
            <w:vAlign w:val="center"/>
            <w:hideMark/>
          </w:tcPr>
          <w:p w:rsidRPr="00097599" w:rsidR="00097599" w:rsidP="00097599" w:rsidRDefault="00097599" w14:paraId="4E06D9D9"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70,5%</w:t>
            </w:r>
          </w:p>
        </w:tc>
        <w:tc>
          <w:tcPr>
            <w:tcW w:w="587" w:type="pct"/>
            <w:noWrap/>
            <w:vAlign w:val="center"/>
            <w:hideMark/>
          </w:tcPr>
          <w:p w:rsidRPr="00097599" w:rsidR="00097599" w:rsidP="00097599" w:rsidRDefault="00097599" w14:paraId="77E04175"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$ 8.087</w:t>
            </w:r>
          </w:p>
        </w:tc>
        <w:tc>
          <w:tcPr>
            <w:tcW w:w="308" w:type="pct"/>
            <w:noWrap/>
            <w:vAlign w:val="center"/>
            <w:hideMark/>
          </w:tcPr>
          <w:p w:rsidRPr="00097599" w:rsidR="00097599" w:rsidP="00097599" w:rsidRDefault="00097599" w14:paraId="713C1E5C"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70,2%</w:t>
            </w:r>
          </w:p>
        </w:tc>
      </w:tr>
      <w:tr w:rsidRPr="00097599" w:rsidR="00097599" w:rsidTr="00097599" w14:paraId="287E0694" w14:textId="77777777">
        <w:trPr>
          <w:trHeight w:val="287"/>
        </w:trPr>
        <w:tc>
          <w:tcPr>
            <w:tcW w:w="374" w:type="pct"/>
            <w:vAlign w:val="center"/>
            <w:hideMark/>
          </w:tcPr>
          <w:p w:rsidRPr="00097599" w:rsidR="00097599" w:rsidP="00097599" w:rsidRDefault="00097599" w14:paraId="19FE1FA6"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Times New Roman"/>
                <w:color w:val="000000"/>
                <w:sz w:val="16"/>
                <w:szCs w:val="16"/>
                <w:lang w:eastAsia="es-CO"/>
              </w:rPr>
              <w:t>IPSE</w:t>
            </w:r>
          </w:p>
        </w:tc>
        <w:tc>
          <w:tcPr>
            <w:tcW w:w="552" w:type="pct"/>
            <w:noWrap/>
            <w:vAlign w:val="center"/>
            <w:hideMark/>
          </w:tcPr>
          <w:p w:rsidRPr="00097599" w:rsidR="00097599" w:rsidP="00097599" w:rsidRDefault="00097599" w14:paraId="4510F607"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themeColor="text1"/>
                <w:sz w:val="16"/>
                <w:szCs w:val="16"/>
                <w:lang w:eastAsia="es-CO"/>
              </w:rPr>
              <w:t>$ 235.665</w:t>
            </w:r>
          </w:p>
        </w:tc>
        <w:tc>
          <w:tcPr>
            <w:tcW w:w="690" w:type="pct"/>
            <w:noWrap/>
            <w:vAlign w:val="center"/>
            <w:hideMark/>
          </w:tcPr>
          <w:p w:rsidRPr="00097599" w:rsidR="00097599" w:rsidP="00097599" w:rsidRDefault="00097599" w14:paraId="36BB3266"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                   -</w:t>
            </w:r>
          </w:p>
        </w:tc>
        <w:tc>
          <w:tcPr>
            <w:tcW w:w="458" w:type="pct"/>
            <w:noWrap/>
            <w:vAlign w:val="center"/>
            <w:hideMark/>
          </w:tcPr>
          <w:p w:rsidRPr="00097599" w:rsidR="00097599" w:rsidP="00097599" w:rsidRDefault="00097599" w14:paraId="46895450"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              -</w:t>
            </w:r>
          </w:p>
        </w:tc>
        <w:tc>
          <w:tcPr>
            <w:tcW w:w="552" w:type="pct"/>
            <w:noWrap/>
            <w:vAlign w:val="center"/>
            <w:hideMark/>
          </w:tcPr>
          <w:p w:rsidRPr="00097599" w:rsidR="00097599" w:rsidP="00097599" w:rsidRDefault="00097599" w14:paraId="1D745210"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$ 235.665</w:t>
            </w:r>
          </w:p>
        </w:tc>
        <w:tc>
          <w:tcPr>
            <w:tcW w:w="552" w:type="pct"/>
            <w:noWrap/>
            <w:vAlign w:val="center"/>
            <w:hideMark/>
          </w:tcPr>
          <w:p w:rsidRPr="00097599" w:rsidR="00097599" w:rsidP="00097599" w:rsidRDefault="00097599" w14:paraId="127CF0DA"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                   -</w:t>
            </w:r>
          </w:p>
        </w:tc>
        <w:tc>
          <w:tcPr>
            <w:tcW w:w="619" w:type="pct"/>
            <w:noWrap/>
            <w:vAlign w:val="center"/>
            <w:hideMark/>
          </w:tcPr>
          <w:p w:rsidRPr="00097599" w:rsidR="00097599" w:rsidP="00097599" w:rsidRDefault="00097599" w14:paraId="5E30A825"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$ 234.434</w:t>
            </w:r>
          </w:p>
        </w:tc>
        <w:tc>
          <w:tcPr>
            <w:tcW w:w="308" w:type="pct"/>
            <w:vAlign w:val="center"/>
            <w:hideMark/>
          </w:tcPr>
          <w:p w:rsidRPr="00097599" w:rsidR="00097599" w:rsidP="00097599" w:rsidRDefault="00097599" w14:paraId="0BAF8230"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99,5%</w:t>
            </w:r>
          </w:p>
        </w:tc>
        <w:tc>
          <w:tcPr>
            <w:tcW w:w="587" w:type="pct"/>
            <w:noWrap/>
            <w:vAlign w:val="center"/>
            <w:hideMark/>
          </w:tcPr>
          <w:p w:rsidRPr="00097599" w:rsidR="00097599" w:rsidP="00097599" w:rsidRDefault="00097599" w14:paraId="672230BE"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$ 74.548</w:t>
            </w:r>
          </w:p>
        </w:tc>
        <w:tc>
          <w:tcPr>
            <w:tcW w:w="308" w:type="pct"/>
            <w:noWrap/>
            <w:vAlign w:val="center"/>
            <w:hideMark/>
          </w:tcPr>
          <w:p w:rsidRPr="00097599" w:rsidR="00097599" w:rsidP="00097599" w:rsidRDefault="00097599" w14:paraId="25B4E9E7"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31,6%</w:t>
            </w:r>
          </w:p>
        </w:tc>
      </w:tr>
      <w:tr w:rsidRPr="00097599" w:rsidR="00097599" w:rsidTr="00097599" w14:paraId="4F8BC14A" w14:textId="77777777">
        <w:trPr>
          <w:trHeight w:val="287"/>
        </w:trPr>
        <w:tc>
          <w:tcPr>
            <w:tcW w:w="374" w:type="pct"/>
            <w:vAlign w:val="center"/>
            <w:hideMark/>
          </w:tcPr>
          <w:p w:rsidRPr="00097599" w:rsidR="00097599" w:rsidP="00097599" w:rsidRDefault="00097599" w14:paraId="05CF366F"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Times New Roman"/>
                <w:color w:val="000000"/>
                <w:sz w:val="16"/>
                <w:szCs w:val="16"/>
                <w:lang w:eastAsia="es-CO"/>
              </w:rPr>
              <w:t>SGC</w:t>
            </w:r>
          </w:p>
        </w:tc>
        <w:tc>
          <w:tcPr>
            <w:tcW w:w="552" w:type="pct"/>
            <w:noWrap/>
            <w:vAlign w:val="center"/>
            <w:hideMark/>
          </w:tcPr>
          <w:p w:rsidRPr="00097599" w:rsidR="00097599" w:rsidP="00097599" w:rsidRDefault="00097599" w14:paraId="7967EB8E"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$ 175.224</w:t>
            </w:r>
          </w:p>
        </w:tc>
        <w:tc>
          <w:tcPr>
            <w:tcW w:w="690" w:type="pct"/>
            <w:noWrap/>
            <w:vAlign w:val="center"/>
            <w:hideMark/>
          </w:tcPr>
          <w:p w:rsidRPr="00097599" w:rsidR="00097599" w:rsidP="00097599" w:rsidRDefault="00097599" w14:paraId="22C49F5F"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themeColor="text1"/>
                <w:sz w:val="16"/>
                <w:szCs w:val="16"/>
                <w:lang w:eastAsia="es-CO"/>
              </w:rPr>
              <w:t>$ 517</w:t>
            </w:r>
          </w:p>
        </w:tc>
        <w:tc>
          <w:tcPr>
            <w:tcW w:w="458" w:type="pct"/>
            <w:noWrap/>
            <w:vAlign w:val="center"/>
            <w:hideMark/>
          </w:tcPr>
          <w:p w:rsidRPr="00097599" w:rsidR="00097599" w:rsidP="00097599" w:rsidRDefault="00097599" w14:paraId="6C22D1DB"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themeColor="text1"/>
                <w:sz w:val="16"/>
                <w:szCs w:val="16"/>
                <w:lang w:eastAsia="es-CO"/>
              </w:rPr>
              <w:t>$ 517</w:t>
            </w:r>
          </w:p>
        </w:tc>
        <w:tc>
          <w:tcPr>
            <w:tcW w:w="552" w:type="pct"/>
            <w:noWrap/>
            <w:vAlign w:val="center"/>
            <w:hideMark/>
          </w:tcPr>
          <w:p w:rsidRPr="00097599" w:rsidR="00097599" w:rsidP="00097599" w:rsidRDefault="00097599" w14:paraId="0ED9B04E"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$ 175.224</w:t>
            </w:r>
          </w:p>
        </w:tc>
        <w:tc>
          <w:tcPr>
            <w:tcW w:w="552" w:type="pct"/>
            <w:noWrap/>
            <w:vAlign w:val="center"/>
            <w:hideMark/>
          </w:tcPr>
          <w:p w:rsidRPr="00097599" w:rsidR="00097599" w:rsidP="00097599" w:rsidRDefault="00097599" w14:paraId="504D499F"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                   -</w:t>
            </w:r>
          </w:p>
        </w:tc>
        <w:tc>
          <w:tcPr>
            <w:tcW w:w="619" w:type="pct"/>
            <w:noWrap/>
            <w:vAlign w:val="center"/>
            <w:hideMark/>
          </w:tcPr>
          <w:p w:rsidRPr="00097599" w:rsidR="00097599" w:rsidP="00097599" w:rsidRDefault="00097599" w14:paraId="400E35D3"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$ 154.585</w:t>
            </w:r>
          </w:p>
        </w:tc>
        <w:tc>
          <w:tcPr>
            <w:tcW w:w="308" w:type="pct"/>
            <w:vAlign w:val="center"/>
            <w:hideMark/>
          </w:tcPr>
          <w:p w:rsidRPr="00097599" w:rsidR="00097599" w:rsidP="00097599" w:rsidRDefault="00097599" w14:paraId="7C33AA0E"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88,2%</w:t>
            </w:r>
          </w:p>
        </w:tc>
        <w:tc>
          <w:tcPr>
            <w:tcW w:w="587" w:type="pct"/>
            <w:noWrap/>
            <w:vAlign w:val="center"/>
            <w:hideMark/>
          </w:tcPr>
          <w:p w:rsidRPr="00097599" w:rsidR="00097599" w:rsidP="00097599" w:rsidRDefault="00097599" w14:paraId="650FC316"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$ 135.594</w:t>
            </w:r>
          </w:p>
        </w:tc>
        <w:tc>
          <w:tcPr>
            <w:tcW w:w="308" w:type="pct"/>
            <w:noWrap/>
            <w:vAlign w:val="center"/>
            <w:hideMark/>
          </w:tcPr>
          <w:p w:rsidRPr="00097599" w:rsidR="00097599" w:rsidP="00097599" w:rsidRDefault="00097599" w14:paraId="28BC0154"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77,4%</w:t>
            </w:r>
          </w:p>
        </w:tc>
      </w:tr>
      <w:tr w:rsidRPr="00097599" w:rsidR="00097599" w:rsidTr="00097599" w14:paraId="460539ED" w14:textId="77777777">
        <w:trPr>
          <w:trHeight w:val="287"/>
        </w:trPr>
        <w:tc>
          <w:tcPr>
            <w:tcW w:w="374" w:type="pct"/>
            <w:vAlign w:val="center"/>
            <w:hideMark/>
          </w:tcPr>
          <w:p w:rsidRPr="00097599" w:rsidR="00097599" w:rsidP="00097599" w:rsidRDefault="00097599" w14:paraId="3F83228D"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Times New Roman"/>
                <w:color w:val="000000"/>
                <w:sz w:val="16"/>
                <w:szCs w:val="16"/>
                <w:lang w:eastAsia="es-CO"/>
              </w:rPr>
              <w:t>UPME</w:t>
            </w:r>
          </w:p>
        </w:tc>
        <w:tc>
          <w:tcPr>
            <w:tcW w:w="552" w:type="pct"/>
            <w:noWrap/>
            <w:vAlign w:val="center"/>
            <w:hideMark/>
          </w:tcPr>
          <w:p w:rsidRPr="00097599" w:rsidR="00097599" w:rsidP="00097599" w:rsidRDefault="00097599" w14:paraId="24D15FEE"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$ 25.604</w:t>
            </w:r>
          </w:p>
        </w:tc>
        <w:tc>
          <w:tcPr>
            <w:tcW w:w="690" w:type="pct"/>
            <w:noWrap/>
            <w:vAlign w:val="center"/>
            <w:hideMark/>
          </w:tcPr>
          <w:p w:rsidRPr="00097599" w:rsidR="00097599" w:rsidP="00097599" w:rsidRDefault="00097599" w14:paraId="0F59E5BC"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themeColor="text1"/>
                <w:sz w:val="16"/>
                <w:szCs w:val="16"/>
                <w:lang w:eastAsia="es-CO"/>
              </w:rPr>
              <w:t>$ 500</w:t>
            </w:r>
          </w:p>
        </w:tc>
        <w:tc>
          <w:tcPr>
            <w:tcW w:w="458" w:type="pct"/>
            <w:noWrap/>
            <w:vAlign w:val="center"/>
            <w:hideMark/>
          </w:tcPr>
          <w:p w:rsidRPr="00097599" w:rsidR="00097599" w:rsidP="00097599" w:rsidRDefault="00097599" w14:paraId="06CF2096" w14:textId="77777777">
            <w:pPr>
              <w:spacing w:after="0" w:line="240" w:lineRule="auto"/>
              <w:jc w:val="center"/>
              <w:rPr>
                <w:rFonts w:ascii="Verdana" w:hAnsi="Verdana" w:eastAsia="Times New Roman" w:cs="Arial"/>
                <w:color w:val="000000"/>
                <w:sz w:val="16"/>
                <w:szCs w:val="16"/>
                <w:lang w:eastAsia="es-CO"/>
              </w:rPr>
            </w:pPr>
            <w:r w:rsidRPr="00097599">
              <w:rPr>
                <w:rFonts w:ascii="Verdana" w:hAnsi="Verdana" w:eastAsia="Times New Roman" w:cs="Arial"/>
                <w:color w:val="000000" w:themeColor="text1"/>
                <w:sz w:val="16"/>
                <w:szCs w:val="16"/>
                <w:lang w:eastAsia="es-CO"/>
              </w:rPr>
              <w:t>$     500</w:t>
            </w:r>
          </w:p>
        </w:tc>
        <w:tc>
          <w:tcPr>
            <w:tcW w:w="552" w:type="pct"/>
            <w:noWrap/>
            <w:vAlign w:val="center"/>
            <w:hideMark/>
          </w:tcPr>
          <w:p w:rsidRPr="00097599" w:rsidR="00097599" w:rsidP="00097599" w:rsidRDefault="00097599" w14:paraId="5321D250"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$ 25.604</w:t>
            </w:r>
          </w:p>
        </w:tc>
        <w:tc>
          <w:tcPr>
            <w:tcW w:w="552" w:type="pct"/>
            <w:noWrap/>
            <w:vAlign w:val="center"/>
            <w:hideMark/>
          </w:tcPr>
          <w:p w:rsidRPr="00097599" w:rsidR="00097599" w:rsidP="00097599" w:rsidRDefault="00097599" w14:paraId="538E2D44"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                   -</w:t>
            </w:r>
          </w:p>
        </w:tc>
        <w:tc>
          <w:tcPr>
            <w:tcW w:w="619" w:type="pct"/>
            <w:noWrap/>
            <w:vAlign w:val="center"/>
            <w:hideMark/>
          </w:tcPr>
          <w:p w:rsidRPr="00097599" w:rsidR="00097599" w:rsidP="00097599" w:rsidRDefault="00097599" w14:paraId="106B5A41"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$ 25.137</w:t>
            </w:r>
          </w:p>
        </w:tc>
        <w:tc>
          <w:tcPr>
            <w:tcW w:w="308" w:type="pct"/>
            <w:vAlign w:val="center"/>
            <w:hideMark/>
          </w:tcPr>
          <w:p w:rsidRPr="00097599" w:rsidR="00097599" w:rsidP="00097599" w:rsidRDefault="00097599" w14:paraId="01722D35"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98,2%</w:t>
            </w:r>
          </w:p>
        </w:tc>
        <w:tc>
          <w:tcPr>
            <w:tcW w:w="587" w:type="pct"/>
            <w:noWrap/>
            <w:vAlign w:val="center"/>
            <w:hideMark/>
          </w:tcPr>
          <w:p w:rsidRPr="00097599" w:rsidR="00097599" w:rsidP="00097599" w:rsidRDefault="00097599" w14:paraId="143D0992"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$ 23.683</w:t>
            </w:r>
          </w:p>
        </w:tc>
        <w:tc>
          <w:tcPr>
            <w:tcW w:w="308" w:type="pct"/>
            <w:noWrap/>
            <w:vAlign w:val="center"/>
            <w:hideMark/>
          </w:tcPr>
          <w:p w:rsidRPr="00097599" w:rsidR="00097599" w:rsidP="00097599" w:rsidRDefault="00097599" w14:paraId="04A4EC2D"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color w:val="000000"/>
                <w:sz w:val="16"/>
                <w:szCs w:val="16"/>
                <w:lang w:eastAsia="es-CO"/>
              </w:rPr>
              <w:t>92,5%</w:t>
            </w:r>
          </w:p>
        </w:tc>
      </w:tr>
      <w:tr w:rsidRPr="00097599" w:rsidR="00097599" w:rsidTr="00097599" w14:paraId="759E4797" w14:textId="77777777">
        <w:trPr>
          <w:trHeight w:val="456"/>
        </w:trPr>
        <w:tc>
          <w:tcPr>
            <w:tcW w:w="374" w:type="pct"/>
            <w:shd w:val="clear" w:color="auto" w:fill="BFBFBF" w:themeFill="background1" w:themeFillShade="BF"/>
            <w:vAlign w:val="center"/>
            <w:hideMark/>
          </w:tcPr>
          <w:p w:rsidRPr="00097599" w:rsidR="00097599" w:rsidP="00097599" w:rsidRDefault="00097599" w14:paraId="518C0470"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Times New Roman"/>
                <w:color w:val="000000"/>
                <w:sz w:val="16"/>
                <w:szCs w:val="16"/>
                <w:lang w:eastAsia="es-CO"/>
              </w:rPr>
              <w:t>Total, Sector</w:t>
            </w:r>
          </w:p>
        </w:tc>
        <w:tc>
          <w:tcPr>
            <w:tcW w:w="552" w:type="pct"/>
            <w:shd w:val="clear" w:color="auto" w:fill="BFBFBF" w:themeFill="background1" w:themeFillShade="BF"/>
            <w:noWrap/>
            <w:vAlign w:val="center"/>
            <w:hideMark/>
          </w:tcPr>
          <w:p w:rsidRPr="00097599" w:rsidR="00097599" w:rsidP="00097599" w:rsidRDefault="00097599" w14:paraId="03931BDA"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Times New Roman"/>
                <w:color w:val="000000" w:themeColor="text1"/>
                <w:sz w:val="16"/>
                <w:szCs w:val="16"/>
                <w:lang w:eastAsia="es-CO"/>
              </w:rPr>
              <w:t>$ 4.787.155</w:t>
            </w:r>
          </w:p>
        </w:tc>
        <w:tc>
          <w:tcPr>
            <w:tcW w:w="690" w:type="pct"/>
            <w:shd w:val="clear" w:color="auto" w:fill="BFBFBF" w:themeFill="background1" w:themeFillShade="BF"/>
            <w:noWrap/>
            <w:vAlign w:val="center"/>
            <w:hideMark/>
          </w:tcPr>
          <w:p w:rsidRPr="00097599" w:rsidR="00097599" w:rsidP="00097599" w:rsidRDefault="00097599" w14:paraId="3DA02188"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sz w:val="16"/>
                <w:szCs w:val="16"/>
                <w:lang w:eastAsia="es-CO"/>
              </w:rPr>
              <w:t>$ 23.529</w:t>
            </w:r>
          </w:p>
        </w:tc>
        <w:tc>
          <w:tcPr>
            <w:tcW w:w="458" w:type="pct"/>
            <w:shd w:val="clear" w:color="auto" w:fill="BFBFBF" w:themeFill="background1" w:themeFillShade="BF"/>
            <w:noWrap/>
            <w:vAlign w:val="center"/>
            <w:hideMark/>
          </w:tcPr>
          <w:p w:rsidRPr="00097599" w:rsidR="00097599" w:rsidP="00097599" w:rsidRDefault="00097599" w14:paraId="4333461B" w14:textId="77777777">
            <w:pPr>
              <w:spacing w:after="0" w:line="240" w:lineRule="auto"/>
              <w:jc w:val="center"/>
              <w:rPr>
                <w:rFonts w:ascii="Verdana" w:hAnsi="Verdana" w:eastAsia="Times New Roman" w:cs="Arial"/>
                <w:sz w:val="16"/>
                <w:szCs w:val="16"/>
                <w:lang w:eastAsia="es-CO"/>
              </w:rPr>
            </w:pPr>
          </w:p>
          <w:p w:rsidRPr="00097599" w:rsidR="00097599" w:rsidP="00097599" w:rsidRDefault="00097599" w14:paraId="211562A3" w14:textId="77777777">
            <w:pPr>
              <w:spacing w:after="0" w:line="240" w:lineRule="auto"/>
              <w:jc w:val="center"/>
              <w:rPr>
                <w:rFonts w:ascii="Verdana" w:hAnsi="Verdana" w:eastAsia="Times New Roman" w:cs="Times New Roman"/>
                <w:color w:val="000000" w:themeColor="text1"/>
                <w:sz w:val="16"/>
                <w:szCs w:val="16"/>
                <w:lang w:eastAsia="es-CO"/>
              </w:rPr>
            </w:pPr>
            <w:r w:rsidRPr="00097599">
              <w:rPr>
                <w:rFonts w:ascii="Verdana" w:hAnsi="Verdana" w:eastAsia="Times New Roman" w:cs="Arial"/>
                <w:sz w:val="16"/>
                <w:szCs w:val="16"/>
                <w:lang w:eastAsia="es-CO"/>
              </w:rPr>
              <w:t>$ 23.529</w:t>
            </w:r>
          </w:p>
          <w:p w:rsidRPr="00097599" w:rsidR="00097599" w:rsidP="00097599" w:rsidRDefault="00097599" w14:paraId="4C75BF1C" w14:textId="77777777">
            <w:pPr>
              <w:spacing w:after="0" w:line="240" w:lineRule="auto"/>
              <w:jc w:val="center"/>
              <w:rPr>
                <w:rFonts w:ascii="Verdana" w:hAnsi="Verdana" w:eastAsia="Times New Roman" w:cs="Arial"/>
                <w:color w:val="000000"/>
                <w:sz w:val="16"/>
                <w:szCs w:val="16"/>
                <w:lang w:eastAsia="es-CO"/>
              </w:rPr>
            </w:pPr>
          </w:p>
        </w:tc>
        <w:tc>
          <w:tcPr>
            <w:tcW w:w="552" w:type="pct"/>
            <w:shd w:val="clear" w:color="auto" w:fill="BFBFBF" w:themeFill="background1" w:themeFillShade="BF"/>
            <w:noWrap/>
            <w:vAlign w:val="center"/>
            <w:hideMark/>
          </w:tcPr>
          <w:p w:rsidRPr="00097599" w:rsidR="00097599" w:rsidP="00097599" w:rsidRDefault="00097599" w14:paraId="5C318257"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Times New Roman"/>
                <w:color w:val="000000" w:themeColor="text1"/>
                <w:sz w:val="16"/>
                <w:szCs w:val="16"/>
                <w:lang w:eastAsia="es-CO"/>
              </w:rPr>
              <w:t>$ 4.787.155</w:t>
            </w:r>
          </w:p>
        </w:tc>
        <w:tc>
          <w:tcPr>
            <w:tcW w:w="552" w:type="pct"/>
            <w:shd w:val="clear" w:color="auto" w:fill="BFBFBF" w:themeFill="background1" w:themeFillShade="BF"/>
            <w:noWrap/>
            <w:vAlign w:val="center"/>
            <w:hideMark/>
          </w:tcPr>
          <w:p w:rsidRPr="00097599" w:rsidR="00097599" w:rsidP="00097599" w:rsidRDefault="00097599" w14:paraId="72623665"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sz w:val="16"/>
                <w:szCs w:val="16"/>
                <w:lang w:eastAsia="es-CO"/>
              </w:rPr>
              <w:t>$                   -</w:t>
            </w:r>
          </w:p>
        </w:tc>
        <w:tc>
          <w:tcPr>
            <w:tcW w:w="619" w:type="pct"/>
            <w:shd w:val="clear" w:color="auto" w:fill="BFBFBF" w:themeFill="background1" w:themeFillShade="BF"/>
            <w:noWrap/>
            <w:vAlign w:val="center"/>
            <w:hideMark/>
          </w:tcPr>
          <w:p w:rsidRPr="00097599" w:rsidR="00097599" w:rsidP="00097599" w:rsidRDefault="00097599" w14:paraId="3CCDA505"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sz w:val="16"/>
                <w:szCs w:val="16"/>
                <w:lang w:eastAsia="es-CO"/>
              </w:rPr>
              <w:t>$ 4.425.975</w:t>
            </w:r>
          </w:p>
        </w:tc>
        <w:tc>
          <w:tcPr>
            <w:tcW w:w="308" w:type="pct"/>
            <w:shd w:val="clear" w:color="auto" w:fill="BFBFBF" w:themeFill="background1" w:themeFillShade="BF"/>
            <w:vAlign w:val="center"/>
            <w:hideMark/>
          </w:tcPr>
          <w:p w:rsidRPr="00097599" w:rsidR="00097599" w:rsidP="00097599" w:rsidRDefault="00097599" w14:paraId="3840930C"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sz w:val="16"/>
                <w:szCs w:val="16"/>
                <w:lang w:eastAsia="es-CO"/>
              </w:rPr>
              <w:t>92,5%</w:t>
            </w:r>
          </w:p>
        </w:tc>
        <w:tc>
          <w:tcPr>
            <w:tcW w:w="587" w:type="pct"/>
            <w:shd w:val="clear" w:color="auto" w:fill="BFBFBF" w:themeFill="background1" w:themeFillShade="BF"/>
            <w:noWrap/>
            <w:vAlign w:val="center"/>
            <w:hideMark/>
          </w:tcPr>
          <w:p w:rsidRPr="00097599" w:rsidR="00097599" w:rsidP="00097599" w:rsidRDefault="00097599" w14:paraId="20561239"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sz w:val="16"/>
                <w:szCs w:val="16"/>
                <w:lang w:eastAsia="es-CO"/>
              </w:rPr>
              <w:t>$ 3.933.319</w:t>
            </w:r>
          </w:p>
        </w:tc>
        <w:tc>
          <w:tcPr>
            <w:tcW w:w="308" w:type="pct"/>
            <w:shd w:val="clear" w:color="auto" w:fill="BFBFBF" w:themeFill="background1" w:themeFillShade="BF"/>
            <w:noWrap/>
            <w:vAlign w:val="center"/>
            <w:hideMark/>
          </w:tcPr>
          <w:p w:rsidRPr="00097599" w:rsidR="00097599" w:rsidP="00097599" w:rsidRDefault="00097599" w14:paraId="2105C689" w14:textId="77777777">
            <w:pPr>
              <w:spacing w:after="0" w:line="240" w:lineRule="auto"/>
              <w:jc w:val="center"/>
              <w:rPr>
                <w:rFonts w:ascii="Verdana" w:hAnsi="Verdana" w:eastAsia="Times New Roman" w:cs="Times New Roman"/>
                <w:color w:val="000000"/>
                <w:sz w:val="16"/>
                <w:szCs w:val="16"/>
                <w:lang w:eastAsia="es-CO"/>
              </w:rPr>
            </w:pPr>
            <w:r w:rsidRPr="00097599">
              <w:rPr>
                <w:rFonts w:ascii="Verdana" w:hAnsi="Verdana" w:eastAsia="Times New Roman" w:cs="Arial"/>
                <w:sz w:val="16"/>
                <w:szCs w:val="16"/>
                <w:lang w:eastAsia="es-CO"/>
              </w:rPr>
              <w:t>82,2%</w:t>
            </w:r>
          </w:p>
        </w:tc>
      </w:tr>
    </w:tbl>
    <w:p w:rsidRPr="00097599" w:rsidR="00097599" w:rsidP="00097599" w:rsidRDefault="00097599" w14:paraId="542D532E" w14:textId="1546C328">
      <w:pPr>
        <w:pStyle w:val="Fuente"/>
        <w:spacing w:after="0"/>
        <w:rPr>
          <w:rFonts w:ascii="Verdana" w:hAnsi="Verdana"/>
        </w:rPr>
      </w:pPr>
      <w:r w:rsidRPr="30CF4445" w:rsidR="1A4BBEA3">
        <w:rPr>
          <w:rFonts w:ascii="Verdana" w:hAnsi="Verdana"/>
        </w:rPr>
        <w:t>Fuente: Elaboración propia del Grupo de Programación y Gestión Estratégica de Proyectos con información del SIIF Nación del MinHacienda. - Corte a 31 de diciembre 2022.</w:t>
      </w:r>
    </w:p>
    <w:p w:rsidR="00A257F7" w:rsidP="006A0A13" w:rsidRDefault="00A257F7" w14:paraId="69DCF821" w14:textId="77777777">
      <w:pPr>
        <w:pStyle w:val="Fuente"/>
        <w:spacing w:after="0" w:line="360" w:lineRule="auto"/>
        <w:jc w:val="left"/>
        <w:rPr>
          <w:rFonts w:ascii="Verdana" w:hAnsi="Verdana"/>
        </w:rPr>
      </w:pPr>
    </w:p>
    <w:p w:rsidRPr="00097599" w:rsidR="00097599" w:rsidP="006A0A13" w:rsidRDefault="00097599" w14:paraId="5D2803D2" w14:textId="77777777">
      <w:pPr>
        <w:pStyle w:val="Fuente"/>
        <w:spacing w:after="0" w:line="360" w:lineRule="auto"/>
        <w:jc w:val="both"/>
        <w:rPr>
          <w:rFonts w:ascii="Verdana" w:hAnsi="Verdana"/>
          <w:b/>
          <w:bCs/>
          <w:sz w:val="24"/>
          <w:szCs w:val="24"/>
        </w:rPr>
      </w:pPr>
      <w:r w:rsidRPr="00097599">
        <w:rPr>
          <w:rFonts w:ascii="Verdana" w:hAnsi="Verdana"/>
          <w:b/>
          <w:bCs/>
          <w:sz w:val="24"/>
          <w:szCs w:val="24"/>
        </w:rPr>
        <w:t>Cierre Presupuestal 2023</w:t>
      </w:r>
    </w:p>
    <w:p w:rsidR="00097599" w:rsidP="006A0A13" w:rsidRDefault="00097599" w14:paraId="63277677" w14:textId="77777777">
      <w:pPr>
        <w:pStyle w:val="Fuente"/>
        <w:spacing w:after="0" w:line="360" w:lineRule="auto"/>
        <w:jc w:val="both"/>
        <w:rPr>
          <w:rFonts w:ascii="Verdana" w:hAnsi="Verdana"/>
          <w:sz w:val="24"/>
          <w:szCs w:val="24"/>
        </w:rPr>
      </w:pPr>
    </w:p>
    <w:p w:rsidRPr="00097599" w:rsidR="00097599" w:rsidP="006A0A13" w:rsidRDefault="751DD037" w14:paraId="7BF891A3" w14:textId="7E394242">
      <w:pPr>
        <w:pStyle w:val="Fuente"/>
        <w:spacing w:after="0" w:line="360" w:lineRule="auto"/>
        <w:jc w:val="both"/>
        <w:rPr>
          <w:rFonts w:ascii="Verdana" w:hAnsi="Verdana"/>
          <w:sz w:val="24"/>
          <w:szCs w:val="24"/>
        </w:rPr>
      </w:pPr>
      <w:r w:rsidRPr="0FF05B1B">
        <w:rPr>
          <w:rFonts w:ascii="Verdana" w:hAnsi="Verdana"/>
          <w:sz w:val="24"/>
          <w:szCs w:val="24"/>
        </w:rPr>
        <w:t>El Sector Minero Energético registró una apropiación vigente de $7.287.278 millones, de los cuales se comprometieron $6.647 millones, equivalentes al 91,2% de la apropiación total.</w:t>
      </w:r>
    </w:p>
    <w:p w:rsidR="00097599" w:rsidP="006A0A13" w:rsidRDefault="00097599" w14:paraId="09F81553" w14:textId="77777777">
      <w:pPr>
        <w:pStyle w:val="Fuente"/>
        <w:spacing w:after="0" w:line="360" w:lineRule="auto"/>
        <w:jc w:val="both"/>
        <w:rPr>
          <w:rFonts w:ascii="Verdana" w:hAnsi="Verdana"/>
          <w:sz w:val="24"/>
          <w:szCs w:val="24"/>
        </w:rPr>
      </w:pPr>
    </w:p>
    <w:p w:rsidRPr="00097599" w:rsidR="00097599" w:rsidP="006A0A13" w:rsidRDefault="00097599" w14:paraId="0D56D56A" w14:textId="77777777">
      <w:pPr>
        <w:pStyle w:val="Fuente"/>
        <w:spacing w:after="0" w:line="360" w:lineRule="auto"/>
        <w:jc w:val="both"/>
        <w:rPr>
          <w:rFonts w:ascii="Verdana" w:hAnsi="Verdana"/>
          <w:sz w:val="24"/>
          <w:szCs w:val="24"/>
        </w:rPr>
      </w:pPr>
      <w:r w:rsidRPr="00097599">
        <w:rPr>
          <w:rFonts w:ascii="Verdana" w:hAnsi="Verdana"/>
          <w:sz w:val="24"/>
          <w:szCs w:val="24"/>
        </w:rPr>
        <w:t>El resultado sectorial estuvo determinado principalmente por la participación del Ministerio de Minas y Energía (MME), entidad que concentra la mayor proporción de recursos de inversión del sector, con compromisos por $6.228 millones, lo que corresponde a una ejecución presupuestal del 94,5%.</w:t>
      </w:r>
    </w:p>
    <w:p w:rsidR="00097599" w:rsidP="006A0A13" w:rsidRDefault="00097599" w14:paraId="57460931" w14:textId="77777777">
      <w:pPr>
        <w:pStyle w:val="Fuente"/>
        <w:spacing w:after="0" w:line="360" w:lineRule="auto"/>
        <w:jc w:val="both"/>
        <w:rPr>
          <w:rFonts w:ascii="Verdana" w:hAnsi="Verdana"/>
          <w:sz w:val="24"/>
          <w:szCs w:val="24"/>
        </w:rPr>
      </w:pPr>
    </w:p>
    <w:p w:rsidRPr="00097599" w:rsidR="00097599" w:rsidP="006A0A13" w:rsidRDefault="00097599" w14:paraId="34DB73CB" w14:textId="3DE020AE">
      <w:pPr>
        <w:pStyle w:val="Fuente"/>
        <w:spacing w:after="0" w:line="360" w:lineRule="auto"/>
        <w:jc w:val="both"/>
        <w:rPr>
          <w:rFonts w:ascii="Verdana" w:hAnsi="Verdana"/>
          <w:sz w:val="24"/>
          <w:szCs w:val="24"/>
        </w:rPr>
      </w:pPr>
      <w:r w:rsidRPr="30CF4445" w:rsidR="1A4BBEA3">
        <w:rPr>
          <w:rFonts w:ascii="Verdana" w:hAnsi="Verdana"/>
          <w:sz w:val="24"/>
          <w:szCs w:val="24"/>
        </w:rPr>
        <w:t>Igualmente, se destacan los niveles de ejecución de la ANH, con compromisos por $207.659 millones, equivalentes a una ejecución del 55,4%; la ANM, con compromisos por $46.600 millones, equivalentes a una ejecución presupuestal del 94,9%;</w:t>
      </w:r>
      <w:r w:rsidRPr="30CF4445" w:rsidR="0C63146A">
        <w:rPr>
          <w:rFonts w:ascii="Verdana" w:hAnsi="Verdana"/>
          <w:sz w:val="24"/>
          <w:szCs w:val="24"/>
        </w:rPr>
        <w:t xml:space="preserve"> </w:t>
      </w:r>
      <w:r w:rsidRPr="30CF4445" w:rsidR="1A4BBEA3">
        <w:rPr>
          <w:rFonts w:ascii="Verdana" w:hAnsi="Verdana"/>
          <w:sz w:val="24"/>
          <w:szCs w:val="24"/>
        </w:rPr>
        <w:t>el IPSE, que registró compromisos por $96.962 millones, equivalentes a una ejecución del 97,0% de su apropiación; la CREG, con compromisos por $8.329 millones, lo que corresponde a una ejecución del 74,4%; el SGC  por su lado ejecut</w:t>
      </w:r>
      <w:r w:rsidRPr="30CF4445" w:rsidR="21E10295">
        <w:rPr>
          <w:rFonts w:ascii="Verdana" w:hAnsi="Verdana"/>
          <w:sz w:val="24"/>
          <w:szCs w:val="24"/>
        </w:rPr>
        <w:t>ó</w:t>
      </w:r>
      <w:r w:rsidRPr="30CF4445" w:rsidR="1A4BBEA3">
        <w:rPr>
          <w:rFonts w:ascii="Verdana" w:hAnsi="Verdana"/>
          <w:sz w:val="24"/>
          <w:szCs w:val="24"/>
        </w:rPr>
        <w:t xml:space="preserve"> un valor en compromisos por valor de $32.122, lo que equivale a 24,6% de ejecución; la UPME, con compromisos por $26.466 millones, lo que corresponde a una ejecución presupuestal del 95,5%.</w:t>
      </w:r>
    </w:p>
    <w:p w:rsidR="00097599" w:rsidP="006A0A13" w:rsidRDefault="00097599" w14:paraId="61F6082A" w14:textId="77777777">
      <w:pPr>
        <w:pStyle w:val="Fuente"/>
        <w:spacing w:after="0" w:line="360" w:lineRule="auto"/>
        <w:jc w:val="both"/>
        <w:rPr>
          <w:rFonts w:ascii="Verdana" w:hAnsi="Verdana"/>
          <w:sz w:val="24"/>
          <w:szCs w:val="24"/>
        </w:rPr>
      </w:pPr>
    </w:p>
    <w:p w:rsidRPr="00097599" w:rsidR="00097599" w:rsidP="006A0A13" w:rsidRDefault="00097599" w14:paraId="36A40FCC" w14:textId="77777777">
      <w:pPr>
        <w:pStyle w:val="Fuente"/>
        <w:spacing w:after="0" w:line="360" w:lineRule="auto"/>
        <w:jc w:val="both"/>
        <w:rPr>
          <w:rFonts w:ascii="Verdana" w:hAnsi="Verdana"/>
          <w:sz w:val="24"/>
          <w:szCs w:val="24"/>
        </w:rPr>
      </w:pPr>
      <w:r w:rsidRPr="00097599">
        <w:rPr>
          <w:rFonts w:ascii="Verdana" w:hAnsi="Verdana"/>
          <w:sz w:val="24"/>
          <w:szCs w:val="24"/>
        </w:rPr>
        <w:t xml:space="preserve">En términos generales, el cierre de la vigencia 2023 muestra un comportamiento sólido de ejecución, con una alta capacidad de </w:t>
      </w:r>
      <w:r w:rsidRPr="00097599">
        <w:rPr>
          <w:rFonts w:ascii="Verdana" w:hAnsi="Verdana"/>
          <w:sz w:val="24"/>
          <w:szCs w:val="24"/>
        </w:rPr>
        <w:t>compromiso y un nivel importante de materialización financiera de los recursos al cierre del periodo.</w:t>
      </w:r>
    </w:p>
    <w:p w:rsidR="00097599" w:rsidP="006A0A13" w:rsidRDefault="00097599" w14:paraId="4EFEC519" w14:textId="77777777">
      <w:pPr>
        <w:pStyle w:val="Fuente"/>
        <w:spacing w:after="0" w:line="360" w:lineRule="auto"/>
        <w:jc w:val="both"/>
        <w:rPr>
          <w:rFonts w:ascii="Verdana" w:hAnsi="Verdana"/>
          <w:sz w:val="24"/>
          <w:szCs w:val="24"/>
        </w:rPr>
      </w:pPr>
    </w:p>
    <w:p w:rsidR="00097599" w:rsidP="006A0A13" w:rsidRDefault="00097599" w14:paraId="1EDC2E92" w14:textId="77777777">
      <w:pPr>
        <w:pStyle w:val="Fuente"/>
        <w:spacing w:after="0" w:line="360" w:lineRule="auto"/>
        <w:jc w:val="both"/>
        <w:rPr>
          <w:rFonts w:ascii="Verdana" w:hAnsi="Verdana"/>
          <w:sz w:val="24"/>
          <w:szCs w:val="24"/>
        </w:rPr>
      </w:pPr>
      <w:r w:rsidRPr="00097599">
        <w:rPr>
          <w:rFonts w:ascii="Verdana" w:hAnsi="Verdana"/>
          <w:sz w:val="24"/>
          <w:szCs w:val="24"/>
        </w:rPr>
        <w:t>Este comportamiento evidencia un nivel favorable de ejecución presupuestal y una adecuada</w:t>
      </w:r>
      <w:r w:rsidRPr="00097599">
        <w:t xml:space="preserve"> </w:t>
      </w:r>
      <w:r w:rsidRPr="00097599">
        <w:rPr>
          <w:rFonts w:ascii="Verdana" w:hAnsi="Verdana"/>
          <w:sz w:val="24"/>
          <w:szCs w:val="24"/>
        </w:rPr>
        <w:t>capacidad de materialización financiera de los recursos comprometidos.</w:t>
      </w:r>
    </w:p>
    <w:p w:rsidR="001D2D91" w:rsidP="006A0A13" w:rsidRDefault="001D2D91" w14:paraId="7FF34C62" w14:textId="77777777">
      <w:pPr>
        <w:pStyle w:val="Fuente"/>
        <w:spacing w:after="0" w:line="360" w:lineRule="auto"/>
        <w:jc w:val="both"/>
        <w:rPr>
          <w:rFonts w:ascii="Verdana" w:hAnsi="Verdana"/>
          <w:sz w:val="24"/>
          <w:szCs w:val="24"/>
        </w:rPr>
      </w:pPr>
    </w:p>
    <w:p w:rsidRPr="009C275C" w:rsidR="00097599" w:rsidP="009C275C" w:rsidRDefault="385A8564" w14:paraId="33C65865" w14:textId="77777777">
      <w:pPr>
        <w:spacing w:after="0" w:line="240" w:lineRule="auto"/>
        <w:jc w:val="center"/>
        <w:rPr>
          <w:rFonts w:ascii="Verdana" w:hAnsi="Verdana"/>
          <w:sz w:val="18"/>
          <w:szCs w:val="18"/>
        </w:rPr>
      </w:pPr>
      <w:r w:rsidRPr="180099B3">
        <w:rPr>
          <w:rFonts w:ascii="Verdana" w:hAnsi="Verdana"/>
          <w:sz w:val="18"/>
          <w:szCs w:val="18"/>
        </w:rPr>
        <w:t>Tabla</w:t>
      </w:r>
      <w:r w:rsidRPr="180099B3" w:rsidR="30F40458">
        <w:rPr>
          <w:rFonts w:ascii="Verdana" w:hAnsi="Verdana"/>
          <w:sz w:val="18"/>
          <w:szCs w:val="18"/>
        </w:rPr>
        <w:t xml:space="preserve"> No. 4</w:t>
      </w:r>
      <w:r w:rsidRPr="180099B3" w:rsidR="38FD532E">
        <w:rPr>
          <w:rFonts w:ascii="Verdana" w:hAnsi="Verdana"/>
          <w:sz w:val="18"/>
          <w:szCs w:val="18"/>
        </w:rPr>
        <w:t>4</w:t>
      </w:r>
      <w:r w:rsidRPr="180099B3" w:rsidR="7B8FDCB2">
        <w:rPr>
          <w:rFonts w:ascii="Verdana" w:hAnsi="Verdana"/>
          <w:sz w:val="18"/>
          <w:szCs w:val="18"/>
        </w:rPr>
        <w:t xml:space="preserve">. </w:t>
      </w:r>
      <w:r w:rsidRPr="180099B3">
        <w:rPr>
          <w:rFonts w:ascii="Verdana" w:hAnsi="Verdana"/>
          <w:sz w:val="18"/>
          <w:szCs w:val="18"/>
        </w:rPr>
        <w:t>Ejecución Presupuestal del Sector Minero Energético con corte a 31 de diciembre de 2023</w:t>
      </w:r>
    </w:p>
    <w:tbl>
      <w:tblPr>
        <w:tblW w:w="847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70" w:type="dxa"/>
          <w:right w:w="70" w:type="dxa"/>
        </w:tblCellMar>
        <w:tblLook w:val="04A0" w:firstRow="1" w:lastRow="0" w:firstColumn="1" w:lastColumn="0" w:noHBand="0" w:noVBand="1"/>
      </w:tblPr>
      <w:tblGrid>
        <w:gridCol w:w="663"/>
        <w:gridCol w:w="963"/>
        <w:gridCol w:w="1002"/>
        <w:gridCol w:w="950"/>
        <w:gridCol w:w="964"/>
        <w:gridCol w:w="964"/>
        <w:gridCol w:w="1078"/>
        <w:gridCol w:w="530"/>
        <w:gridCol w:w="1024"/>
        <w:gridCol w:w="545"/>
        <w:gridCol w:w="145"/>
      </w:tblGrid>
      <w:tr w:rsidRPr="009C275C" w:rsidR="00097599" w:rsidTr="009C275C" w14:paraId="2170A287" w14:textId="77777777">
        <w:trPr>
          <w:gridAfter w:val="1"/>
          <w:wAfter w:w="103" w:type="dxa"/>
          <w:trHeight w:val="286"/>
        </w:trPr>
        <w:tc>
          <w:tcPr>
            <w:tcW w:w="585" w:type="dxa"/>
            <w:vMerge w:val="restart"/>
            <w:shd w:val="clear" w:color="auto" w:fill="A6A6A6" w:themeFill="background1" w:themeFillShade="A6"/>
            <w:vAlign w:val="center"/>
            <w:hideMark/>
          </w:tcPr>
          <w:p w:rsidRPr="009C275C" w:rsidR="00097599" w:rsidP="009C275C" w:rsidRDefault="00097599" w14:paraId="5B39D9DB" w14:textId="77777777">
            <w:pPr>
              <w:spacing w:after="0" w:line="240" w:lineRule="auto"/>
              <w:jc w:val="center"/>
              <w:rPr>
                <w:rFonts w:ascii="Verdana" w:hAnsi="Verdana" w:eastAsia="Times New Roman" w:cs="Times New Roman"/>
                <w:b/>
                <w:bCs/>
                <w:color w:val="000000"/>
                <w:sz w:val="16"/>
                <w:szCs w:val="16"/>
                <w:lang w:eastAsia="es-CO"/>
              </w:rPr>
            </w:pPr>
            <w:r w:rsidRPr="009C275C">
              <w:rPr>
                <w:rFonts w:ascii="Verdana" w:hAnsi="Verdana" w:eastAsia="Times New Roman" w:cs="Times New Roman"/>
                <w:b/>
                <w:bCs/>
                <w:color w:val="000000"/>
                <w:sz w:val="16"/>
                <w:szCs w:val="16"/>
                <w:lang w:eastAsia="es-CO"/>
              </w:rPr>
              <w:t>Entidad</w:t>
            </w:r>
          </w:p>
        </w:tc>
        <w:tc>
          <w:tcPr>
            <w:tcW w:w="864" w:type="dxa"/>
            <w:vMerge w:val="restart"/>
            <w:shd w:val="clear" w:color="auto" w:fill="A6A6A6" w:themeFill="background1" w:themeFillShade="A6"/>
            <w:vAlign w:val="center"/>
            <w:hideMark/>
          </w:tcPr>
          <w:p w:rsidRPr="009C275C" w:rsidR="00097599" w:rsidP="009C275C" w:rsidRDefault="00097599" w14:paraId="5567851E" w14:textId="77777777">
            <w:pPr>
              <w:spacing w:after="0" w:line="240" w:lineRule="auto"/>
              <w:jc w:val="center"/>
              <w:rPr>
                <w:rFonts w:ascii="Verdana" w:hAnsi="Verdana" w:eastAsia="Times New Roman" w:cs="Times New Roman"/>
                <w:b/>
                <w:bCs/>
                <w:color w:val="000000"/>
                <w:sz w:val="16"/>
                <w:szCs w:val="16"/>
                <w:lang w:eastAsia="es-CO"/>
              </w:rPr>
            </w:pPr>
            <w:r w:rsidRPr="009C275C">
              <w:rPr>
                <w:rFonts w:ascii="Verdana" w:hAnsi="Verdana" w:eastAsia="Times New Roman" w:cs="Times New Roman"/>
                <w:b/>
                <w:bCs/>
                <w:color w:val="000000"/>
                <w:sz w:val="16"/>
                <w:szCs w:val="16"/>
                <w:lang w:eastAsia="es-CO"/>
              </w:rPr>
              <w:t>Apropiación Inicial 2023</w:t>
            </w:r>
          </w:p>
        </w:tc>
        <w:tc>
          <w:tcPr>
            <w:tcW w:w="899" w:type="dxa"/>
            <w:vMerge w:val="restart"/>
            <w:shd w:val="clear" w:color="auto" w:fill="A6A6A6" w:themeFill="background1" w:themeFillShade="A6"/>
            <w:vAlign w:val="center"/>
            <w:hideMark/>
          </w:tcPr>
          <w:p w:rsidRPr="009C275C" w:rsidR="00097599" w:rsidP="009C275C" w:rsidRDefault="00097599" w14:paraId="7F6AB293" w14:textId="77777777">
            <w:pPr>
              <w:spacing w:after="0" w:line="240" w:lineRule="auto"/>
              <w:jc w:val="center"/>
              <w:rPr>
                <w:rFonts w:ascii="Verdana" w:hAnsi="Verdana" w:eastAsia="Times New Roman" w:cs="Times New Roman"/>
                <w:b/>
                <w:bCs/>
                <w:color w:val="000000"/>
                <w:sz w:val="16"/>
                <w:szCs w:val="16"/>
                <w:lang w:eastAsia="es-CO"/>
              </w:rPr>
            </w:pPr>
            <w:r w:rsidRPr="009C275C">
              <w:rPr>
                <w:rFonts w:ascii="Verdana" w:hAnsi="Verdana" w:eastAsia="Times New Roman" w:cs="Times New Roman"/>
                <w:b/>
                <w:bCs/>
                <w:color w:val="000000"/>
                <w:sz w:val="16"/>
                <w:szCs w:val="16"/>
                <w:lang w:eastAsia="es-CO"/>
              </w:rPr>
              <w:t>Traslados Presupuesto Reducción</w:t>
            </w:r>
          </w:p>
        </w:tc>
        <w:tc>
          <w:tcPr>
            <w:tcW w:w="1194" w:type="dxa"/>
            <w:vMerge w:val="restart"/>
            <w:shd w:val="clear" w:color="auto" w:fill="A6A6A6" w:themeFill="background1" w:themeFillShade="A6"/>
            <w:vAlign w:val="center"/>
            <w:hideMark/>
          </w:tcPr>
          <w:p w:rsidRPr="009C275C" w:rsidR="00097599" w:rsidP="009C275C" w:rsidRDefault="00097599" w14:paraId="3B51BA12" w14:textId="77777777">
            <w:pPr>
              <w:spacing w:after="0" w:line="240" w:lineRule="auto"/>
              <w:jc w:val="center"/>
              <w:rPr>
                <w:rFonts w:ascii="Verdana" w:hAnsi="Verdana" w:eastAsia="Times New Roman" w:cs="Times New Roman"/>
                <w:b/>
                <w:bCs/>
                <w:color w:val="000000"/>
                <w:sz w:val="16"/>
                <w:szCs w:val="16"/>
                <w:lang w:eastAsia="es-CO"/>
              </w:rPr>
            </w:pPr>
            <w:r w:rsidRPr="009C275C">
              <w:rPr>
                <w:rFonts w:ascii="Verdana" w:hAnsi="Verdana" w:eastAsia="Times New Roman" w:cs="Times New Roman"/>
                <w:b/>
                <w:bCs/>
                <w:color w:val="000000"/>
                <w:sz w:val="16"/>
                <w:szCs w:val="16"/>
                <w:lang w:eastAsia="es-CO"/>
              </w:rPr>
              <w:t>Total adiciones</w:t>
            </w:r>
          </w:p>
        </w:tc>
        <w:tc>
          <w:tcPr>
            <w:tcW w:w="864" w:type="dxa"/>
            <w:shd w:val="clear" w:color="auto" w:fill="A6A6A6" w:themeFill="background1" w:themeFillShade="A6"/>
            <w:vAlign w:val="center"/>
            <w:hideMark/>
          </w:tcPr>
          <w:p w:rsidRPr="009C275C" w:rsidR="00097599" w:rsidP="009C275C" w:rsidRDefault="00097599" w14:paraId="495C2A5E" w14:textId="77777777">
            <w:pPr>
              <w:spacing w:after="0" w:line="240" w:lineRule="auto"/>
              <w:jc w:val="center"/>
              <w:rPr>
                <w:rFonts w:ascii="Verdana" w:hAnsi="Verdana" w:eastAsia="Times New Roman" w:cs="Times New Roman"/>
                <w:b/>
                <w:bCs/>
                <w:color w:val="000000"/>
                <w:sz w:val="16"/>
                <w:szCs w:val="16"/>
                <w:lang w:eastAsia="es-CO"/>
              </w:rPr>
            </w:pPr>
            <w:r w:rsidRPr="009C275C">
              <w:rPr>
                <w:rFonts w:ascii="Verdana" w:hAnsi="Verdana" w:eastAsia="Times New Roman" w:cs="Times New Roman"/>
                <w:b/>
                <w:bCs/>
                <w:color w:val="000000"/>
                <w:sz w:val="16"/>
                <w:szCs w:val="16"/>
                <w:lang w:eastAsia="es-CO"/>
              </w:rPr>
              <w:t xml:space="preserve"> Apropiación</w:t>
            </w:r>
          </w:p>
        </w:tc>
        <w:tc>
          <w:tcPr>
            <w:tcW w:w="864" w:type="dxa"/>
            <w:vMerge w:val="restart"/>
            <w:shd w:val="clear" w:color="auto" w:fill="A6A6A6" w:themeFill="background1" w:themeFillShade="A6"/>
            <w:vAlign w:val="center"/>
            <w:hideMark/>
          </w:tcPr>
          <w:p w:rsidRPr="009C275C" w:rsidR="00097599" w:rsidP="009C275C" w:rsidRDefault="00097599" w14:paraId="6FD22C37" w14:textId="77777777">
            <w:pPr>
              <w:spacing w:after="0" w:line="240" w:lineRule="auto"/>
              <w:jc w:val="center"/>
              <w:rPr>
                <w:rFonts w:ascii="Verdana" w:hAnsi="Verdana" w:eastAsia="Times New Roman" w:cs="Times New Roman"/>
                <w:b/>
                <w:bCs/>
                <w:color w:val="000000"/>
                <w:sz w:val="16"/>
                <w:szCs w:val="16"/>
                <w:lang w:eastAsia="es-CO"/>
              </w:rPr>
            </w:pPr>
            <w:r w:rsidRPr="009C275C">
              <w:rPr>
                <w:rFonts w:ascii="Verdana" w:hAnsi="Verdana" w:eastAsia="Times New Roman" w:cs="Times New Roman"/>
                <w:b/>
                <w:bCs/>
                <w:color w:val="000000"/>
                <w:sz w:val="16"/>
                <w:szCs w:val="16"/>
                <w:lang w:eastAsia="es-CO"/>
              </w:rPr>
              <w:t>Apropiación Bloqueada 2023</w:t>
            </w:r>
          </w:p>
        </w:tc>
        <w:tc>
          <w:tcPr>
            <w:tcW w:w="967" w:type="dxa"/>
            <w:vMerge w:val="restart"/>
            <w:shd w:val="clear" w:color="auto" w:fill="A6A6A6" w:themeFill="background1" w:themeFillShade="A6"/>
            <w:vAlign w:val="center"/>
            <w:hideMark/>
          </w:tcPr>
          <w:p w:rsidRPr="009C275C" w:rsidR="00097599" w:rsidP="009C275C" w:rsidRDefault="00097599" w14:paraId="6CF7328A" w14:textId="77777777">
            <w:pPr>
              <w:spacing w:after="0" w:line="240" w:lineRule="auto"/>
              <w:jc w:val="center"/>
              <w:rPr>
                <w:rFonts w:ascii="Verdana" w:hAnsi="Verdana" w:eastAsia="Times New Roman" w:cs="Times New Roman"/>
                <w:b/>
                <w:bCs/>
                <w:color w:val="000000"/>
                <w:sz w:val="16"/>
                <w:szCs w:val="16"/>
                <w:lang w:eastAsia="es-CO"/>
              </w:rPr>
            </w:pPr>
            <w:r w:rsidRPr="009C275C">
              <w:rPr>
                <w:rFonts w:ascii="Verdana" w:hAnsi="Verdana" w:eastAsia="Times New Roman" w:cs="Times New Roman"/>
                <w:b/>
                <w:bCs/>
                <w:color w:val="000000"/>
                <w:sz w:val="16"/>
                <w:szCs w:val="16"/>
                <w:lang w:eastAsia="es-CO"/>
              </w:rPr>
              <w:t xml:space="preserve"> Compromisos  </w:t>
            </w:r>
          </w:p>
        </w:tc>
        <w:tc>
          <w:tcPr>
            <w:tcW w:w="610" w:type="dxa"/>
            <w:vMerge w:val="restart"/>
            <w:shd w:val="clear" w:color="auto" w:fill="A6A6A6" w:themeFill="background1" w:themeFillShade="A6"/>
            <w:vAlign w:val="center"/>
            <w:hideMark/>
          </w:tcPr>
          <w:p w:rsidRPr="009C275C" w:rsidR="00097599" w:rsidP="009C275C" w:rsidRDefault="00097599" w14:paraId="625ABC03" w14:textId="77777777">
            <w:pPr>
              <w:spacing w:after="0" w:line="240" w:lineRule="auto"/>
              <w:jc w:val="center"/>
              <w:rPr>
                <w:rFonts w:ascii="Verdana" w:hAnsi="Verdana" w:eastAsia="Times New Roman" w:cs="Times New Roman"/>
                <w:b/>
                <w:bCs/>
                <w:color w:val="000000"/>
                <w:sz w:val="16"/>
                <w:szCs w:val="16"/>
                <w:lang w:eastAsia="es-CO"/>
              </w:rPr>
            </w:pPr>
            <w:r w:rsidRPr="009C275C">
              <w:rPr>
                <w:rFonts w:ascii="Verdana" w:hAnsi="Verdana" w:eastAsia="Times New Roman" w:cs="Times New Roman"/>
                <w:b/>
                <w:bCs/>
                <w:color w:val="000000"/>
                <w:sz w:val="16"/>
                <w:szCs w:val="16"/>
                <w:lang w:eastAsia="es-CO"/>
              </w:rPr>
              <w:t>% Comp</w:t>
            </w:r>
          </w:p>
        </w:tc>
        <w:tc>
          <w:tcPr>
            <w:tcW w:w="918" w:type="dxa"/>
            <w:vMerge w:val="restart"/>
            <w:shd w:val="clear" w:color="auto" w:fill="A6A6A6" w:themeFill="background1" w:themeFillShade="A6"/>
            <w:vAlign w:val="center"/>
            <w:hideMark/>
          </w:tcPr>
          <w:p w:rsidRPr="009C275C" w:rsidR="00097599" w:rsidP="009C275C" w:rsidRDefault="00097599" w14:paraId="4DEB9DE0" w14:textId="77777777">
            <w:pPr>
              <w:spacing w:after="0" w:line="240" w:lineRule="auto"/>
              <w:jc w:val="center"/>
              <w:rPr>
                <w:rFonts w:ascii="Verdana" w:hAnsi="Verdana" w:eastAsia="Times New Roman" w:cs="Times New Roman"/>
                <w:b/>
                <w:bCs/>
                <w:color w:val="000000"/>
                <w:sz w:val="16"/>
                <w:szCs w:val="16"/>
                <w:lang w:eastAsia="es-CO"/>
              </w:rPr>
            </w:pPr>
            <w:r w:rsidRPr="009C275C">
              <w:rPr>
                <w:rFonts w:ascii="Verdana" w:hAnsi="Verdana" w:eastAsia="Times New Roman" w:cs="Times New Roman"/>
                <w:b/>
                <w:bCs/>
                <w:color w:val="000000"/>
                <w:sz w:val="16"/>
                <w:szCs w:val="16"/>
                <w:lang w:eastAsia="es-CO"/>
              </w:rPr>
              <w:t xml:space="preserve"> Obligaciones </w:t>
            </w:r>
          </w:p>
        </w:tc>
        <w:tc>
          <w:tcPr>
            <w:tcW w:w="610" w:type="dxa"/>
            <w:vMerge w:val="restart"/>
            <w:shd w:val="clear" w:color="auto" w:fill="A6A6A6" w:themeFill="background1" w:themeFillShade="A6"/>
            <w:vAlign w:val="center"/>
            <w:hideMark/>
          </w:tcPr>
          <w:p w:rsidRPr="009C275C" w:rsidR="00097599" w:rsidP="009C275C" w:rsidRDefault="00097599" w14:paraId="63146B98" w14:textId="77777777">
            <w:pPr>
              <w:spacing w:after="0" w:line="240" w:lineRule="auto"/>
              <w:jc w:val="center"/>
              <w:rPr>
                <w:rFonts w:ascii="Verdana" w:hAnsi="Verdana" w:eastAsia="Times New Roman" w:cs="Times New Roman"/>
                <w:b/>
                <w:bCs/>
                <w:color w:val="000000"/>
                <w:sz w:val="16"/>
                <w:szCs w:val="16"/>
                <w:lang w:eastAsia="es-CO"/>
              </w:rPr>
            </w:pPr>
            <w:r w:rsidRPr="009C275C">
              <w:rPr>
                <w:rFonts w:ascii="Verdana" w:hAnsi="Verdana" w:eastAsia="Times New Roman" w:cs="Times New Roman"/>
                <w:b/>
                <w:bCs/>
                <w:color w:val="000000"/>
                <w:sz w:val="16"/>
                <w:szCs w:val="16"/>
                <w:lang w:eastAsia="es-CO"/>
              </w:rPr>
              <w:t xml:space="preserve">% Oblig.   </w:t>
            </w:r>
          </w:p>
        </w:tc>
      </w:tr>
      <w:tr w:rsidRPr="009C275C" w:rsidR="00097599" w:rsidTr="009C275C" w14:paraId="55F8F144" w14:textId="77777777">
        <w:trPr>
          <w:gridAfter w:val="1"/>
          <w:wAfter w:w="103" w:type="dxa"/>
          <w:trHeight w:val="296"/>
        </w:trPr>
        <w:tc>
          <w:tcPr>
            <w:tcW w:w="585" w:type="dxa"/>
            <w:vMerge/>
            <w:vAlign w:val="center"/>
            <w:hideMark/>
          </w:tcPr>
          <w:p w:rsidRPr="009C275C" w:rsidR="00097599" w:rsidP="009C275C" w:rsidRDefault="00097599" w14:paraId="7917D5A1" w14:textId="77777777">
            <w:pPr>
              <w:spacing w:after="0" w:line="240" w:lineRule="auto"/>
              <w:rPr>
                <w:rFonts w:ascii="Verdana" w:hAnsi="Verdana" w:eastAsia="Times New Roman" w:cs="Times New Roman"/>
                <w:b/>
                <w:bCs/>
                <w:color w:val="000000"/>
                <w:sz w:val="16"/>
                <w:szCs w:val="16"/>
                <w:lang w:eastAsia="es-CO"/>
              </w:rPr>
            </w:pPr>
          </w:p>
        </w:tc>
        <w:tc>
          <w:tcPr>
            <w:tcW w:w="864" w:type="dxa"/>
            <w:vMerge/>
            <w:vAlign w:val="center"/>
            <w:hideMark/>
          </w:tcPr>
          <w:p w:rsidRPr="009C275C" w:rsidR="00097599" w:rsidP="009C275C" w:rsidRDefault="00097599" w14:paraId="226B715C" w14:textId="77777777">
            <w:pPr>
              <w:spacing w:after="0" w:line="240" w:lineRule="auto"/>
              <w:rPr>
                <w:rFonts w:ascii="Verdana" w:hAnsi="Verdana" w:eastAsia="Times New Roman" w:cs="Times New Roman"/>
                <w:b/>
                <w:bCs/>
                <w:color w:val="000000"/>
                <w:sz w:val="16"/>
                <w:szCs w:val="16"/>
                <w:lang w:eastAsia="es-CO"/>
              </w:rPr>
            </w:pPr>
          </w:p>
        </w:tc>
        <w:tc>
          <w:tcPr>
            <w:tcW w:w="899" w:type="dxa"/>
            <w:vMerge/>
            <w:vAlign w:val="center"/>
            <w:hideMark/>
          </w:tcPr>
          <w:p w:rsidRPr="009C275C" w:rsidR="00097599" w:rsidP="009C275C" w:rsidRDefault="00097599" w14:paraId="0EE8913E" w14:textId="77777777">
            <w:pPr>
              <w:spacing w:after="0" w:line="240" w:lineRule="auto"/>
              <w:rPr>
                <w:rFonts w:ascii="Verdana" w:hAnsi="Verdana" w:eastAsia="Times New Roman" w:cs="Times New Roman"/>
                <w:b/>
                <w:bCs/>
                <w:color w:val="000000"/>
                <w:sz w:val="16"/>
                <w:szCs w:val="16"/>
                <w:lang w:eastAsia="es-CO"/>
              </w:rPr>
            </w:pPr>
          </w:p>
        </w:tc>
        <w:tc>
          <w:tcPr>
            <w:tcW w:w="1194" w:type="dxa"/>
            <w:vMerge/>
            <w:vAlign w:val="center"/>
            <w:hideMark/>
          </w:tcPr>
          <w:p w:rsidRPr="009C275C" w:rsidR="00097599" w:rsidP="009C275C" w:rsidRDefault="00097599" w14:paraId="0B18C18E" w14:textId="77777777">
            <w:pPr>
              <w:spacing w:after="0" w:line="240" w:lineRule="auto"/>
              <w:rPr>
                <w:rFonts w:ascii="Verdana" w:hAnsi="Verdana" w:eastAsia="Times New Roman" w:cs="Times New Roman"/>
                <w:b/>
                <w:bCs/>
                <w:color w:val="000000"/>
                <w:sz w:val="16"/>
                <w:szCs w:val="16"/>
                <w:lang w:eastAsia="es-CO"/>
              </w:rPr>
            </w:pPr>
          </w:p>
        </w:tc>
        <w:tc>
          <w:tcPr>
            <w:tcW w:w="864" w:type="dxa"/>
            <w:shd w:val="clear" w:color="auto" w:fill="A6A6A6" w:themeFill="background1" w:themeFillShade="A6"/>
            <w:vAlign w:val="center"/>
            <w:hideMark/>
          </w:tcPr>
          <w:p w:rsidRPr="009C275C" w:rsidR="00097599" w:rsidP="009C275C" w:rsidRDefault="00097599" w14:paraId="4FC629BE" w14:textId="77777777">
            <w:pPr>
              <w:spacing w:after="0" w:line="240" w:lineRule="auto"/>
              <w:jc w:val="center"/>
              <w:rPr>
                <w:rFonts w:ascii="Verdana" w:hAnsi="Verdana" w:eastAsia="Times New Roman" w:cs="Times New Roman"/>
                <w:b/>
                <w:bCs/>
                <w:color w:val="000000"/>
                <w:sz w:val="16"/>
                <w:szCs w:val="16"/>
                <w:lang w:eastAsia="es-CO"/>
              </w:rPr>
            </w:pPr>
            <w:r w:rsidRPr="009C275C">
              <w:rPr>
                <w:rFonts w:ascii="Verdana" w:hAnsi="Verdana" w:eastAsia="Times New Roman" w:cs="Times New Roman"/>
                <w:b/>
                <w:bCs/>
                <w:color w:val="000000"/>
                <w:sz w:val="16"/>
                <w:szCs w:val="16"/>
                <w:lang w:eastAsia="es-CO"/>
              </w:rPr>
              <w:t xml:space="preserve">Vigente 2023 </w:t>
            </w:r>
          </w:p>
        </w:tc>
        <w:tc>
          <w:tcPr>
            <w:tcW w:w="864" w:type="dxa"/>
            <w:vMerge/>
            <w:vAlign w:val="center"/>
            <w:hideMark/>
          </w:tcPr>
          <w:p w:rsidRPr="009C275C" w:rsidR="00097599" w:rsidP="009C275C" w:rsidRDefault="00097599" w14:paraId="003C50F8" w14:textId="77777777">
            <w:pPr>
              <w:spacing w:after="0" w:line="240" w:lineRule="auto"/>
              <w:rPr>
                <w:rFonts w:ascii="Verdana" w:hAnsi="Verdana" w:eastAsia="Times New Roman" w:cs="Times New Roman"/>
                <w:b/>
                <w:bCs/>
                <w:color w:val="000000"/>
                <w:sz w:val="16"/>
                <w:szCs w:val="16"/>
                <w:lang w:eastAsia="es-CO"/>
              </w:rPr>
            </w:pPr>
          </w:p>
        </w:tc>
        <w:tc>
          <w:tcPr>
            <w:tcW w:w="967" w:type="dxa"/>
            <w:vMerge/>
            <w:vAlign w:val="center"/>
            <w:hideMark/>
          </w:tcPr>
          <w:p w:rsidRPr="009C275C" w:rsidR="00097599" w:rsidP="009C275C" w:rsidRDefault="00097599" w14:paraId="24FADFA3" w14:textId="77777777">
            <w:pPr>
              <w:spacing w:after="0" w:line="240" w:lineRule="auto"/>
              <w:rPr>
                <w:rFonts w:ascii="Verdana" w:hAnsi="Verdana" w:eastAsia="Times New Roman" w:cs="Times New Roman"/>
                <w:b/>
                <w:bCs/>
                <w:color w:val="000000"/>
                <w:sz w:val="16"/>
                <w:szCs w:val="16"/>
                <w:lang w:eastAsia="es-CO"/>
              </w:rPr>
            </w:pPr>
          </w:p>
        </w:tc>
        <w:tc>
          <w:tcPr>
            <w:tcW w:w="610" w:type="dxa"/>
            <w:vMerge/>
            <w:vAlign w:val="center"/>
            <w:hideMark/>
          </w:tcPr>
          <w:p w:rsidRPr="009C275C" w:rsidR="00097599" w:rsidP="009C275C" w:rsidRDefault="00097599" w14:paraId="476223C4" w14:textId="77777777">
            <w:pPr>
              <w:spacing w:after="0" w:line="240" w:lineRule="auto"/>
              <w:rPr>
                <w:rFonts w:ascii="Verdana" w:hAnsi="Verdana" w:eastAsia="Times New Roman" w:cs="Times New Roman"/>
                <w:b/>
                <w:bCs/>
                <w:color w:val="000000"/>
                <w:sz w:val="16"/>
                <w:szCs w:val="16"/>
                <w:lang w:eastAsia="es-CO"/>
              </w:rPr>
            </w:pPr>
          </w:p>
        </w:tc>
        <w:tc>
          <w:tcPr>
            <w:tcW w:w="918" w:type="dxa"/>
            <w:vMerge/>
            <w:vAlign w:val="center"/>
            <w:hideMark/>
          </w:tcPr>
          <w:p w:rsidRPr="009C275C" w:rsidR="00097599" w:rsidP="009C275C" w:rsidRDefault="00097599" w14:paraId="1B02FD3B" w14:textId="77777777">
            <w:pPr>
              <w:spacing w:after="0" w:line="240" w:lineRule="auto"/>
              <w:rPr>
                <w:rFonts w:ascii="Verdana" w:hAnsi="Verdana" w:eastAsia="Times New Roman" w:cs="Times New Roman"/>
                <w:b/>
                <w:bCs/>
                <w:color w:val="000000"/>
                <w:sz w:val="16"/>
                <w:szCs w:val="16"/>
                <w:lang w:eastAsia="es-CO"/>
              </w:rPr>
            </w:pPr>
          </w:p>
        </w:tc>
        <w:tc>
          <w:tcPr>
            <w:tcW w:w="610" w:type="dxa"/>
            <w:vMerge/>
            <w:vAlign w:val="center"/>
            <w:hideMark/>
          </w:tcPr>
          <w:p w:rsidRPr="009C275C" w:rsidR="00097599" w:rsidP="009C275C" w:rsidRDefault="00097599" w14:paraId="5CB990E8" w14:textId="77777777">
            <w:pPr>
              <w:spacing w:after="0" w:line="240" w:lineRule="auto"/>
              <w:rPr>
                <w:rFonts w:ascii="Verdana" w:hAnsi="Verdana" w:eastAsia="Times New Roman" w:cs="Times New Roman"/>
                <w:b/>
                <w:bCs/>
                <w:color w:val="000000"/>
                <w:sz w:val="16"/>
                <w:szCs w:val="16"/>
                <w:lang w:eastAsia="es-CO"/>
              </w:rPr>
            </w:pPr>
          </w:p>
        </w:tc>
      </w:tr>
      <w:tr w:rsidRPr="009C275C" w:rsidR="00097599" w:rsidTr="009C275C" w14:paraId="1546CC01" w14:textId="77777777">
        <w:trPr>
          <w:gridAfter w:val="1"/>
          <w:wAfter w:w="103" w:type="dxa"/>
          <w:trHeight w:val="296"/>
        </w:trPr>
        <w:tc>
          <w:tcPr>
            <w:tcW w:w="585" w:type="dxa"/>
            <w:vAlign w:val="center"/>
            <w:hideMark/>
          </w:tcPr>
          <w:p w:rsidRPr="009C275C" w:rsidR="00097599" w:rsidP="009C275C" w:rsidRDefault="00097599" w14:paraId="4A4CA780" w14:textId="77777777">
            <w:pPr>
              <w:spacing w:after="0" w:line="240" w:lineRule="auto"/>
              <w:jc w:val="center"/>
              <w:rPr>
                <w:rFonts w:ascii="Verdana" w:hAnsi="Verdana" w:eastAsia="Times New Roman" w:cs="Times New Roman"/>
                <w:color w:val="000000" w:themeColor="text1"/>
                <w:sz w:val="18"/>
                <w:szCs w:val="18"/>
                <w:lang w:eastAsia="es-CO"/>
              </w:rPr>
            </w:pPr>
            <w:r w:rsidRPr="009C275C">
              <w:rPr>
                <w:rFonts w:ascii="Verdana" w:hAnsi="Verdana" w:eastAsia="Times New Roman" w:cs="Times New Roman"/>
                <w:color w:val="000000" w:themeColor="text1"/>
                <w:sz w:val="18"/>
                <w:szCs w:val="18"/>
                <w:lang w:eastAsia="es-CO"/>
              </w:rPr>
              <w:t>MME</w:t>
            </w:r>
          </w:p>
        </w:tc>
        <w:tc>
          <w:tcPr>
            <w:tcW w:w="864" w:type="dxa"/>
            <w:noWrap/>
            <w:vAlign w:val="center"/>
            <w:hideMark/>
          </w:tcPr>
          <w:p w:rsidRPr="009C275C" w:rsidR="00097599" w:rsidP="009C275C" w:rsidRDefault="00097599" w14:paraId="79C2C59E"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$ 5.075.124</w:t>
            </w:r>
          </w:p>
        </w:tc>
        <w:tc>
          <w:tcPr>
            <w:tcW w:w="899" w:type="dxa"/>
            <w:noWrap/>
            <w:vAlign w:val="center"/>
            <w:hideMark/>
          </w:tcPr>
          <w:p w:rsidRPr="009C275C" w:rsidR="00097599" w:rsidP="009C275C" w:rsidRDefault="00097599" w14:paraId="402442B9"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$ 7.709</w:t>
            </w:r>
          </w:p>
        </w:tc>
        <w:tc>
          <w:tcPr>
            <w:tcW w:w="1194" w:type="dxa"/>
            <w:noWrap/>
            <w:vAlign w:val="center"/>
            <w:hideMark/>
          </w:tcPr>
          <w:p w:rsidRPr="009C275C" w:rsidR="00097599" w:rsidP="009C275C" w:rsidRDefault="00097599" w14:paraId="4A2084A7"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$ 1.526</w:t>
            </w:r>
          </w:p>
        </w:tc>
        <w:tc>
          <w:tcPr>
            <w:tcW w:w="864" w:type="dxa"/>
            <w:noWrap/>
            <w:vAlign w:val="center"/>
            <w:hideMark/>
          </w:tcPr>
          <w:p w:rsidRPr="009C275C" w:rsidR="00097599" w:rsidP="009C275C" w:rsidRDefault="00097599" w14:paraId="5C8DE584"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$ 6.593.772</w:t>
            </w:r>
          </w:p>
        </w:tc>
        <w:tc>
          <w:tcPr>
            <w:tcW w:w="864" w:type="dxa"/>
            <w:noWrap/>
            <w:vAlign w:val="center"/>
            <w:hideMark/>
          </w:tcPr>
          <w:p w:rsidRPr="009C275C" w:rsidR="00097599" w:rsidP="009C275C" w:rsidRDefault="00097599" w14:paraId="4AAAD38B"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w:t>
            </w:r>
          </w:p>
        </w:tc>
        <w:tc>
          <w:tcPr>
            <w:tcW w:w="967" w:type="dxa"/>
            <w:noWrap/>
            <w:vAlign w:val="center"/>
            <w:hideMark/>
          </w:tcPr>
          <w:p w:rsidRPr="009C275C" w:rsidR="00097599" w:rsidP="009C275C" w:rsidRDefault="00097599" w14:paraId="16824621"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$ 6.228</w:t>
            </w:r>
          </w:p>
        </w:tc>
        <w:tc>
          <w:tcPr>
            <w:tcW w:w="610" w:type="dxa"/>
            <w:vAlign w:val="center"/>
            <w:hideMark/>
          </w:tcPr>
          <w:p w:rsidRPr="009C275C" w:rsidR="00097599" w:rsidP="009C275C" w:rsidRDefault="00097599" w14:paraId="1EC9102B" w14:textId="77777777">
            <w:pPr>
              <w:spacing w:after="0" w:line="240" w:lineRule="auto"/>
              <w:jc w:val="right"/>
              <w:rPr>
                <w:rFonts w:ascii="Verdana" w:hAnsi="Verdana" w:eastAsia="Times New Roman" w:cs="Times New Roman"/>
                <w:color w:val="000000" w:themeColor="text1"/>
                <w:sz w:val="10"/>
                <w:szCs w:val="10"/>
                <w:lang w:eastAsia="es-CO"/>
              </w:rPr>
            </w:pPr>
            <w:r w:rsidRPr="009C275C">
              <w:rPr>
                <w:rFonts w:ascii="Verdana" w:hAnsi="Verdana" w:eastAsia="Times New Roman" w:cs="Times New Roman"/>
                <w:color w:val="000000" w:themeColor="text1"/>
                <w:sz w:val="10"/>
                <w:szCs w:val="10"/>
                <w:lang w:eastAsia="es-CO"/>
              </w:rPr>
              <w:t>94,5%</w:t>
            </w:r>
          </w:p>
        </w:tc>
        <w:tc>
          <w:tcPr>
            <w:tcW w:w="918" w:type="dxa"/>
            <w:noWrap/>
            <w:vAlign w:val="center"/>
            <w:hideMark/>
          </w:tcPr>
          <w:p w:rsidRPr="009C275C" w:rsidR="00097599" w:rsidP="009C275C" w:rsidRDefault="00097599" w14:paraId="227E1398"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$ 5.947</w:t>
            </w:r>
          </w:p>
        </w:tc>
        <w:tc>
          <w:tcPr>
            <w:tcW w:w="610" w:type="dxa"/>
            <w:noWrap/>
            <w:vAlign w:val="center"/>
            <w:hideMark/>
          </w:tcPr>
          <w:p w:rsidRPr="009C275C" w:rsidR="00097599" w:rsidP="009C275C" w:rsidRDefault="00097599" w14:paraId="59C27D1E" w14:textId="77777777">
            <w:pPr>
              <w:spacing w:after="0" w:line="240" w:lineRule="auto"/>
              <w:jc w:val="right"/>
              <w:rPr>
                <w:rFonts w:ascii="Verdana" w:hAnsi="Verdana" w:eastAsia="Times New Roman" w:cs="Times New Roman"/>
                <w:color w:val="000000" w:themeColor="text1"/>
                <w:sz w:val="10"/>
                <w:szCs w:val="10"/>
                <w:lang w:eastAsia="es-CO"/>
              </w:rPr>
            </w:pPr>
            <w:r w:rsidRPr="009C275C">
              <w:rPr>
                <w:rFonts w:ascii="Verdana" w:hAnsi="Verdana" w:eastAsia="Times New Roman" w:cs="Times New Roman"/>
                <w:color w:val="000000" w:themeColor="text1"/>
                <w:sz w:val="10"/>
                <w:szCs w:val="10"/>
                <w:lang w:eastAsia="es-CO"/>
              </w:rPr>
              <w:t>90,2%</w:t>
            </w:r>
          </w:p>
        </w:tc>
      </w:tr>
      <w:tr w:rsidRPr="009C275C" w:rsidR="00097599" w:rsidTr="009C275C" w14:paraId="2A387DDF" w14:textId="77777777">
        <w:trPr>
          <w:gridAfter w:val="1"/>
          <w:wAfter w:w="103" w:type="dxa"/>
          <w:trHeight w:val="296"/>
        </w:trPr>
        <w:tc>
          <w:tcPr>
            <w:tcW w:w="585" w:type="dxa"/>
            <w:vAlign w:val="center"/>
            <w:hideMark/>
          </w:tcPr>
          <w:p w:rsidRPr="009C275C" w:rsidR="00097599" w:rsidP="009C275C" w:rsidRDefault="00097599" w14:paraId="580D0F9D" w14:textId="77777777">
            <w:pPr>
              <w:spacing w:after="0" w:line="240" w:lineRule="auto"/>
              <w:jc w:val="center"/>
              <w:rPr>
                <w:rFonts w:ascii="Verdana" w:hAnsi="Verdana" w:eastAsia="Times New Roman" w:cs="Times New Roman"/>
                <w:color w:val="000000"/>
                <w:sz w:val="18"/>
                <w:szCs w:val="18"/>
                <w:lang w:eastAsia="es-CO"/>
              </w:rPr>
            </w:pPr>
            <w:r w:rsidRPr="009C275C">
              <w:rPr>
                <w:rFonts w:ascii="Verdana" w:hAnsi="Verdana" w:eastAsia="Times New Roman" w:cs="Times New Roman"/>
                <w:color w:val="000000" w:themeColor="text1"/>
                <w:sz w:val="18"/>
                <w:szCs w:val="18"/>
                <w:lang w:eastAsia="es-CO"/>
              </w:rPr>
              <w:t>ANH</w:t>
            </w:r>
          </w:p>
        </w:tc>
        <w:tc>
          <w:tcPr>
            <w:tcW w:w="864" w:type="dxa"/>
            <w:shd w:val="clear" w:color="auto" w:fill="FFFFFF" w:themeFill="background1"/>
            <w:noWrap/>
            <w:vAlign w:val="center"/>
            <w:hideMark/>
          </w:tcPr>
          <w:p w:rsidRPr="009C275C" w:rsidR="00097599" w:rsidP="009C275C" w:rsidRDefault="00097599" w14:paraId="081CDE4B"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themeColor="text1"/>
                <w:sz w:val="12"/>
                <w:szCs w:val="12"/>
                <w:lang w:eastAsia="es-CO"/>
              </w:rPr>
              <w:t>$ 374.873</w:t>
            </w:r>
          </w:p>
        </w:tc>
        <w:tc>
          <w:tcPr>
            <w:tcW w:w="899" w:type="dxa"/>
            <w:shd w:val="clear" w:color="auto" w:fill="FFFFFF" w:themeFill="background1"/>
            <w:noWrap/>
            <w:vAlign w:val="center"/>
            <w:hideMark/>
          </w:tcPr>
          <w:p w:rsidRPr="009C275C" w:rsidR="00097599" w:rsidP="009C275C" w:rsidRDefault="00097599" w14:paraId="56889812"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themeColor="text1"/>
                <w:sz w:val="12"/>
                <w:szCs w:val="12"/>
                <w:lang w:eastAsia="es-CO"/>
              </w:rPr>
              <w:t xml:space="preserve">      $ 111.120         </w:t>
            </w:r>
          </w:p>
        </w:tc>
        <w:tc>
          <w:tcPr>
            <w:tcW w:w="1194" w:type="dxa"/>
            <w:shd w:val="clear" w:color="auto" w:fill="FFFFFF" w:themeFill="background1"/>
            <w:noWrap/>
            <w:vAlign w:val="center"/>
            <w:hideMark/>
          </w:tcPr>
          <w:p w:rsidRPr="009C275C" w:rsidR="00097599" w:rsidP="009C275C" w:rsidRDefault="00097599" w14:paraId="513EC68D"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themeColor="text1"/>
                <w:sz w:val="12"/>
                <w:szCs w:val="12"/>
                <w:lang w:eastAsia="es-CO"/>
              </w:rPr>
              <w:t xml:space="preserve">$ 111.120  </w:t>
            </w:r>
          </w:p>
        </w:tc>
        <w:tc>
          <w:tcPr>
            <w:tcW w:w="864" w:type="dxa"/>
            <w:shd w:val="clear" w:color="auto" w:fill="FFFFFF" w:themeFill="background1"/>
            <w:noWrap/>
            <w:vAlign w:val="center"/>
            <w:hideMark/>
          </w:tcPr>
          <w:p w:rsidRPr="009C275C" w:rsidR="00097599" w:rsidP="009C275C" w:rsidRDefault="00097599" w14:paraId="7053EB28"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themeColor="text1"/>
                <w:sz w:val="12"/>
                <w:szCs w:val="12"/>
                <w:lang w:eastAsia="es-CO"/>
              </w:rPr>
              <w:t>$ 374.874</w:t>
            </w:r>
          </w:p>
        </w:tc>
        <w:tc>
          <w:tcPr>
            <w:tcW w:w="864" w:type="dxa"/>
            <w:shd w:val="clear" w:color="auto" w:fill="FFFFFF" w:themeFill="background1"/>
            <w:noWrap/>
            <w:vAlign w:val="center"/>
            <w:hideMark/>
          </w:tcPr>
          <w:p w:rsidRPr="009C275C" w:rsidR="00097599" w:rsidP="009C275C" w:rsidRDefault="00097599" w14:paraId="5E7158DD"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w:t>
            </w:r>
          </w:p>
        </w:tc>
        <w:tc>
          <w:tcPr>
            <w:tcW w:w="967" w:type="dxa"/>
            <w:shd w:val="clear" w:color="auto" w:fill="FFFFFF" w:themeFill="background1"/>
            <w:noWrap/>
            <w:vAlign w:val="center"/>
            <w:hideMark/>
          </w:tcPr>
          <w:p w:rsidRPr="009C275C" w:rsidR="00097599" w:rsidP="009C275C" w:rsidRDefault="00097599" w14:paraId="3D6AEF86"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themeColor="text1"/>
                <w:sz w:val="12"/>
                <w:szCs w:val="12"/>
                <w:lang w:eastAsia="es-CO"/>
              </w:rPr>
              <w:t>$ 207.659</w:t>
            </w:r>
          </w:p>
        </w:tc>
        <w:tc>
          <w:tcPr>
            <w:tcW w:w="610" w:type="dxa"/>
            <w:vAlign w:val="center"/>
            <w:hideMark/>
          </w:tcPr>
          <w:p w:rsidRPr="009C275C" w:rsidR="00097599" w:rsidP="009C275C" w:rsidRDefault="00097599" w14:paraId="4A73CE55" w14:textId="77777777">
            <w:pPr>
              <w:spacing w:after="0" w:line="240" w:lineRule="auto"/>
              <w:jc w:val="right"/>
              <w:rPr>
                <w:rFonts w:ascii="Verdana" w:hAnsi="Verdana" w:eastAsia="Times New Roman" w:cs="Times New Roman"/>
                <w:color w:val="000000"/>
                <w:sz w:val="10"/>
                <w:szCs w:val="10"/>
                <w:lang w:eastAsia="es-CO"/>
              </w:rPr>
            </w:pPr>
            <w:r w:rsidRPr="009C275C">
              <w:rPr>
                <w:rFonts w:ascii="Verdana" w:hAnsi="Verdana" w:eastAsia="Times New Roman" w:cs="Times New Roman"/>
                <w:color w:val="000000" w:themeColor="text1"/>
                <w:sz w:val="10"/>
                <w:szCs w:val="10"/>
                <w:lang w:eastAsia="es-CO"/>
              </w:rPr>
              <w:t>55,4%</w:t>
            </w:r>
          </w:p>
        </w:tc>
        <w:tc>
          <w:tcPr>
            <w:tcW w:w="918" w:type="dxa"/>
            <w:noWrap/>
            <w:vAlign w:val="center"/>
            <w:hideMark/>
          </w:tcPr>
          <w:p w:rsidRPr="009C275C" w:rsidR="00097599" w:rsidP="009C275C" w:rsidRDefault="00097599" w14:paraId="57BF66DF"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themeColor="text1"/>
                <w:sz w:val="12"/>
                <w:szCs w:val="12"/>
                <w:lang w:eastAsia="es-CO"/>
              </w:rPr>
              <w:t>$ 147.780</w:t>
            </w:r>
          </w:p>
        </w:tc>
        <w:tc>
          <w:tcPr>
            <w:tcW w:w="610" w:type="dxa"/>
            <w:noWrap/>
            <w:vAlign w:val="center"/>
            <w:hideMark/>
          </w:tcPr>
          <w:p w:rsidRPr="009C275C" w:rsidR="00097599" w:rsidP="009C275C" w:rsidRDefault="00097599" w14:paraId="64DA6A9A" w14:textId="77777777">
            <w:pPr>
              <w:spacing w:after="0" w:line="240" w:lineRule="auto"/>
              <w:jc w:val="right"/>
              <w:rPr>
                <w:rFonts w:ascii="Verdana" w:hAnsi="Verdana" w:eastAsia="Times New Roman" w:cs="Times New Roman"/>
                <w:color w:val="000000"/>
                <w:sz w:val="10"/>
                <w:szCs w:val="10"/>
                <w:lang w:eastAsia="es-CO"/>
              </w:rPr>
            </w:pPr>
            <w:r w:rsidRPr="009C275C">
              <w:rPr>
                <w:rFonts w:ascii="Verdana" w:hAnsi="Verdana" w:eastAsia="Times New Roman" w:cs="Times New Roman"/>
                <w:color w:val="000000" w:themeColor="text1"/>
                <w:sz w:val="10"/>
                <w:szCs w:val="10"/>
                <w:lang w:eastAsia="es-CO"/>
              </w:rPr>
              <w:t>39,4%</w:t>
            </w:r>
          </w:p>
        </w:tc>
      </w:tr>
      <w:tr w:rsidRPr="009C275C" w:rsidR="00097599" w:rsidTr="009C275C" w14:paraId="33B177F1" w14:textId="77777777">
        <w:trPr>
          <w:gridAfter w:val="1"/>
          <w:wAfter w:w="103" w:type="dxa"/>
          <w:trHeight w:val="296"/>
        </w:trPr>
        <w:tc>
          <w:tcPr>
            <w:tcW w:w="585" w:type="dxa"/>
            <w:vAlign w:val="center"/>
            <w:hideMark/>
          </w:tcPr>
          <w:p w:rsidRPr="009C275C" w:rsidR="00097599" w:rsidP="009C275C" w:rsidRDefault="00097599" w14:paraId="5441AB61" w14:textId="77777777">
            <w:pPr>
              <w:spacing w:after="0" w:line="240" w:lineRule="auto"/>
              <w:jc w:val="center"/>
              <w:rPr>
                <w:rFonts w:ascii="Verdana" w:hAnsi="Verdana" w:eastAsia="Times New Roman" w:cs="Times New Roman"/>
                <w:color w:val="000000" w:themeColor="text1"/>
                <w:sz w:val="18"/>
                <w:szCs w:val="18"/>
                <w:lang w:eastAsia="es-CO"/>
              </w:rPr>
            </w:pPr>
            <w:r w:rsidRPr="009C275C">
              <w:rPr>
                <w:rFonts w:ascii="Verdana" w:hAnsi="Verdana" w:eastAsia="Times New Roman" w:cs="Times New Roman"/>
                <w:color w:val="000000" w:themeColor="text1"/>
                <w:sz w:val="18"/>
                <w:szCs w:val="18"/>
                <w:lang w:eastAsia="es-CO"/>
              </w:rPr>
              <w:t>ANM</w:t>
            </w:r>
          </w:p>
        </w:tc>
        <w:tc>
          <w:tcPr>
            <w:tcW w:w="864" w:type="dxa"/>
            <w:shd w:val="clear" w:color="auto" w:fill="FFFFFF" w:themeFill="background1"/>
            <w:noWrap/>
            <w:vAlign w:val="center"/>
            <w:hideMark/>
          </w:tcPr>
          <w:p w:rsidRPr="009C275C" w:rsidR="00097599" w:rsidP="009C275C" w:rsidRDefault="00097599" w14:paraId="76587A22"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$ 45.787</w:t>
            </w:r>
          </w:p>
        </w:tc>
        <w:tc>
          <w:tcPr>
            <w:tcW w:w="899" w:type="dxa"/>
            <w:shd w:val="clear" w:color="auto" w:fill="FFFFFF" w:themeFill="background1"/>
            <w:noWrap/>
            <w:vAlign w:val="center"/>
            <w:hideMark/>
          </w:tcPr>
          <w:p w:rsidRPr="009C275C" w:rsidR="00097599" w:rsidP="009C275C" w:rsidRDefault="00097599" w14:paraId="3B5258A6"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w:t>
            </w:r>
          </w:p>
        </w:tc>
        <w:tc>
          <w:tcPr>
            <w:tcW w:w="1194" w:type="dxa"/>
            <w:shd w:val="clear" w:color="auto" w:fill="FFFFFF" w:themeFill="background1"/>
            <w:noWrap/>
            <w:vAlign w:val="center"/>
            <w:hideMark/>
          </w:tcPr>
          <w:p w:rsidRPr="009C275C" w:rsidR="00097599" w:rsidP="009C275C" w:rsidRDefault="00097599" w14:paraId="611F9A2A"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$ 3.295</w:t>
            </w:r>
          </w:p>
        </w:tc>
        <w:tc>
          <w:tcPr>
            <w:tcW w:w="864" w:type="dxa"/>
            <w:shd w:val="clear" w:color="auto" w:fill="FFFFFF" w:themeFill="background1"/>
            <w:noWrap/>
            <w:vAlign w:val="center"/>
            <w:hideMark/>
          </w:tcPr>
          <w:p w:rsidRPr="009C275C" w:rsidR="00097599" w:rsidP="009C275C" w:rsidRDefault="00097599" w14:paraId="146A3080"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$ 49.083</w:t>
            </w:r>
          </w:p>
        </w:tc>
        <w:tc>
          <w:tcPr>
            <w:tcW w:w="864" w:type="dxa"/>
            <w:shd w:val="clear" w:color="auto" w:fill="FFFFFF" w:themeFill="background1"/>
            <w:noWrap/>
            <w:vAlign w:val="center"/>
            <w:hideMark/>
          </w:tcPr>
          <w:p w:rsidRPr="009C275C" w:rsidR="00097599" w:rsidP="009C275C" w:rsidRDefault="00097599" w14:paraId="48D35FEA"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w:t>
            </w:r>
          </w:p>
        </w:tc>
        <w:tc>
          <w:tcPr>
            <w:tcW w:w="967" w:type="dxa"/>
            <w:shd w:val="clear" w:color="auto" w:fill="FFFFFF" w:themeFill="background1"/>
            <w:noWrap/>
            <w:vAlign w:val="center"/>
            <w:hideMark/>
          </w:tcPr>
          <w:p w:rsidRPr="009C275C" w:rsidR="00097599" w:rsidP="009C275C" w:rsidRDefault="00097599" w14:paraId="70135D6F"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$ 46.600</w:t>
            </w:r>
          </w:p>
        </w:tc>
        <w:tc>
          <w:tcPr>
            <w:tcW w:w="610" w:type="dxa"/>
            <w:vAlign w:val="center"/>
            <w:hideMark/>
          </w:tcPr>
          <w:p w:rsidRPr="009C275C" w:rsidR="00097599" w:rsidP="009C275C" w:rsidRDefault="00097599" w14:paraId="31F46BD4" w14:textId="77777777">
            <w:pPr>
              <w:spacing w:after="0" w:line="240" w:lineRule="auto"/>
              <w:jc w:val="right"/>
              <w:rPr>
                <w:rFonts w:ascii="Verdana" w:hAnsi="Verdana" w:eastAsia="Times New Roman" w:cs="Times New Roman"/>
                <w:color w:val="000000" w:themeColor="text1"/>
                <w:sz w:val="10"/>
                <w:szCs w:val="10"/>
                <w:lang w:eastAsia="es-CO"/>
              </w:rPr>
            </w:pPr>
            <w:r w:rsidRPr="009C275C">
              <w:rPr>
                <w:rFonts w:ascii="Verdana" w:hAnsi="Verdana" w:eastAsia="Times New Roman" w:cs="Times New Roman"/>
                <w:color w:val="000000" w:themeColor="text1"/>
                <w:sz w:val="10"/>
                <w:szCs w:val="10"/>
                <w:lang w:eastAsia="es-CO"/>
              </w:rPr>
              <w:t>94,9%</w:t>
            </w:r>
          </w:p>
        </w:tc>
        <w:tc>
          <w:tcPr>
            <w:tcW w:w="918" w:type="dxa"/>
            <w:noWrap/>
            <w:vAlign w:val="center"/>
            <w:hideMark/>
          </w:tcPr>
          <w:p w:rsidRPr="009C275C" w:rsidR="00097599" w:rsidP="009C275C" w:rsidRDefault="00097599" w14:paraId="08D96B47"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$ 42.363</w:t>
            </w:r>
          </w:p>
        </w:tc>
        <w:tc>
          <w:tcPr>
            <w:tcW w:w="610" w:type="dxa"/>
            <w:noWrap/>
            <w:vAlign w:val="center"/>
            <w:hideMark/>
          </w:tcPr>
          <w:p w:rsidRPr="009C275C" w:rsidR="00097599" w:rsidP="009C275C" w:rsidRDefault="00097599" w14:paraId="17F52C4E" w14:textId="77777777">
            <w:pPr>
              <w:spacing w:after="0" w:line="240" w:lineRule="auto"/>
              <w:jc w:val="right"/>
              <w:rPr>
                <w:rFonts w:ascii="Verdana" w:hAnsi="Verdana" w:eastAsia="Times New Roman" w:cs="Times New Roman"/>
                <w:color w:val="000000" w:themeColor="text1"/>
                <w:sz w:val="10"/>
                <w:szCs w:val="10"/>
                <w:lang w:eastAsia="es-CO"/>
              </w:rPr>
            </w:pPr>
            <w:r w:rsidRPr="009C275C">
              <w:rPr>
                <w:rFonts w:ascii="Verdana" w:hAnsi="Verdana" w:eastAsia="Times New Roman" w:cs="Times New Roman"/>
                <w:color w:val="000000" w:themeColor="text1"/>
                <w:sz w:val="10"/>
                <w:szCs w:val="10"/>
                <w:lang w:eastAsia="es-CO"/>
              </w:rPr>
              <w:t>86,3%</w:t>
            </w:r>
          </w:p>
        </w:tc>
      </w:tr>
      <w:tr w:rsidRPr="009C275C" w:rsidR="00097599" w:rsidTr="009C275C" w14:paraId="3CBB8FB9" w14:textId="77777777">
        <w:trPr>
          <w:gridAfter w:val="1"/>
          <w:wAfter w:w="103" w:type="dxa"/>
          <w:trHeight w:val="296"/>
        </w:trPr>
        <w:tc>
          <w:tcPr>
            <w:tcW w:w="585" w:type="dxa"/>
            <w:vAlign w:val="center"/>
            <w:hideMark/>
          </w:tcPr>
          <w:p w:rsidRPr="009C275C" w:rsidR="00097599" w:rsidP="009C275C" w:rsidRDefault="00097599" w14:paraId="3A531698" w14:textId="77777777">
            <w:pPr>
              <w:spacing w:after="0" w:line="240" w:lineRule="auto"/>
              <w:jc w:val="center"/>
              <w:rPr>
                <w:rFonts w:ascii="Verdana" w:hAnsi="Verdana" w:eastAsia="Times New Roman" w:cs="Times New Roman"/>
                <w:color w:val="000000" w:themeColor="text1"/>
                <w:sz w:val="18"/>
                <w:szCs w:val="18"/>
                <w:lang w:eastAsia="es-CO"/>
              </w:rPr>
            </w:pPr>
            <w:r w:rsidRPr="009C275C">
              <w:rPr>
                <w:rFonts w:ascii="Verdana" w:hAnsi="Verdana" w:eastAsia="Times New Roman" w:cs="Times New Roman"/>
                <w:color w:val="000000" w:themeColor="text1"/>
                <w:sz w:val="18"/>
                <w:szCs w:val="18"/>
                <w:lang w:eastAsia="es-CO"/>
              </w:rPr>
              <w:t>IPSE</w:t>
            </w:r>
          </w:p>
        </w:tc>
        <w:tc>
          <w:tcPr>
            <w:tcW w:w="864" w:type="dxa"/>
            <w:noWrap/>
            <w:vAlign w:val="center"/>
            <w:hideMark/>
          </w:tcPr>
          <w:p w:rsidRPr="009C275C" w:rsidR="00097599" w:rsidP="009C275C" w:rsidRDefault="00097599" w14:paraId="209687FB"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$ 100.000</w:t>
            </w:r>
          </w:p>
        </w:tc>
        <w:tc>
          <w:tcPr>
            <w:tcW w:w="899" w:type="dxa"/>
            <w:noWrap/>
            <w:vAlign w:val="center"/>
            <w:hideMark/>
          </w:tcPr>
          <w:p w:rsidRPr="009C275C" w:rsidR="00097599" w:rsidP="009C275C" w:rsidRDefault="00097599" w14:paraId="49EB7BF4"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w:t>
            </w:r>
          </w:p>
        </w:tc>
        <w:tc>
          <w:tcPr>
            <w:tcW w:w="1194" w:type="dxa"/>
            <w:noWrap/>
            <w:vAlign w:val="center"/>
            <w:hideMark/>
          </w:tcPr>
          <w:p w:rsidRPr="009C275C" w:rsidR="00097599" w:rsidP="009C275C" w:rsidRDefault="00097599" w14:paraId="69FF1C53"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w:t>
            </w:r>
          </w:p>
        </w:tc>
        <w:tc>
          <w:tcPr>
            <w:tcW w:w="864" w:type="dxa"/>
            <w:noWrap/>
            <w:vAlign w:val="center"/>
            <w:hideMark/>
          </w:tcPr>
          <w:p w:rsidRPr="009C275C" w:rsidR="00097599" w:rsidP="009C275C" w:rsidRDefault="00097599" w14:paraId="7AEE9070"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$ 100.000</w:t>
            </w:r>
          </w:p>
        </w:tc>
        <w:tc>
          <w:tcPr>
            <w:tcW w:w="864" w:type="dxa"/>
            <w:noWrap/>
            <w:vAlign w:val="center"/>
            <w:hideMark/>
          </w:tcPr>
          <w:p w:rsidRPr="009C275C" w:rsidR="00097599" w:rsidP="009C275C" w:rsidRDefault="00097599" w14:paraId="2D28154B"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w:t>
            </w:r>
          </w:p>
        </w:tc>
        <w:tc>
          <w:tcPr>
            <w:tcW w:w="967" w:type="dxa"/>
            <w:noWrap/>
            <w:vAlign w:val="center"/>
            <w:hideMark/>
          </w:tcPr>
          <w:p w:rsidRPr="009C275C" w:rsidR="00097599" w:rsidP="009C275C" w:rsidRDefault="00097599" w14:paraId="75C5BAC8"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$ 96.962</w:t>
            </w:r>
          </w:p>
        </w:tc>
        <w:tc>
          <w:tcPr>
            <w:tcW w:w="610" w:type="dxa"/>
            <w:vAlign w:val="center"/>
            <w:hideMark/>
          </w:tcPr>
          <w:p w:rsidRPr="009C275C" w:rsidR="00097599" w:rsidP="009C275C" w:rsidRDefault="00097599" w14:paraId="3D9B7102" w14:textId="77777777">
            <w:pPr>
              <w:spacing w:after="0" w:line="240" w:lineRule="auto"/>
              <w:jc w:val="right"/>
              <w:rPr>
                <w:rFonts w:ascii="Verdana" w:hAnsi="Verdana" w:eastAsia="Times New Roman" w:cs="Times New Roman"/>
                <w:color w:val="000000" w:themeColor="text1"/>
                <w:sz w:val="10"/>
                <w:szCs w:val="10"/>
                <w:lang w:eastAsia="es-CO"/>
              </w:rPr>
            </w:pPr>
            <w:r w:rsidRPr="009C275C">
              <w:rPr>
                <w:rFonts w:ascii="Verdana" w:hAnsi="Verdana" w:eastAsia="Times New Roman" w:cs="Times New Roman"/>
                <w:color w:val="000000" w:themeColor="text1"/>
                <w:sz w:val="10"/>
                <w:szCs w:val="10"/>
                <w:lang w:eastAsia="es-CO"/>
              </w:rPr>
              <w:t>97,0%</w:t>
            </w:r>
          </w:p>
        </w:tc>
        <w:tc>
          <w:tcPr>
            <w:tcW w:w="918" w:type="dxa"/>
            <w:noWrap/>
            <w:vAlign w:val="center"/>
            <w:hideMark/>
          </w:tcPr>
          <w:p w:rsidRPr="009C275C" w:rsidR="00097599" w:rsidP="009C275C" w:rsidRDefault="00097599" w14:paraId="0F4B385D"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$ 36.484</w:t>
            </w:r>
          </w:p>
        </w:tc>
        <w:tc>
          <w:tcPr>
            <w:tcW w:w="610" w:type="dxa"/>
            <w:noWrap/>
            <w:vAlign w:val="center"/>
            <w:hideMark/>
          </w:tcPr>
          <w:p w:rsidRPr="009C275C" w:rsidR="00097599" w:rsidP="009C275C" w:rsidRDefault="00097599" w14:paraId="53BE0B12" w14:textId="77777777">
            <w:pPr>
              <w:spacing w:after="0" w:line="240" w:lineRule="auto"/>
              <w:jc w:val="right"/>
              <w:rPr>
                <w:rFonts w:ascii="Verdana" w:hAnsi="Verdana" w:eastAsia="Times New Roman" w:cs="Times New Roman"/>
                <w:color w:val="000000" w:themeColor="text1"/>
                <w:sz w:val="10"/>
                <w:szCs w:val="10"/>
                <w:lang w:eastAsia="es-CO"/>
              </w:rPr>
            </w:pPr>
            <w:r w:rsidRPr="009C275C">
              <w:rPr>
                <w:rFonts w:ascii="Verdana" w:hAnsi="Verdana" w:eastAsia="Times New Roman" w:cs="Times New Roman"/>
                <w:color w:val="000000" w:themeColor="text1"/>
                <w:sz w:val="10"/>
                <w:szCs w:val="10"/>
                <w:lang w:eastAsia="es-CO"/>
              </w:rPr>
              <w:t>36,5%</w:t>
            </w:r>
          </w:p>
        </w:tc>
      </w:tr>
      <w:tr w:rsidRPr="009C275C" w:rsidR="00097599" w:rsidTr="009C275C" w14:paraId="16A9672B" w14:textId="77777777">
        <w:trPr>
          <w:gridAfter w:val="1"/>
          <w:wAfter w:w="103" w:type="dxa"/>
          <w:trHeight w:val="296"/>
        </w:trPr>
        <w:tc>
          <w:tcPr>
            <w:tcW w:w="585" w:type="dxa"/>
            <w:vAlign w:val="center"/>
            <w:hideMark/>
          </w:tcPr>
          <w:p w:rsidRPr="009C275C" w:rsidR="00097599" w:rsidP="009C275C" w:rsidRDefault="00097599" w14:paraId="0285926A" w14:textId="77777777">
            <w:pPr>
              <w:spacing w:after="0" w:line="240" w:lineRule="auto"/>
              <w:jc w:val="center"/>
              <w:rPr>
                <w:rFonts w:ascii="Verdana" w:hAnsi="Verdana" w:eastAsia="Times New Roman" w:cs="Times New Roman"/>
                <w:color w:val="000000" w:themeColor="text1"/>
                <w:sz w:val="18"/>
                <w:szCs w:val="18"/>
                <w:lang w:eastAsia="es-CO"/>
              </w:rPr>
            </w:pPr>
            <w:r w:rsidRPr="009C275C">
              <w:rPr>
                <w:rFonts w:ascii="Verdana" w:hAnsi="Verdana" w:eastAsia="Times New Roman" w:cs="Times New Roman"/>
                <w:color w:val="000000" w:themeColor="text1"/>
                <w:sz w:val="18"/>
                <w:szCs w:val="18"/>
                <w:lang w:eastAsia="es-CO"/>
              </w:rPr>
              <w:t>CREG</w:t>
            </w:r>
          </w:p>
        </w:tc>
        <w:tc>
          <w:tcPr>
            <w:tcW w:w="864" w:type="dxa"/>
            <w:noWrap/>
            <w:vAlign w:val="center"/>
            <w:hideMark/>
          </w:tcPr>
          <w:p w:rsidRPr="009C275C" w:rsidR="00097599" w:rsidP="009C275C" w:rsidRDefault="00097599" w14:paraId="594E96B1"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$ 11.200</w:t>
            </w:r>
          </w:p>
        </w:tc>
        <w:tc>
          <w:tcPr>
            <w:tcW w:w="899" w:type="dxa"/>
            <w:noWrap/>
            <w:vAlign w:val="center"/>
            <w:hideMark/>
          </w:tcPr>
          <w:p w:rsidRPr="009C275C" w:rsidR="00097599" w:rsidP="009C275C" w:rsidRDefault="00097599" w14:paraId="36F7E842"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w:t>
            </w:r>
          </w:p>
        </w:tc>
        <w:tc>
          <w:tcPr>
            <w:tcW w:w="1194" w:type="dxa"/>
            <w:noWrap/>
            <w:vAlign w:val="center"/>
            <w:hideMark/>
          </w:tcPr>
          <w:p w:rsidRPr="009C275C" w:rsidR="00097599" w:rsidP="009C275C" w:rsidRDefault="00097599" w14:paraId="5F96024B"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w:t>
            </w:r>
          </w:p>
        </w:tc>
        <w:tc>
          <w:tcPr>
            <w:tcW w:w="864" w:type="dxa"/>
            <w:noWrap/>
            <w:vAlign w:val="center"/>
            <w:hideMark/>
          </w:tcPr>
          <w:p w:rsidRPr="009C275C" w:rsidR="00097599" w:rsidP="009C275C" w:rsidRDefault="00097599" w14:paraId="18E2DAAE"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$ 11.200</w:t>
            </w:r>
          </w:p>
        </w:tc>
        <w:tc>
          <w:tcPr>
            <w:tcW w:w="864" w:type="dxa"/>
            <w:noWrap/>
            <w:vAlign w:val="center"/>
            <w:hideMark/>
          </w:tcPr>
          <w:p w:rsidRPr="009C275C" w:rsidR="00097599" w:rsidP="009C275C" w:rsidRDefault="00097599" w14:paraId="51EBFA1C"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w:t>
            </w:r>
          </w:p>
        </w:tc>
        <w:tc>
          <w:tcPr>
            <w:tcW w:w="967" w:type="dxa"/>
            <w:noWrap/>
            <w:vAlign w:val="center"/>
            <w:hideMark/>
          </w:tcPr>
          <w:p w:rsidRPr="009C275C" w:rsidR="00097599" w:rsidP="009C275C" w:rsidRDefault="00097599" w14:paraId="64E6E726"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$ 8.329</w:t>
            </w:r>
          </w:p>
        </w:tc>
        <w:tc>
          <w:tcPr>
            <w:tcW w:w="610" w:type="dxa"/>
            <w:vAlign w:val="center"/>
            <w:hideMark/>
          </w:tcPr>
          <w:p w:rsidRPr="009C275C" w:rsidR="00097599" w:rsidP="009C275C" w:rsidRDefault="00097599" w14:paraId="093E9AFD" w14:textId="77777777">
            <w:pPr>
              <w:spacing w:after="0" w:line="240" w:lineRule="auto"/>
              <w:jc w:val="right"/>
              <w:rPr>
                <w:rFonts w:ascii="Verdana" w:hAnsi="Verdana" w:eastAsia="Times New Roman" w:cs="Times New Roman"/>
                <w:color w:val="000000" w:themeColor="text1"/>
                <w:sz w:val="10"/>
                <w:szCs w:val="10"/>
                <w:lang w:eastAsia="es-CO"/>
              </w:rPr>
            </w:pPr>
            <w:r w:rsidRPr="009C275C">
              <w:rPr>
                <w:rFonts w:ascii="Verdana" w:hAnsi="Verdana" w:eastAsia="Times New Roman" w:cs="Times New Roman"/>
                <w:color w:val="000000" w:themeColor="text1"/>
                <w:sz w:val="10"/>
                <w:szCs w:val="10"/>
                <w:lang w:eastAsia="es-CO"/>
              </w:rPr>
              <w:t>74,4%</w:t>
            </w:r>
          </w:p>
        </w:tc>
        <w:tc>
          <w:tcPr>
            <w:tcW w:w="918" w:type="dxa"/>
            <w:noWrap/>
            <w:vAlign w:val="center"/>
            <w:hideMark/>
          </w:tcPr>
          <w:p w:rsidRPr="009C275C" w:rsidR="00097599" w:rsidP="009C275C" w:rsidRDefault="00097599" w14:paraId="41CC8AE4"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$ 8.327</w:t>
            </w:r>
          </w:p>
        </w:tc>
        <w:tc>
          <w:tcPr>
            <w:tcW w:w="610" w:type="dxa"/>
            <w:noWrap/>
            <w:vAlign w:val="center"/>
            <w:hideMark/>
          </w:tcPr>
          <w:p w:rsidRPr="009C275C" w:rsidR="00097599" w:rsidP="009C275C" w:rsidRDefault="00097599" w14:paraId="5EF92265" w14:textId="77777777">
            <w:pPr>
              <w:spacing w:after="0" w:line="240" w:lineRule="auto"/>
              <w:jc w:val="right"/>
              <w:rPr>
                <w:rFonts w:ascii="Verdana" w:hAnsi="Verdana" w:eastAsia="Times New Roman" w:cs="Times New Roman"/>
                <w:color w:val="000000" w:themeColor="text1"/>
                <w:sz w:val="10"/>
                <w:szCs w:val="10"/>
                <w:lang w:eastAsia="es-CO"/>
              </w:rPr>
            </w:pPr>
            <w:r w:rsidRPr="009C275C">
              <w:rPr>
                <w:rFonts w:ascii="Verdana" w:hAnsi="Verdana" w:eastAsia="Times New Roman" w:cs="Times New Roman"/>
                <w:color w:val="000000" w:themeColor="text1"/>
                <w:sz w:val="10"/>
                <w:szCs w:val="10"/>
                <w:lang w:eastAsia="es-CO"/>
              </w:rPr>
              <w:t>74,3%</w:t>
            </w:r>
          </w:p>
        </w:tc>
      </w:tr>
      <w:tr w:rsidRPr="009C275C" w:rsidR="00097599" w:rsidTr="009C275C" w14:paraId="0818842A" w14:textId="77777777">
        <w:trPr>
          <w:gridAfter w:val="1"/>
          <w:wAfter w:w="103" w:type="dxa"/>
          <w:trHeight w:val="296"/>
        </w:trPr>
        <w:tc>
          <w:tcPr>
            <w:tcW w:w="585" w:type="dxa"/>
            <w:vAlign w:val="center"/>
            <w:hideMark/>
          </w:tcPr>
          <w:p w:rsidRPr="009C275C" w:rsidR="00097599" w:rsidP="009C275C" w:rsidRDefault="00097599" w14:paraId="7BE7945D" w14:textId="77777777">
            <w:pPr>
              <w:spacing w:after="0" w:line="240" w:lineRule="auto"/>
              <w:jc w:val="center"/>
              <w:rPr>
                <w:rFonts w:ascii="Verdana" w:hAnsi="Verdana" w:eastAsia="Times New Roman" w:cs="Times New Roman"/>
                <w:color w:val="000000"/>
                <w:sz w:val="18"/>
                <w:szCs w:val="18"/>
                <w:lang w:eastAsia="es-CO"/>
              </w:rPr>
            </w:pPr>
            <w:r w:rsidRPr="009C275C">
              <w:rPr>
                <w:rFonts w:ascii="Verdana" w:hAnsi="Verdana" w:eastAsia="Times New Roman" w:cs="Times New Roman"/>
                <w:color w:val="000000"/>
                <w:sz w:val="18"/>
                <w:szCs w:val="18"/>
                <w:lang w:eastAsia="es-CO"/>
              </w:rPr>
              <w:t>SGC</w:t>
            </w:r>
          </w:p>
        </w:tc>
        <w:tc>
          <w:tcPr>
            <w:tcW w:w="864" w:type="dxa"/>
            <w:noWrap/>
            <w:vAlign w:val="center"/>
            <w:hideMark/>
          </w:tcPr>
          <w:p w:rsidRPr="009C275C" w:rsidR="00097599" w:rsidP="009C275C" w:rsidRDefault="00097599" w14:paraId="7E33B961"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$ 210.638</w:t>
            </w:r>
          </w:p>
        </w:tc>
        <w:tc>
          <w:tcPr>
            <w:tcW w:w="899" w:type="dxa"/>
            <w:noWrap/>
            <w:vAlign w:val="center"/>
            <w:hideMark/>
          </w:tcPr>
          <w:p w:rsidRPr="009C275C" w:rsidR="00097599" w:rsidP="009C275C" w:rsidRDefault="00097599" w14:paraId="215BB959"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$ 81.000</w:t>
            </w:r>
          </w:p>
        </w:tc>
        <w:tc>
          <w:tcPr>
            <w:tcW w:w="1194" w:type="dxa"/>
            <w:noWrap/>
            <w:vAlign w:val="center"/>
            <w:hideMark/>
          </w:tcPr>
          <w:p w:rsidRPr="009C275C" w:rsidR="00097599" w:rsidP="009C275C" w:rsidRDefault="00097599" w14:paraId="56E24F97"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$ 1.000</w:t>
            </w:r>
          </w:p>
        </w:tc>
        <w:tc>
          <w:tcPr>
            <w:tcW w:w="864" w:type="dxa"/>
            <w:noWrap/>
            <w:vAlign w:val="center"/>
            <w:hideMark/>
          </w:tcPr>
          <w:p w:rsidRPr="009C275C" w:rsidR="00097599" w:rsidP="009C275C" w:rsidRDefault="00097599" w14:paraId="43143FE7"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$ 1.306</w:t>
            </w:r>
          </w:p>
        </w:tc>
        <w:tc>
          <w:tcPr>
            <w:tcW w:w="864" w:type="dxa"/>
            <w:noWrap/>
            <w:vAlign w:val="center"/>
            <w:hideMark/>
          </w:tcPr>
          <w:p w:rsidRPr="009C275C" w:rsidR="00097599" w:rsidP="009C275C" w:rsidRDefault="00097599" w14:paraId="7AE457E8"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w:t>
            </w:r>
          </w:p>
        </w:tc>
        <w:tc>
          <w:tcPr>
            <w:tcW w:w="967" w:type="dxa"/>
            <w:noWrap/>
            <w:vAlign w:val="center"/>
            <w:hideMark/>
          </w:tcPr>
          <w:p w:rsidRPr="009C275C" w:rsidR="00097599" w:rsidP="009C275C" w:rsidRDefault="00097599" w14:paraId="250D5B11"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$ 32.122</w:t>
            </w:r>
          </w:p>
        </w:tc>
        <w:tc>
          <w:tcPr>
            <w:tcW w:w="610" w:type="dxa"/>
            <w:vAlign w:val="center"/>
            <w:hideMark/>
          </w:tcPr>
          <w:p w:rsidRPr="009C275C" w:rsidR="00097599" w:rsidP="009C275C" w:rsidRDefault="00097599" w14:paraId="0C6B515A" w14:textId="77777777">
            <w:pPr>
              <w:spacing w:after="0" w:line="240" w:lineRule="auto"/>
              <w:jc w:val="right"/>
              <w:rPr>
                <w:rFonts w:ascii="Verdana" w:hAnsi="Verdana" w:eastAsia="Times New Roman" w:cs="Times New Roman"/>
                <w:color w:val="000000"/>
                <w:sz w:val="10"/>
                <w:szCs w:val="10"/>
                <w:lang w:eastAsia="es-CO"/>
              </w:rPr>
            </w:pPr>
            <w:r w:rsidRPr="009C275C">
              <w:rPr>
                <w:rFonts w:ascii="Verdana" w:hAnsi="Verdana" w:eastAsia="Times New Roman" w:cs="Times New Roman"/>
                <w:color w:val="000000"/>
                <w:sz w:val="10"/>
                <w:szCs w:val="10"/>
                <w:lang w:eastAsia="es-CO"/>
              </w:rPr>
              <w:t>24,6%</w:t>
            </w:r>
          </w:p>
        </w:tc>
        <w:tc>
          <w:tcPr>
            <w:tcW w:w="918" w:type="dxa"/>
            <w:noWrap/>
            <w:vAlign w:val="center"/>
            <w:hideMark/>
          </w:tcPr>
          <w:p w:rsidRPr="009C275C" w:rsidR="00097599" w:rsidP="009C275C" w:rsidRDefault="00097599" w14:paraId="0C1CA9B0"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$ 30.582</w:t>
            </w:r>
          </w:p>
        </w:tc>
        <w:tc>
          <w:tcPr>
            <w:tcW w:w="610" w:type="dxa"/>
            <w:noWrap/>
            <w:vAlign w:val="center"/>
            <w:hideMark/>
          </w:tcPr>
          <w:p w:rsidRPr="009C275C" w:rsidR="00097599" w:rsidP="009C275C" w:rsidRDefault="00097599" w14:paraId="42A67D0F" w14:textId="77777777">
            <w:pPr>
              <w:spacing w:after="0" w:line="240" w:lineRule="auto"/>
              <w:jc w:val="right"/>
              <w:rPr>
                <w:rFonts w:ascii="Verdana" w:hAnsi="Verdana" w:eastAsia="Times New Roman" w:cs="Times New Roman"/>
                <w:color w:val="000000"/>
                <w:sz w:val="10"/>
                <w:szCs w:val="10"/>
                <w:lang w:eastAsia="es-CO"/>
              </w:rPr>
            </w:pPr>
            <w:r w:rsidRPr="009C275C">
              <w:rPr>
                <w:rFonts w:ascii="Verdana" w:hAnsi="Verdana" w:eastAsia="Times New Roman" w:cs="Times New Roman"/>
                <w:color w:val="000000"/>
                <w:sz w:val="10"/>
                <w:szCs w:val="10"/>
                <w:lang w:eastAsia="es-CO"/>
              </w:rPr>
              <w:t>23,4%</w:t>
            </w:r>
          </w:p>
        </w:tc>
      </w:tr>
      <w:tr w:rsidRPr="009C275C" w:rsidR="00097599" w:rsidTr="009C275C" w14:paraId="19A3B721" w14:textId="77777777">
        <w:trPr>
          <w:gridAfter w:val="1"/>
          <w:wAfter w:w="103" w:type="dxa"/>
          <w:trHeight w:val="296"/>
        </w:trPr>
        <w:tc>
          <w:tcPr>
            <w:tcW w:w="585" w:type="dxa"/>
            <w:vAlign w:val="center"/>
            <w:hideMark/>
          </w:tcPr>
          <w:p w:rsidRPr="009C275C" w:rsidR="00097599" w:rsidP="009C275C" w:rsidRDefault="00097599" w14:paraId="2F92FF53" w14:textId="77777777">
            <w:pPr>
              <w:spacing w:after="0" w:line="240" w:lineRule="auto"/>
              <w:jc w:val="center"/>
              <w:rPr>
                <w:rFonts w:ascii="Verdana" w:hAnsi="Verdana" w:eastAsia="Times New Roman" w:cs="Times New Roman"/>
                <w:color w:val="000000"/>
                <w:sz w:val="18"/>
                <w:szCs w:val="18"/>
                <w:lang w:eastAsia="es-CO"/>
              </w:rPr>
            </w:pPr>
            <w:r w:rsidRPr="009C275C">
              <w:rPr>
                <w:rFonts w:ascii="Verdana" w:hAnsi="Verdana" w:eastAsia="Times New Roman" w:cs="Times New Roman"/>
                <w:color w:val="000000"/>
                <w:sz w:val="18"/>
                <w:szCs w:val="18"/>
                <w:lang w:eastAsia="es-CO"/>
              </w:rPr>
              <w:t>UPME</w:t>
            </w:r>
          </w:p>
        </w:tc>
        <w:tc>
          <w:tcPr>
            <w:tcW w:w="864" w:type="dxa"/>
            <w:noWrap/>
            <w:vAlign w:val="center"/>
            <w:hideMark/>
          </w:tcPr>
          <w:p w:rsidRPr="009C275C" w:rsidR="00097599" w:rsidP="009C275C" w:rsidRDefault="00097599" w14:paraId="3559D23E"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$ 26.962</w:t>
            </w:r>
          </w:p>
        </w:tc>
        <w:tc>
          <w:tcPr>
            <w:tcW w:w="899" w:type="dxa"/>
            <w:noWrap/>
            <w:vAlign w:val="center"/>
            <w:hideMark/>
          </w:tcPr>
          <w:p w:rsidRPr="009C275C" w:rsidR="00097599" w:rsidP="009C275C" w:rsidRDefault="00097599" w14:paraId="51E36C1D"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w:t>
            </w:r>
          </w:p>
        </w:tc>
        <w:tc>
          <w:tcPr>
            <w:tcW w:w="1194" w:type="dxa"/>
            <w:noWrap/>
            <w:vAlign w:val="center"/>
            <w:hideMark/>
          </w:tcPr>
          <w:p w:rsidRPr="009C275C" w:rsidR="00097599" w:rsidP="009C275C" w:rsidRDefault="00097599" w14:paraId="1CB77B57"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$ 750.000</w:t>
            </w:r>
          </w:p>
        </w:tc>
        <w:tc>
          <w:tcPr>
            <w:tcW w:w="864" w:type="dxa"/>
            <w:noWrap/>
            <w:vAlign w:val="center"/>
            <w:hideMark/>
          </w:tcPr>
          <w:p w:rsidRPr="009C275C" w:rsidR="00097599" w:rsidP="009C275C" w:rsidRDefault="00097599" w14:paraId="4603742C"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$ 27.712</w:t>
            </w:r>
          </w:p>
        </w:tc>
        <w:tc>
          <w:tcPr>
            <w:tcW w:w="864" w:type="dxa"/>
            <w:noWrap/>
            <w:vAlign w:val="center"/>
            <w:hideMark/>
          </w:tcPr>
          <w:p w:rsidRPr="009C275C" w:rsidR="00097599" w:rsidP="009C275C" w:rsidRDefault="00097599" w14:paraId="0D8CA556"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w:t>
            </w:r>
          </w:p>
        </w:tc>
        <w:tc>
          <w:tcPr>
            <w:tcW w:w="967" w:type="dxa"/>
            <w:noWrap/>
            <w:vAlign w:val="center"/>
            <w:hideMark/>
          </w:tcPr>
          <w:p w:rsidRPr="009C275C" w:rsidR="00097599" w:rsidP="009C275C" w:rsidRDefault="00097599" w14:paraId="67AF968D"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$ 26.466</w:t>
            </w:r>
          </w:p>
        </w:tc>
        <w:tc>
          <w:tcPr>
            <w:tcW w:w="610" w:type="dxa"/>
            <w:vAlign w:val="center"/>
            <w:hideMark/>
          </w:tcPr>
          <w:p w:rsidRPr="009C275C" w:rsidR="00097599" w:rsidP="009C275C" w:rsidRDefault="00097599" w14:paraId="562F95E8" w14:textId="77777777">
            <w:pPr>
              <w:spacing w:after="0" w:line="240" w:lineRule="auto"/>
              <w:jc w:val="right"/>
              <w:rPr>
                <w:rFonts w:ascii="Verdana" w:hAnsi="Verdana" w:eastAsia="Times New Roman" w:cs="Times New Roman"/>
                <w:color w:val="000000"/>
                <w:sz w:val="10"/>
                <w:szCs w:val="10"/>
                <w:lang w:eastAsia="es-CO"/>
              </w:rPr>
            </w:pPr>
            <w:r w:rsidRPr="009C275C">
              <w:rPr>
                <w:rFonts w:ascii="Verdana" w:hAnsi="Verdana" w:eastAsia="Times New Roman" w:cs="Times New Roman"/>
                <w:color w:val="000000"/>
                <w:sz w:val="10"/>
                <w:szCs w:val="10"/>
                <w:lang w:eastAsia="es-CO"/>
              </w:rPr>
              <w:t>95,5%</w:t>
            </w:r>
          </w:p>
        </w:tc>
        <w:tc>
          <w:tcPr>
            <w:tcW w:w="918" w:type="dxa"/>
            <w:noWrap/>
            <w:vAlign w:val="center"/>
            <w:hideMark/>
          </w:tcPr>
          <w:p w:rsidRPr="009C275C" w:rsidR="00097599" w:rsidP="009C275C" w:rsidRDefault="00097599" w14:paraId="7A96DAB1"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$ 26.409</w:t>
            </w:r>
          </w:p>
        </w:tc>
        <w:tc>
          <w:tcPr>
            <w:tcW w:w="610" w:type="dxa"/>
            <w:noWrap/>
            <w:vAlign w:val="center"/>
            <w:hideMark/>
          </w:tcPr>
          <w:p w:rsidRPr="009C275C" w:rsidR="00097599" w:rsidP="009C275C" w:rsidRDefault="00097599" w14:paraId="0850AA58" w14:textId="77777777">
            <w:pPr>
              <w:spacing w:after="0" w:line="240" w:lineRule="auto"/>
              <w:jc w:val="right"/>
              <w:rPr>
                <w:rFonts w:ascii="Verdana" w:hAnsi="Verdana" w:eastAsia="Times New Roman" w:cs="Times New Roman"/>
                <w:color w:val="000000"/>
                <w:sz w:val="10"/>
                <w:szCs w:val="10"/>
                <w:lang w:eastAsia="es-CO"/>
              </w:rPr>
            </w:pPr>
            <w:r w:rsidRPr="009C275C">
              <w:rPr>
                <w:rFonts w:ascii="Verdana" w:hAnsi="Verdana" w:eastAsia="Times New Roman" w:cs="Times New Roman"/>
                <w:color w:val="000000"/>
                <w:sz w:val="10"/>
                <w:szCs w:val="10"/>
                <w:lang w:eastAsia="es-CO"/>
              </w:rPr>
              <w:t>95,3%</w:t>
            </w:r>
          </w:p>
        </w:tc>
      </w:tr>
      <w:tr w:rsidRPr="009C275C" w:rsidR="00097599" w:rsidTr="009C275C" w14:paraId="38F15877" w14:textId="77777777">
        <w:trPr>
          <w:gridAfter w:val="1"/>
          <w:wAfter w:w="103" w:type="dxa"/>
          <w:trHeight w:val="450"/>
        </w:trPr>
        <w:tc>
          <w:tcPr>
            <w:tcW w:w="585" w:type="dxa"/>
            <w:vMerge w:val="restart"/>
            <w:shd w:val="clear" w:color="auto" w:fill="BFBFBF" w:themeFill="background1" w:themeFillShade="BF"/>
            <w:vAlign w:val="center"/>
            <w:hideMark/>
          </w:tcPr>
          <w:p w:rsidRPr="009C275C" w:rsidR="00097599" w:rsidP="009C275C" w:rsidRDefault="00097599" w14:paraId="38B53991" w14:textId="77777777">
            <w:pPr>
              <w:spacing w:after="0" w:line="240" w:lineRule="auto"/>
              <w:jc w:val="center"/>
              <w:rPr>
                <w:rFonts w:ascii="Verdana" w:hAnsi="Verdana" w:eastAsia="Times New Roman" w:cs="Times New Roman"/>
                <w:color w:val="000000"/>
                <w:sz w:val="18"/>
                <w:szCs w:val="18"/>
                <w:lang w:eastAsia="es-CO"/>
              </w:rPr>
            </w:pPr>
            <w:r w:rsidRPr="009C275C">
              <w:rPr>
                <w:rFonts w:ascii="Verdana" w:hAnsi="Verdana" w:eastAsia="Times New Roman" w:cs="Times New Roman"/>
                <w:color w:val="000000"/>
                <w:sz w:val="18"/>
                <w:szCs w:val="18"/>
                <w:lang w:eastAsia="es-CO"/>
              </w:rPr>
              <w:t>Total Sector</w:t>
            </w:r>
          </w:p>
        </w:tc>
        <w:tc>
          <w:tcPr>
            <w:tcW w:w="864" w:type="dxa"/>
            <w:vMerge w:val="restart"/>
            <w:shd w:val="clear" w:color="auto" w:fill="BFBFBF" w:themeFill="background1" w:themeFillShade="BF"/>
            <w:noWrap/>
            <w:vAlign w:val="center"/>
            <w:hideMark/>
          </w:tcPr>
          <w:p w:rsidRPr="009C275C" w:rsidR="00097599" w:rsidP="009C275C" w:rsidRDefault="00097599" w14:paraId="1B6E3B95"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$ 5.844.589</w:t>
            </w:r>
          </w:p>
        </w:tc>
        <w:tc>
          <w:tcPr>
            <w:tcW w:w="899" w:type="dxa"/>
            <w:vMerge w:val="restart"/>
            <w:shd w:val="clear" w:color="auto" w:fill="BFBFBF" w:themeFill="background1" w:themeFillShade="BF"/>
            <w:noWrap/>
            <w:vAlign w:val="center"/>
            <w:hideMark/>
          </w:tcPr>
          <w:p w:rsidRPr="009C275C" w:rsidR="00097599" w:rsidP="009C275C" w:rsidRDefault="00097599" w14:paraId="6EF076AD" w14:textId="77777777">
            <w:pPr>
              <w:spacing w:after="0" w:line="240" w:lineRule="auto"/>
              <w:jc w:val="center"/>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$ 199.829</w:t>
            </w:r>
          </w:p>
        </w:tc>
        <w:tc>
          <w:tcPr>
            <w:tcW w:w="1194" w:type="dxa"/>
            <w:vMerge w:val="restart"/>
            <w:shd w:val="clear" w:color="auto" w:fill="BFBFBF" w:themeFill="background1" w:themeFillShade="BF"/>
            <w:noWrap/>
            <w:vAlign w:val="center"/>
            <w:hideMark/>
          </w:tcPr>
          <w:p w:rsidRPr="009C275C" w:rsidR="00097599" w:rsidP="009C275C" w:rsidRDefault="00097599" w14:paraId="1A05C9DB" w14:textId="77777777">
            <w:pPr>
              <w:spacing w:after="0" w:line="240" w:lineRule="auto"/>
              <w:jc w:val="center"/>
              <w:rPr>
                <w:rFonts w:ascii="Verdana" w:hAnsi="Verdana" w:eastAsia="Times New Roman" w:cs="Times New Roman"/>
                <w:sz w:val="12"/>
                <w:szCs w:val="12"/>
                <w:lang w:eastAsia="es-CO"/>
              </w:rPr>
            </w:pPr>
            <w:r w:rsidRPr="009C275C">
              <w:rPr>
                <w:rFonts w:ascii="Verdana" w:hAnsi="Verdana" w:eastAsia="Times New Roman" w:cs="Times New Roman"/>
                <w:sz w:val="12"/>
                <w:szCs w:val="12"/>
                <w:lang w:eastAsia="es-CO"/>
              </w:rPr>
              <w:t>$ 1.642</w:t>
            </w:r>
          </w:p>
        </w:tc>
        <w:tc>
          <w:tcPr>
            <w:tcW w:w="864" w:type="dxa"/>
            <w:vMerge w:val="restart"/>
            <w:shd w:val="clear" w:color="auto" w:fill="BFBFBF" w:themeFill="background1" w:themeFillShade="BF"/>
            <w:noWrap/>
            <w:vAlign w:val="center"/>
            <w:hideMark/>
          </w:tcPr>
          <w:p w:rsidRPr="009C275C" w:rsidR="00097599" w:rsidP="009C275C" w:rsidRDefault="00097599" w14:paraId="6B1D8589" w14:textId="77777777">
            <w:pPr>
              <w:spacing w:after="0" w:line="240" w:lineRule="auto"/>
              <w:jc w:val="center"/>
              <w:rPr>
                <w:rFonts w:ascii="Verdana" w:hAnsi="Verdana" w:eastAsia="Times New Roman" w:cs="Times New Roman"/>
                <w:sz w:val="12"/>
                <w:szCs w:val="12"/>
                <w:lang w:eastAsia="es-CO"/>
              </w:rPr>
            </w:pPr>
            <w:r w:rsidRPr="009C275C">
              <w:rPr>
                <w:rFonts w:ascii="Verdana" w:hAnsi="Verdana" w:eastAsia="Times New Roman" w:cs="Times New Roman"/>
                <w:sz w:val="12"/>
                <w:szCs w:val="12"/>
                <w:lang w:eastAsia="es-CO"/>
              </w:rPr>
              <w:t>$ 7.287.278</w:t>
            </w:r>
          </w:p>
        </w:tc>
        <w:tc>
          <w:tcPr>
            <w:tcW w:w="864" w:type="dxa"/>
            <w:vMerge w:val="restart"/>
            <w:shd w:val="clear" w:color="auto" w:fill="BFBFBF" w:themeFill="background1" w:themeFillShade="BF"/>
            <w:noWrap/>
            <w:vAlign w:val="center"/>
            <w:hideMark/>
          </w:tcPr>
          <w:p w:rsidRPr="009C275C" w:rsidR="00097599" w:rsidP="009C275C" w:rsidRDefault="00097599" w14:paraId="6698D4B3" w14:textId="77777777">
            <w:pPr>
              <w:spacing w:after="0" w:line="240" w:lineRule="auto"/>
              <w:jc w:val="center"/>
              <w:rPr>
                <w:rFonts w:ascii="Verdana" w:hAnsi="Verdana" w:eastAsia="Times New Roman" w:cs="Times New Roman"/>
                <w:sz w:val="12"/>
                <w:szCs w:val="12"/>
                <w:lang w:eastAsia="es-CO"/>
              </w:rPr>
            </w:pPr>
            <w:r w:rsidRPr="009C275C">
              <w:rPr>
                <w:rFonts w:ascii="Verdana" w:hAnsi="Verdana" w:eastAsia="Times New Roman" w:cs="Times New Roman"/>
                <w:color w:val="000000"/>
                <w:sz w:val="12"/>
                <w:szCs w:val="12"/>
                <w:lang w:eastAsia="es-CO"/>
              </w:rPr>
              <w:t xml:space="preserve">                 $</w:t>
            </w:r>
          </w:p>
        </w:tc>
        <w:tc>
          <w:tcPr>
            <w:tcW w:w="967" w:type="dxa"/>
            <w:vMerge w:val="restart"/>
            <w:shd w:val="clear" w:color="auto" w:fill="BFBFBF" w:themeFill="background1" w:themeFillShade="BF"/>
            <w:noWrap/>
            <w:vAlign w:val="center"/>
            <w:hideMark/>
          </w:tcPr>
          <w:p w:rsidRPr="009C275C" w:rsidR="00097599" w:rsidP="009C275C" w:rsidRDefault="00097599" w14:paraId="1024C1A7" w14:textId="77777777">
            <w:pPr>
              <w:spacing w:after="0" w:line="240" w:lineRule="auto"/>
              <w:jc w:val="center"/>
              <w:rPr>
                <w:rFonts w:ascii="Verdana" w:hAnsi="Verdana" w:eastAsia="Times New Roman" w:cs="Times New Roman"/>
                <w:sz w:val="12"/>
                <w:szCs w:val="12"/>
                <w:lang w:eastAsia="es-CO"/>
              </w:rPr>
            </w:pPr>
            <w:r w:rsidRPr="009C275C">
              <w:rPr>
                <w:rFonts w:ascii="Verdana" w:hAnsi="Verdana" w:eastAsia="Times New Roman" w:cs="Times New Roman"/>
                <w:sz w:val="12"/>
                <w:szCs w:val="12"/>
                <w:lang w:eastAsia="es-CO"/>
              </w:rPr>
              <w:t>$ 6.647</w:t>
            </w:r>
          </w:p>
        </w:tc>
        <w:tc>
          <w:tcPr>
            <w:tcW w:w="610" w:type="dxa"/>
            <w:vMerge w:val="restart"/>
            <w:shd w:val="clear" w:color="auto" w:fill="BFBFBF" w:themeFill="background1" w:themeFillShade="BF"/>
            <w:vAlign w:val="center"/>
            <w:hideMark/>
          </w:tcPr>
          <w:p w:rsidRPr="009C275C" w:rsidR="00097599" w:rsidP="009C275C" w:rsidRDefault="00097599" w14:paraId="6D25E959" w14:textId="77777777">
            <w:pPr>
              <w:spacing w:after="0" w:line="240" w:lineRule="auto"/>
              <w:jc w:val="center"/>
              <w:rPr>
                <w:rFonts w:ascii="Verdana" w:hAnsi="Verdana" w:eastAsia="Times New Roman" w:cs="Times New Roman"/>
                <w:color w:val="000000"/>
                <w:sz w:val="10"/>
                <w:szCs w:val="10"/>
                <w:lang w:eastAsia="es-CO"/>
              </w:rPr>
            </w:pPr>
            <w:r w:rsidRPr="009C275C">
              <w:rPr>
                <w:rFonts w:ascii="Verdana" w:hAnsi="Verdana" w:eastAsia="Times New Roman" w:cs="Times New Roman"/>
                <w:color w:val="000000"/>
                <w:sz w:val="10"/>
                <w:szCs w:val="10"/>
                <w:lang w:eastAsia="es-CO"/>
              </w:rPr>
              <w:t>91,2%</w:t>
            </w:r>
          </w:p>
        </w:tc>
        <w:tc>
          <w:tcPr>
            <w:tcW w:w="918" w:type="dxa"/>
            <w:vMerge w:val="restart"/>
            <w:shd w:val="clear" w:color="auto" w:fill="BFBFBF" w:themeFill="background1" w:themeFillShade="BF"/>
            <w:noWrap/>
            <w:vAlign w:val="center"/>
            <w:hideMark/>
          </w:tcPr>
          <w:p w:rsidRPr="009C275C" w:rsidR="00097599" w:rsidP="009C275C" w:rsidRDefault="00097599" w14:paraId="6275F8AF" w14:textId="77777777">
            <w:pPr>
              <w:spacing w:after="0" w:line="240" w:lineRule="auto"/>
              <w:jc w:val="center"/>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$ 6.239</w:t>
            </w:r>
          </w:p>
        </w:tc>
        <w:tc>
          <w:tcPr>
            <w:tcW w:w="610" w:type="dxa"/>
            <w:vMerge w:val="restart"/>
            <w:shd w:val="clear" w:color="auto" w:fill="BFBFBF" w:themeFill="background1" w:themeFillShade="BF"/>
            <w:noWrap/>
            <w:vAlign w:val="center"/>
            <w:hideMark/>
          </w:tcPr>
          <w:p w:rsidRPr="009C275C" w:rsidR="00097599" w:rsidP="009C275C" w:rsidRDefault="00097599" w14:paraId="62D24D6E" w14:textId="77777777">
            <w:pPr>
              <w:spacing w:after="0" w:line="240" w:lineRule="auto"/>
              <w:jc w:val="center"/>
              <w:rPr>
                <w:rFonts w:ascii="Verdana" w:hAnsi="Verdana" w:eastAsia="Times New Roman" w:cs="Times New Roman"/>
                <w:color w:val="000000"/>
                <w:sz w:val="10"/>
                <w:szCs w:val="10"/>
                <w:lang w:eastAsia="es-CO"/>
              </w:rPr>
            </w:pPr>
            <w:r w:rsidRPr="009C275C">
              <w:rPr>
                <w:rFonts w:ascii="Verdana" w:hAnsi="Verdana" w:eastAsia="Times New Roman" w:cs="Times New Roman"/>
                <w:color w:val="000000"/>
                <w:sz w:val="10"/>
                <w:szCs w:val="10"/>
                <w:lang w:eastAsia="es-CO"/>
              </w:rPr>
              <w:t>85,6%</w:t>
            </w:r>
          </w:p>
        </w:tc>
      </w:tr>
      <w:tr w:rsidRPr="009C275C" w:rsidR="00097599" w:rsidTr="009C275C" w14:paraId="2D44FEC4" w14:textId="77777777">
        <w:trPr>
          <w:trHeight w:val="286"/>
        </w:trPr>
        <w:tc>
          <w:tcPr>
            <w:tcW w:w="585" w:type="dxa"/>
            <w:vMerge/>
            <w:vAlign w:val="center"/>
            <w:hideMark/>
          </w:tcPr>
          <w:p w:rsidRPr="009C275C" w:rsidR="00097599" w:rsidP="009C275C" w:rsidRDefault="00097599" w14:paraId="1DDBAF77" w14:textId="77777777">
            <w:pPr>
              <w:spacing w:after="0" w:line="240" w:lineRule="auto"/>
              <w:rPr>
                <w:rFonts w:ascii="Verdana" w:hAnsi="Verdana" w:eastAsia="Times New Roman" w:cs="Times New Roman"/>
                <w:b/>
                <w:bCs/>
                <w:color w:val="000000"/>
                <w:sz w:val="18"/>
                <w:szCs w:val="18"/>
                <w:lang w:eastAsia="es-CO"/>
              </w:rPr>
            </w:pPr>
          </w:p>
        </w:tc>
        <w:tc>
          <w:tcPr>
            <w:tcW w:w="864" w:type="dxa"/>
            <w:vMerge/>
            <w:vAlign w:val="center"/>
            <w:hideMark/>
          </w:tcPr>
          <w:p w:rsidRPr="009C275C" w:rsidR="00097599" w:rsidP="009C275C" w:rsidRDefault="00097599" w14:paraId="0FE720BB" w14:textId="77777777">
            <w:pPr>
              <w:spacing w:after="0" w:line="240" w:lineRule="auto"/>
              <w:rPr>
                <w:rFonts w:ascii="Verdana" w:hAnsi="Verdana" w:eastAsia="Times New Roman" w:cs="Times New Roman"/>
                <w:color w:val="000000"/>
                <w:sz w:val="18"/>
                <w:szCs w:val="18"/>
                <w:lang w:eastAsia="es-CO"/>
              </w:rPr>
            </w:pPr>
          </w:p>
        </w:tc>
        <w:tc>
          <w:tcPr>
            <w:tcW w:w="899" w:type="dxa"/>
            <w:vMerge/>
            <w:vAlign w:val="center"/>
            <w:hideMark/>
          </w:tcPr>
          <w:p w:rsidRPr="009C275C" w:rsidR="00097599" w:rsidP="009C275C" w:rsidRDefault="00097599" w14:paraId="30DF57C3" w14:textId="77777777">
            <w:pPr>
              <w:spacing w:after="0" w:line="240" w:lineRule="auto"/>
              <w:rPr>
                <w:rFonts w:ascii="Verdana" w:hAnsi="Verdana" w:eastAsia="Times New Roman" w:cs="Times New Roman"/>
                <w:color w:val="000000"/>
                <w:sz w:val="18"/>
                <w:szCs w:val="18"/>
                <w:lang w:eastAsia="es-CO"/>
              </w:rPr>
            </w:pPr>
          </w:p>
        </w:tc>
        <w:tc>
          <w:tcPr>
            <w:tcW w:w="1194" w:type="dxa"/>
            <w:vMerge/>
            <w:vAlign w:val="center"/>
            <w:hideMark/>
          </w:tcPr>
          <w:p w:rsidRPr="009C275C" w:rsidR="00097599" w:rsidP="009C275C" w:rsidRDefault="00097599" w14:paraId="0336A5AA" w14:textId="77777777">
            <w:pPr>
              <w:spacing w:after="0" w:line="240" w:lineRule="auto"/>
              <w:rPr>
                <w:rFonts w:ascii="Verdana" w:hAnsi="Verdana" w:eastAsia="Times New Roman" w:cs="Times New Roman"/>
                <w:sz w:val="18"/>
                <w:szCs w:val="18"/>
                <w:lang w:eastAsia="es-CO"/>
              </w:rPr>
            </w:pPr>
          </w:p>
        </w:tc>
        <w:tc>
          <w:tcPr>
            <w:tcW w:w="864" w:type="dxa"/>
            <w:vMerge/>
            <w:vAlign w:val="center"/>
            <w:hideMark/>
          </w:tcPr>
          <w:p w:rsidRPr="009C275C" w:rsidR="00097599" w:rsidP="009C275C" w:rsidRDefault="00097599" w14:paraId="627E2BB8" w14:textId="77777777">
            <w:pPr>
              <w:spacing w:after="0" w:line="240" w:lineRule="auto"/>
              <w:rPr>
                <w:rFonts w:ascii="Verdana" w:hAnsi="Verdana" w:eastAsia="Times New Roman" w:cs="Times New Roman"/>
                <w:sz w:val="18"/>
                <w:szCs w:val="18"/>
                <w:lang w:eastAsia="es-CO"/>
              </w:rPr>
            </w:pPr>
          </w:p>
        </w:tc>
        <w:tc>
          <w:tcPr>
            <w:tcW w:w="864" w:type="dxa"/>
            <w:vMerge/>
            <w:vAlign w:val="center"/>
            <w:hideMark/>
          </w:tcPr>
          <w:p w:rsidRPr="009C275C" w:rsidR="00097599" w:rsidP="009C275C" w:rsidRDefault="00097599" w14:paraId="1D601E32" w14:textId="77777777">
            <w:pPr>
              <w:spacing w:after="0" w:line="240" w:lineRule="auto"/>
              <w:rPr>
                <w:rFonts w:ascii="Verdana" w:hAnsi="Verdana" w:eastAsia="Times New Roman" w:cs="Times New Roman"/>
                <w:sz w:val="18"/>
                <w:szCs w:val="18"/>
                <w:lang w:eastAsia="es-CO"/>
              </w:rPr>
            </w:pPr>
          </w:p>
        </w:tc>
        <w:tc>
          <w:tcPr>
            <w:tcW w:w="967" w:type="dxa"/>
            <w:vMerge/>
            <w:vAlign w:val="center"/>
            <w:hideMark/>
          </w:tcPr>
          <w:p w:rsidRPr="009C275C" w:rsidR="00097599" w:rsidP="009C275C" w:rsidRDefault="00097599" w14:paraId="0B73214F" w14:textId="77777777">
            <w:pPr>
              <w:spacing w:after="0" w:line="240" w:lineRule="auto"/>
              <w:rPr>
                <w:rFonts w:ascii="Verdana" w:hAnsi="Verdana" w:eastAsia="Times New Roman" w:cs="Times New Roman"/>
                <w:sz w:val="18"/>
                <w:szCs w:val="18"/>
                <w:lang w:eastAsia="es-CO"/>
              </w:rPr>
            </w:pPr>
          </w:p>
        </w:tc>
        <w:tc>
          <w:tcPr>
            <w:tcW w:w="610" w:type="dxa"/>
            <w:vMerge/>
            <w:vAlign w:val="center"/>
            <w:hideMark/>
          </w:tcPr>
          <w:p w:rsidRPr="009C275C" w:rsidR="00097599" w:rsidP="009C275C" w:rsidRDefault="00097599" w14:paraId="5AD18F91" w14:textId="77777777">
            <w:pPr>
              <w:spacing w:after="0" w:line="240" w:lineRule="auto"/>
              <w:rPr>
                <w:rFonts w:ascii="Verdana" w:hAnsi="Verdana" w:eastAsia="Times New Roman" w:cs="Times New Roman"/>
                <w:color w:val="000000"/>
                <w:sz w:val="18"/>
                <w:szCs w:val="18"/>
                <w:lang w:eastAsia="es-CO"/>
              </w:rPr>
            </w:pPr>
          </w:p>
        </w:tc>
        <w:tc>
          <w:tcPr>
            <w:tcW w:w="918" w:type="dxa"/>
            <w:vMerge/>
            <w:vAlign w:val="center"/>
            <w:hideMark/>
          </w:tcPr>
          <w:p w:rsidRPr="009C275C" w:rsidR="00097599" w:rsidP="009C275C" w:rsidRDefault="00097599" w14:paraId="347D8C89" w14:textId="77777777">
            <w:pPr>
              <w:spacing w:after="0" w:line="240" w:lineRule="auto"/>
              <w:rPr>
                <w:rFonts w:ascii="Verdana" w:hAnsi="Verdana" w:eastAsia="Times New Roman" w:cs="Times New Roman"/>
                <w:color w:val="000000"/>
                <w:sz w:val="18"/>
                <w:szCs w:val="18"/>
                <w:lang w:eastAsia="es-CO"/>
              </w:rPr>
            </w:pPr>
          </w:p>
        </w:tc>
        <w:tc>
          <w:tcPr>
            <w:tcW w:w="610" w:type="dxa"/>
            <w:vMerge/>
            <w:vAlign w:val="center"/>
            <w:hideMark/>
          </w:tcPr>
          <w:p w:rsidRPr="009C275C" w:rsidR="00097599" w:rsidP="009C275C" w:rsidRDefault="00097599" w14:paraId="4F853BF6" w14:textId="77777777">
            <w:pPr>
              <w:spacing w:after="0" w:line="240" w:lineRule="auto"/>
              <w:rPr>
                <w:rFonts w:ascii="Verdana" w:hAnsi="Verdana" w:eastAsia="Times New Roman" w:cs="Times New Roman"/>
                <w:color w:val="000000"/>
                <w:sz w:val="18"/>
                <w:szCs w:val="18"/>
                <w:lang w:eastAsia="es-CO"/>
              </w:rPr>
            </w:pPr>
          </w:p>
        </w:tc>
        <w:tc>
          <w:tcPr>
            <w:tcW w:w="103" w:type="dxa"/>
            <w:noWrap/>
            <w:vAlign w:val="bottom"/>
            <w:hideMark/>
          </w:tcPr>
          <w:p w:rsidRPr="009C275C" w:rsidR="00097599" w:rsidP="009C275C" w:rsidRDefault="00097599" w14:paraId="455A1E30" w14:textId="77777777">
            <w:pPr>
              <w:spacing w:after="0" w:line="240" w:lineRule="auto"/>
              <w:jc w:val="center"/>
              <w:rPr>
                <w:rFonts w:ascii="Verdana" w:hAnsi="Verdana" w:eastAsia="Times New Roman" w:cs="Times New Roman"/>
                <w:color w:val="000000"/>
                <w:sz w:val="18"/>
                <w:szCs w:val="18"/>
                <w:lang w:eastAsia="es-CO"/>
              </w:rPr>
            </w:pPr>
          </w:p>
        </w:tc>
      </w:tr>
      <w:tr w:rsidRPr="009C275C" w:rsidR="00097599" w:rsidTr="009C275C" w14:paraId="2BE46453" w14:textId="77777777">
        <w:trPr>
          <w:trHeight w:val="296"/>
        </w:trPr>
        <w:tc>
          <w:tcPr>
            <w:tcW w:w="585" w:type="dxa"/>
            <w:vMerge/>
            <w:vAlign w:val="center"/>
            <w:hideMark/>
          </w:tcPr>
          <w:p w:rsidRPr="009C275C" w:rsidR="00097599" w:rsidP="009C275C" w:rsidRDefault="00097599" w14:paraId="4AEE6B30" w14:textId="77777777">
            <w:pPr>
              <w:spacing w:after="0" w:line="240" w:lineRule="auto"/>
              <w:rPr>
                <w:rFonts w:ascii="Verdana" w:hAnsi="Verdana" w:eastAsia="Times New Roman" w:cs="Times New Roman"/>
                <w:b/>
                <w:bCs/>
                <w:color w:val="000000"/>
                <w:sz w:val="18"/>
                <w:szCs w:val="18"/>
                <w:lang w:eastAsia="es-CO"/>
              </w:rPr>
            </w:pPr>
          </w:p>
        </w:tc>
        <w:tc>
          <w:tcPr>
            <w:tcW w:w="864" w:type="dxa"/>
            <w:vMerge/>
            <w:vAlign w:val="center"/>
            <w:hideMark/>
          </w:tcPr>
          <w:p w:rsidRPr="009C275C" w:rsidR="00097599" w:rsidP="009C275C" w:rsidRDefault="00097599" w14:paraId="3792DCF1" w14:textId="77777777">
            <w:pPr>
              <w:spacing w:after="0" w:line="240" w:lineRule="auto"/>
              <w:rPr>
                <w:rFonts w:ascii="Verdana" w:hAnsi="Verdana" w:eastAsia="Times New Roman" w:cs="Times New Roman"/>
                <w:color w:val="000000"/>
                <w:sz w:val="18"/>
                <w:szCs w:val="18"/>
                <w:lang w:eastAsia="es-CO"/>
              </w:rPr>
            </w:pPr>
          </w:p>
        </w:tc>
        <w:tc>
          <w:tcPr>
            <w:tcW w:w="899" w:type="dxa"/>
            <w:vMerge/>
            <w:vAlign w:val="center"/>
            <w:hideMark/>
          </w:tcPr>
          <w:p w:rsidRPr="009C275C" w:rsidR="00097599" w:rsidP="009C275C" w:rsidRDefault="00097599" w14:paraId="1832CE7D" w14:textId="77777777">
            <w:pPr>
              <w:spacing w:after="0" w:line="240" w:lineRule="auto"/>
              <w:rPr>
                <w:rFonts w:ascii="Verdana" w:hAnsi="Verdana" w:eastAsia="Times New Roman" w:cs="Times New Roman"/>
                <w:color w:val="000000"/>
                <w:sz w:val="18"/>
                <w:szCs w:val="18"/>
                <w:lang w:eastAsia="es-CO"/>
              </w:rPr>
            </w:pPr>
          </w:p>
        </w:tc>
        <w:tc>
          <w:tcPr>
            <w:tcW w:w="1194" w:type="dxa"/>
            <w:vMerge/>
            <w:vAlign w:val="center"/>
            <w:hideMark/>
          </w:tcPr>
          <w:p w:rsidRPr="009C275C" w:rsidR="00097599" w:rsidP="009C275C" w:rsidRDefault="00097599" w14:paraId="70284914" w14:textId="77777777">
            <w:pPr>
              <w:spacing w:after="0" w:line="240" w:lineRule="auto"/>
              <w:rPr>
                <w:rFonts w:ascii="Verdana" w:hAnsi="Verdana" w:eastAsia="Times New Roman" w:cs="Times New Roman"/>
                <w:sz w:val="18"/>
                <w:szCs w:val="18"/>
                <w:lang w:eastAsia="es-CO"/>
              </w:rPr>
            </w:pPr>
          </w:p>
        </w:tc>
        <w:tc>
          <w:tcPr>
            <w:tcW w:w="864" w:type="dxa"/>
            <w:vMerge/>
            <w:vAlign w:val="center"/>
            <w:hideMark/>
          </w:tcPr>
          <w:p w:rsidRPr="009C275C" w:rsidR="00097599" w:rsidP="009C275C" w:rsidRDefault="00097599" w14:paraId="548882E5" w14:textId="77777777">
            <w:pPr>
              <w:spacing w:after="0" w:line="240" w:lineRule="auto"/>
              <w:rPr>
                <w:rFonts w:ascii="Verdana" w:hAnsi="Verdana" w:eastAsia="Times New Roman" w:cs="Times New Roman"/>
                <w:sz w:val="18"/>
                <w:szCs w:val="18"/>
                <w:lang w:eastAsia="es-CO"/>
              </w:rPr>
            </w:pPr>
          </w:p>
        </w:tc>
        <w:tc>
          <w:tcPr>
            <w:tcW w:w="864" w:type="dxa"/>
            <w:vMerge/>
            <w:vAlign w:val="center"/>
            <w:hideMark/>
          </w:tcPr>
          <w:p w:rsidRPr="009C275C" w:rsidR="00097599" w:rsidP="009C275C" w:rsidRDefault="00097599" w14:paraId="14126422" w14:textId="77777777">
            <w:pPr>
              <w:spacing w:after="0" w:line="240" w:lineRule="auto"/>
              <w:rPr>
                <w:rFonts w:ascii="Verdana" w:hAnsi="Verdana" w:eastAsia="Times New Roman" w:cs="Times New Roman"/>
                <w:sz w:val="18"/>
                <w:szCs w:val="18"/>
                <w:lang w:eastAsia="es-CO"/>
              </w:rPr>
            </w:pPr>
          </w:p>
        </w:tc>
        <w:tc>
          <w:tcPr>
            <w:tcW w:w="967" w:type="dxa"/>
            <w:vMerge/>
            <w:vAlign w:val="center"/>
            <w:hideMark/>
          </w:tcPr>
          <w:p w:rsidRPr="009C275C" w:rsidR="00097599" w:rsidP="009C275C" w:rsidRDefault="00097599" w14:paraId="20983722" w14:textId="77777777">
            <w:pPr>
              <w:spacing w:after="0" w:line="240" w:lineRule="auto"/>
              <w:rPr>
                <w:rFonts w:ascii="Verdana" w:hAnsi="Verdana" w:eastAsia="Times New Roman" w:cs="Times New Roman"/>
                <w:sz w:val="18"/>
                <w:szCs w:val="18"/>
                <w:lang w:eastAsia="es-CO"/>
              </w:rPr>
            </w:pPr>
          </w:p>
        </w:tc>
        <w:tc>
          <w:tcPr>
            <w:tcW w:w="610" w:type="dxa"/>
            <w:vMerge/>
            <w:vAlign w:val="center"/>
            <w:hideMark/>
          </w:tcPr>
          <w:p w:rsidRPr="009C275C" w:rsidR="00097599" w:rsidP="009C275C" w:rsidRDefault="00097599" w14:paraId="0A87D179" w14:textId="77777777">
            <w:pPr>
              <w:spacing w:after="0" w:line="240" w:lineRule="auto"/>
              <w:rPr>
                <w:rFonts w:ascii="Verdana" w:hAnsi="Verdana" w:eastAsia="Times New Roman" w:cs="Times New Roman"/>
                <w:color w:val="000000"/>
                <w:sz w:val="18"/>
                <w:szCs w:val="18"/>
                <w:lang w:eastAsia="es-CO"/>
              </w:rPr>
            </w:pPr>
          </w:p>
        </w:tc>
        <w:tc>
          <w:tcPr>
            <w:tcW w:w="918" w:type="dxa"/>
            <w:vMerge/>
            <w:vAlign w:val="center"/>
            <w:hideMark/>
          </w:tcPr>
          <w:p w:rsidRPr="009C275C" w:rsidR="00097599" w:rsidP="009C275C" w:rsidRDefault="00097599" w14:paraId="177BB253" w14:textId="77777777">
            <w:pPr>
              <w:spacing w:after="0" w:line="240" w:lineRule="auto"/>
              <w:rPr>
                <w:rFonts w:ascii="Verdana" w:hAnsi="Verdana" w:eastAsia="Times New Roman" w:cs="Times New Roman"/>
                <w:color w:val="000000"/>
                <w:sz w:val="18"/>
                <w:szCs w:val="18"/>
                <w:lang w:eastAsia="es-CO"/>
              </w:rPr>
            </w:pPr>
          </w:p>
        </w:tc>
        <w:tc>
          <w:tcPr>
            <w:tcW w:w="610" w:type="dxa"/>
            <w:vMerge/>
            <w:vAlign w:val="center"/>
            <w:hideMark/>
          </w:tcPr>
          <w:p w:rsidRPr="009C275C" w:rsidR="00097599" w:rsidP="009C275C" w:rsidRDefault="00097599" w14:paraId="7F74E9CC" w14:textId="77777777">
            <w:pPr>
              <w:spacing w:after="0" w:line="240" w:lineRule="auto"/>
              <w:rPr>
                <w:rFonts w:ascii="Verdana" w:hAnsi="Verdana" w:eastAsia="Times New Roman" w:cs="Times New Roman"/>
                <w:color w:val="000000"/>
                <w:sz w:val="18"/>
                <w:szCs w:val="18"/>
                <w:lang w:eastAsia="es-CO"/>
              </w:rPr>
            </w:pPr>
          </w:p>
        </w:tc>
        <w:tc>
          <w:tcPr>
            <w:tcW w:w="103" w:type="dxa"/>
            <w:noWrap/>
            <w:vAlign w:val="bottom"/>
            <w:hideMark/>
          </w:tcPr>
          <w:p w:rsidRPr="009C275C" w:rsidR="00097599" w:rsidP="009C275C" w:rsidRDefault="00097599" w14:paraId="433A3A89" w14:textId="77777777">
            <w:pPr>
              <w:spacing w:after="0" w:line="240" w:lineRule="auto"/>
              <w:rPr>
                <w:rFonts w:ascii="Verdana" w:hAnsi="Verdana" w:eastAsia="Times New Roman" w:cs="Times New Roman"/>
                <w:sz w:val="20"/>
                <w:szCs w:val="20"/>
                <w:lang w:eastAsia="es-CO"/>
              </w:rPr>
            </w:pPr>
          </w:p>
        </w:tc>
      </w:tr>
    </w:tbl>
    <w:p w:rsidRPr="009C275C" w:rsidR="00097599" w:rsidP="009C275C" w:rsidRDefault="00097599" w14:paraId="73E993B9" w14:textId="27658C6E">
      <w:pPr>
        <w:pStyle w:val="Fuente"/>
        <w:spacing w:after="0"/>
        <w:rPr>
          <w:rFonts w:ascii="Verdana" w:hAnsi="Verdana"/>
        </w:rPr>
      </w:pPr>
      <w:r w:rsidRPr="30CF4445" w:rsidR="1A4BBEA3">
        <w:rPr>
          <w:rFonts w:ascii="Verdana" w:hAnsi="Verdana"/>
        </w:rPr>
        <w:t>Fuente: Elaboración propia del Grupo de Programación y Gestión Estratégica de Proyectos con información del SIIF Nación del MinHacienda. Corte a 31 de diciembre de 2023</w:t>
      </w:r>
    </w:p>
    <w:p w:rsidR="00097599" w:rsidP="006A0A13" w:rsidRDefault="00097599" w14:paraId="62D51CA9" w14:textId="77777777">
      <w:pPr>
        <w:pStyle w:val="Fuente"/>
        <w:spacing w:after="0" w:line="360" w:lineRule="auto"/>
        <w:jc w:val="both"/>
        <w:rPr>
          <w:rFonts w:ascii="Verdana" w:hAnsi="Verdana"/>
          <w:sz w:val="24"/>
          <w:szCs w:val="24"/>
        </w:rPr>
      </w:pPr>
    </w:p>
    <w:p w:rsidRPr="009C275C" w:rsidR="009C275C" w:rsidP="006A0A13" w:rsidRDefault="009C275C" w14:paraId="24B9745C" w14:textId="77777777">
      <w:pPr>
        <w:pStyle w:val="Fuente"/>
        <w:spacing w:after="0" w:line="360" w:lineRule="auto"/>
        <w:jc w:val="both"/>
        <w:rPr>
          <w:rFonts w:ascii="Verdana" w:hAnsi="Verdana"/>
          <w:b/>
          <w:bCs/>
          <w:sz w:val="24"/>
          <w:szCs w:val="24"/>
        </w:rPr>
      </w:pPr>
      <w:r w:rsidRPr="009C275C">
        <w:rPr>
          <w:rFonts w:ascii="Verdana" w:hAnsi="Verdana"/>
          <w:b/>
          <w:bCs/>
          <w:sz w:val="24"/>
          <w:szCs w:val="24"/>
        </w:rPr>
        <w:t>Cierre Presupuestal 2024</w:t>
      </w:r>
    </w:p>
    <w:p w:rsidR="009C275C" w:rsidP="006A0A13" w:rsidRDefault="009C275C" w14:paraId="79B1B5A6" w14:textId="77777777">
      <w:pPr>
        <w:pStyle w:val="Fuente"/>
        <w:spacing w:after="0" w:line="360" w:lineRule="auto"/>
        <w:jc w:val="both"/>
        <w:rPr>
          <w:rFonts w:ascii="Verdana" w:hAnsi="Verdana"/>
          <w:sz w:val="24"/>
          <w:szCs w:val="24"/>
        </w:rPr>
      </w:pPr>
    </w:p>
    <w:p w:rsidRPr="009C275C" w:rsidR="009C275C" w:rsidP="006A0A13" w:rsidRDefault="6F33E5B4" w14:paraId="3192A568" w14:textId="155AC612">
      <w:pPr>
        <w:pStyle w:val="Fuente"/>
        <w:spacing w:after="0" w:line="360" w:lineRule="auto"/>
        <w:jc w:val="both"/>
        <w:rPr>
          <w:rFonts w:ascii="Verdana" w:hAnsi="Verdana"/>
          <w:sz w:val="24"/>
          <w:szCs w:val="24"/>
        </w:rPr>
      </w:pPr>
      <w:r w:rsidRPr="0FF05B1B">
        <w:rPr>
          <w:rFonts w:ascii="Verdana" w:hAnsi="Verdana"/>
          <w:sz w:val="24"/>
          <w:szCs w:val="24"/>
        </w:rPr>
        <w:t>El Sector Minero Energético registró una apropiación vigente de $7.525.703 millones, de los cuales se comprometieron $7.288.707 millones, equivalentes al 96,9% de la apropiación total.</w:t>
      </w:r>
    </w:p>
    <w:p w:rsidR="009C275C" w:rsidP="006A0A13" w:rsidRDefault="009C275C" w14:paraId="61E0433F" w14:textId="77777777">
      <w:pPr>
        <w:pStyle w:val="Fuente"/>
        <w:spacing w:after="0" w:line="360" w:lineRule="auto"/>
        <w:jc w:val="both"/>
        <w:rPr>
          <w:rFonts w:ascii="Verdana" w:hAnsi="Verdana"/>
          <w:sz w:val="24"/>
          <w:szCs w:val="24"/>
        </w:rPr>
      </w:pPr>
    </w:p>
    <w:p w:rsidRPr="009C275C" w:rsidR="009C275C" w:rsidP="006A0A13" w:rsidRDefault="009C275C" w14:paraId="7380B820" w14:textId="77777777">
      <w:pPr>
        <w:pStyle w:val="Fuente"/>
        <w:spacing w:after="0" w:line="360" w:lineRule="auto"/>
        <w:jc w:val="both"/>
        <w:rPr>
          <w:rFonts w:ascii="Verdana" w:hAnsi="Verdana"/>
          <w:sz w:val="24"/>
          <w:szCs w:val="24"/>
        </w:rPr>
      </w:pPr>
      <w:r w:rsidRPr="009C275C">
        <w:rPr>
          <w:rFonts w:ascii="Verdana" w:hAnsi="Verdana"/>
          <w:sz w:val="24"/>
          <w:szCs w:val="24"/>
        </w:rPr>
        <w:t xml:space="preserve">El resultado sectorial estuvo determinado principalmente por la participación del Ministerio de Minas y Energía (MME), entidad que concentra la mayor proporción de recursos de inversión del sector, con </w:t>
      </w:r>
      <w:r w:rsidRPr="009C275C">
        <w:rPr>
          <w:rFonts w:ascii="Verdana" w:hAnsi="Verdana"/>
          <w:sz w:val="24"/>
          <w:szCs w:val="24"/>
        </w:rPr>
        <w:t>compromisos por $6.454 millones, lo que corresponde a una ejecución presupuestal del 97,2%.</w:t>
      </w:r>
    </w:p>
    <w:p w:rsidR="009C275C" w:rsidP="006A0A13" w:rsidRDefault="009C275C" w14:paraId="2C24A793" w14:textId="77777777">
      <w:pPr>
        <w:pStyle w:val="Fuente"/>
        <w:spacing w:after="0" w:line="360" w:lineRule="auto"/>
        <w:jc w:val="both"/>
        <w:rPr>
          <w:rFonts w:ascii="Verdana" w:hAnsi="Verdana"/>
          <w:sz w:val="24"/>
          <w:szCs w:val="24"/>
        </w:rPr>
      </w:pPr>
    </w:p>
    <w:p w:rsidRPr="009C275C" w:rsidR="009C275C" w:rsidP="006A0A13" w:rsidRDefault="6F33E5B4" w14:paraId="153D874D" w14:textId="7ED3390B">
      <w:pPr>
        <w:pStyle w:val="Fuente"/>
        <w:spacing w:after="0" w:line="360" w:lineRule="auto"/>
        <w:jc w:val="both"/>
        <w:rPr>
          <w:rFonts w:ascii="Verdana" w:hAnsi="Verdana"/>
          <w:sz w:val="24"/>
          <w:szCs w:val="24"/>
        </w:rPr>
      </w:pPr>
      <w:r w:rsidRPr="30CF4445" w:rsidR="13D0A129">
        <w:rPr>
          <w:rFonts w:ascii="Verdana" w:hAnsi="Verdana"/>
          <w:sz w:val="24"/>
          <w:szCs w:val="24"/>
        </w:rPr>
        <w:t xml:space="preserve">Se destaca el comportamiento de las entidades adscritas en materia de compromisos, encabezadas por la ANH, con compromisos por $365.640 millones y una ejecución del 95,6%; la ANM, con compromisos por $140.582 millones, alcanzando una ejecución del 91,8%; el IPSE, que registró compromisos por $237.413 millones, equivalentes al 95,0% de su apropiación; seguida </w:t>
      </w:r>
      <w:r w:rsidRPr="30CF4445" w:rsidR="3F067EA6">
        <w:rPr>
          <w:rFonts w:ascii="Verdana" w:hAnsi="Verdana"/>
          <w:sz w:val="24"/>
          <w:szCs w:val="24"/>
        </w:rPr>
        <w:t>por</w:t>
      </w:r>
      <w:r w:rsidRPr="30CF4445" w:rsidR="13D0A129">
        <w:rPr>
          <w:rFonts w:ascii="Verdana" w:hAnsi="Verdana"/>
          <w:sz w:val="24"/>
          <w:szCs w:val="24"/>
        </w:rPr>
        <w:t xml:space="preserve"> la CREG, con compromisos por $14.049 millones, correspondientes a una ejecución del 95,1%;  y  el SGC con ejecución en compromisos por valor de $50.058, lo que equivale a 87,2% y la UPME, que registró compromisos por $26.281 millones, equivalentes a una ejecución del 98,7% de su apropiación.</w:t>
      </w:r>
    </w:p>
    <w:p w:rsidR="009C275C" w:rsidP="006A0A13" w:rsidRDefault="009C275C" w14:paraId="747C40BA" w14:textId="77777777">
      <w:pPr>
        <w:pStyle w:val="Fuente"/>
        <w:spacing w:after="0" w:line="360" w:lineRule="auto"/>
        <w:jc w:val="both"/>
        <w:rPr>
          <w:rFonts w:ascii="Verdana" w:hAnsi="Verdana"/>
          <w:sz w:val="24"/>
          <w:szCs w:val="24"/>
        </w:rPr>
      </w:pPr>
    </w:p>
    <w:p w:rsidRPr="009C275C" w:rsidR="009C275C" w:rsidP="006A0A13" w:rsidRDefault="009C275C" w14:paraId="5DCC22C5" w14:textId="77777777">
      <w:pPr>
        <w:pStyle w:val="Fuente"/>
        <w:spacing w:after="0" w:line="360" w:lineRule="auto"/>
        <w:jc w:val="both"/>
        <w:rPr>
          <w:rFonts w:ascii="Verdana" w:hAnsi="Verdana"/>
          <w:sz w:val="24"/>
          <w:szCs w:val="24"/>
        </w:rPr>
      </w:pPr>
      <w:r w:rsidRPr="009C275C">
        <w:rPr>
          <w:rFonts w:ascii="Verdana" w:hAnsi="Verdana"/>
          <w:sz w:val="24"/>
          <w:szCs w:val="24"/>
        </w:rPr>
        <w:t>En conjunto, la vigencia 2024 reflejó una alta capacidad de compromiso de los recursos asignados y un desempeño favorable en la ejecución presupuestal del sector.</w:t>
      </w:r>
    </w:p>
    <w:p w:rsidR="009C275C" w:rsidP="006A0A13" w:rsidRDefault="009C275C" w14:paraId="7B5EBB80" w14:textId="77777777">
      <w:pPr>
        <w:pStyle w:val="Fuente"/>
        <w:spacing w:after="0" w:line="360" w:lineRule="auto"/>
        <w:jc w:val="both"/>
        <w:rPr>
          <w:rFonts w:ascii="Verdana" w:hAnsi="Verdana"/>
          <w:sz w:val="24"/>
          <w:szCs w:val="24"/>
        </w:rPr>
      </w:pPr>
    </w:p>
    <w:p w:rsidRPr="009C275C" w:rsidR="00097599" w:rsidP="006A0A13" w:rsidRDefault="009C275C" w14:paraId="7C4C18D4" w14:textId="77777777">
      <w:pPr>
        <w:pStyle w:val="Fuente"/>
        <w:spacing w:after="0" w:line="360" w:lineRule="auto"/>
        <w:jc w:val="both"/>
        <w:rPr>
          <w:rFonts w:ascii="Verdana" w:hAnsi="Verdana"/>
          <w:sz w:val="24"/>
          <w:szCs w:val="24"/>
        </w:rPr>
      </w:pPr>
      <w:r w:rsidRPr="009C275C">
        <w:rPr>
          <w:rFonts w:ascii="Verdana" w:hAnsi="Verdana"/>
          <w:sz w:val="24"/>
          <w:szCs w:val="24"/>
        </w:rPr>
        <w:t>Frente a la vigencia anterior, se observa un fortalecimiento en la gestión de los compromisos presupuestales, mientras que la ejecución financiera presentó un comportamiento más gradual, acorde con los tiempos de desarrollo y maduración de los proyectos de inversión.</w:t>
      </w:r>
    </w:p>
    <w:p w:rsidR="009C275C" w:rsidP="006A0A13" w:rsidRDefault="009C275C" w14:paraId="0E617C9F" w14:textId="77777777">
      <w:pPr>
        <w:spacing w:after="0" w:line="360" w:lineRule="auto"/>
        <w:jc w:val="center"/>
        <w:rPr>
          <w:rFonts w:ascii="Verdana" w:hAnsi="Verdana"/>
          <w:sz w:val="18"/>
          <w:szCs w:val="18"/>
        </w:rPr>
      </w:pPr>
    </w:p>
    <w:p w:rsidRPr="009C275C" w:rsidR="009C275C" w:rsidP="009C275C" w:rsidRDefault="7B8FDCB2" w14:paraId="4CF6A020" w14:textId="77777777">
      <w:pPr>
        <w:spacing w:after="0" w:line="240" w:lineRule="auto"/>
        <w:jc w:val="center"/>
        <w:rPr>
          <w:rFonts w:ascii="Verdana" w:hAnsi="Verdana"/>
          <w:color w:val="0E2841" w:themeColor="text2"/>
          <w:sz w:val="18"/>
          <w:szCs w:val="18"/>
        </w:rPr>
      </w:pPr>
      <w:r w:rsidRPr="180099B3">
        <w:rPr>
          <w:rFonts w:ascii="Verdana" w:hAnsi="Verdana"/>
          <w:sz w:val="18"/>
          <w:szCs w:val="18"/>
        </w:rPr>
        <w:t xml:space="preserve">Tabla </w:t>
      </w:r>
      <w:r w:rsidRPr="180099B3" w:rsidR="30F40458">
        <w:rPr>
          <w:rFonts w:ascii="Verdana" w:hAnsi="Verdana"/>
          <w:sz w:val="18"/>
          <w:szCs w:val="18"/>
        </w:rPr>
        <w:t>No. 4</w:t>
      </w:r>
      <w:r w:rsidRPr="180099B3" w:rsidR="07FE563D">
        <w:rPr>
          <w:rFonts w:ascii="Verdana" w:hAnsi="Verdana"/>
          <w:sz w:val="18"/>
          <w:szCs w:val="18"/>
        </w:rPr>
        <w:t>5</w:t>
      </w:r>
      <w:r w:rsidRPr="180099B3" w:rsidR="30F40458">
        <w:rPr>
          <w:rFonts w:ascii="Verdana" w:hAnsi="Verdana"/>
          <w:sz w:val="18"/>
          <w:szCs w:val="18"/>
        </w:rPr>
        <w:t>.</w:t>
      </w:r>
      <w:r w:rsidRPr="180099B3">
        <w:rPr>
          <w:rFonts w:ascii="Verdana" w:hAnsi="Verdana"/>
          <w:sz w:val="18"/>
          <w:szCs w:val="18"/>
        </w:rPr>
        <w:t xml:space="preserve"> Ejecución Presupuestal del Sector Minero Energético con corte a 31 de diciembre de 2024</w:t>
      </w:r>
    </w:p>
    <w:tbl>
      <w:tblPr>
        <w:tblW w:w="910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70" w:type="dxa"/>
          <w:right w:w="70" w:type="dxa"/>
        </w:tblCellMar>
        <w:tblLook w:val="04A0" w:firstRow="1" w:lastRow="0" w:firstColumn="1" w:lastColumn="0" w:noHBand="0" w:noVBand="1"/>
      </w:tblPr>
      <w:tblGrid>
        <w:gridCol w:w="652"/>
        <w:gridCol w:w="944"/>
        <w:gridCol w:w="1171"/>
        <w:gridCol w:w="861"/>
        <w:gridCol w:w="975"/>
        <w:gridCol w:w="1035"/>
        <w:gridCol w:w="1055"/>
        <w:gridCol w:w="521"/>
        <w:gridCol w:w="1003"/>
        <w:gridCol w:w="738"/>
        <w:gridCol w:w="147"/>
      </w:tblGrid>
      <w:tr w:rsidRPr="009C275C" w:rsidR="009C275C" w:rsidTr="009C275C" w14:paraId="161F74BD" w14:textId="77777777">
        <w:trPr>
          <w:gridAfter w:val="1"/>
          <w:wAfter w:w="147" w:type="dxa"/>
          <w:trHeight w:val="295"/>
        </w:trPr>
        <w:tc>
          <w:tcPr>
            <w:tcW w:w="652" w:type="dxa"/>
            <w:vMerge w:val="restart"/>
            <w:shd w:val="clear" w:color="auto" w:fill="A6A6A6" w:themeFill="background1" w:themeFillShade="A6"/>
            <w:vAlign w:val="center"/>
            <w:hideMark/>
          </w:tcPr>
          <w:p w:rsidRPr="009C275C" w:rsidR="009C275C" w:rsidP="009C275C" w:rsidRDefault="009C275C" w14:paraId="2C69C697" w14:textId="77777777">
            <w:pPr>
              <w:spacing w:after="0" w:line="240" w:lineRule="auto"/>
              <w:jc w:val="center"/>
              <w:rPr>
                <w:rFonts w:ascii="Verdana" w:hAnsi="Verdana" w:eastAsia="Times New Roman" w:cs="Times New Roman"/>
                <w:b/>
                <w:bCs/>
                <w:color w:val="000000"/>
                <w:sz w:val="12"/>
                <w:szCs w:val="12"/>
                <w:lang w:eastAsia="es-CO"/>
              </w:rPr>
            </w:pPr>
            <w:r w:rsidRPr="009C275C">
              <w:rPr>
                <w:rFonts w:ascii="Verdana" w:hAnsi="Verdana" w:eastAsia="Times New Roman" w:cs="Times New Roman"/>
                <w:b/>
                <w:bCs/>
                <w:color w:val="000000"/>
                <w:sz w:val="12"/>
                <w:szCs w:val="12"/>
                <w:lang w:eastAsia="es-CO"/>
              </w:rPr>
              <w:t>Entidad</w:t>
            </w:r>
          </w:p>
        </w:tc>
        <w:tc>
          <w:tcPr>
            <w:tcW w:w="944" w:type="dxa"/>
            <w:vMerge w:val="restart"/>
            <w:shd w:val="clear" w:color="auto" w:fill="A6A6A6" w:themeFill="background1" w:themeFillShade="A6"/>
            <w:vAlign w:val="center"/>
            <w:hideMark/>
          </w:tcPr>
          <w:p w:rsidRPr="009C275C" w:rsidR="009C275C" w:rsidP="009C275C" w:rsidRDefault="009C275C" w14:paraId="70F455F6" w14:textId="77777777">
            <w:pPr>
              <w:spacing w:after="0" w:line="240" w:lineRule="auto"/>
              <w:jc w:val="center"/>
              <w:rPr>
                <w:rFonts w:ascii="Verdana" w:hAnsi="Verdana" w:eastAsia="Times New Roman" w:cs="Times New Roman"/>
                <w:b/>
                <w:bCs/>
                <w:color w:val="000000"/>
                <w:sz w:val="12"/>
                <w:szCs w:val="12"/>
                <w:lang w:eastAsia="es-CO"/>
              </w:rPr>
            </w:pPr>
            <w:r w:rsidRPr="009C275C">
              <w:rPr>
                <w:rFonts w:ascii="Verdana" w:hAnsi="Verdana" w:eastAsia="Times New Roman" w:cs="Times New Roman"/>
                <w:b/>
                <w:bCs/>
                <w:color w:val="000000"/>
                <w:sz w:val="12"/>
                <w:szCs w:val="12"/>
                <w:lang w:eastAsia="es-CO"/>
              </w:rPr>
              <w:t>Apropiación Inicial 2024</w:t>
            </w:r>
          </w:p>
        </w:tc>
        <w:tc>
          <w:tcPr>
            <w:tcW w:w="1171" w:type="dxa"/>
            <w:vMerge w:val="restart"/>
            <w:shd w:val="clear" w:color="auto" w:fill="A6A6A6" w:themeFill="background1" w:themeFillShade="A6"/>
            <w:vAlign w:val="center"/>
            <w:hideMark/>
          </w:tcPr>
          <w:p w:rsidRPr="009C275C" w:rsidR="009C275C" w:rsidP="009C275C" w:rsidRDefault="009C275C" w14:paraId="6892A6AA" w14:textId="77777777">
            <w:pPr>
              <w:spacing w:after="0" w:line="240" w:lineRule="auto"/>
              <w:jc w:val="center"/>
              <w:rPr>
                <w:rFonts w:ascii="Verdana" w:hAnsi="Verdana" w:eastAsia="Times New Roman" w:cs="Times New Roman"/>
                <w:b/>
                <w:bCs/>
                <w:color w:val="000000"/>
                <w:sz w:val="12"/>
                <w:szCs w:val="12"/>
                <w:lang w:eastAsia="es-CO"/>
              </w:rPr>
            </w:pPr>
            <w:r w:rsidRPr="009C275C">
              <w:rPr>
                <w:rFonts w:ascii="Verdana" w:hAnsi="Verdana" w:eastAsia="Times New Roman" w:cs="Times New Roman"/>
                <w:b/>
                <w:bCs/>
                <w:color w:val="000000"/>
                <w:sz w:val="12"/>
                <w:szCs w:val="12"/>
                <w:lang w:eastAsia="es-CO"/>
              </w:rPr>
              <w:t>Traslados Presupuestales por Reducción</w:t>
            </w:r>
          </w:p>
        </w:tc>
        <w:tc>
          <w:tcPr>
            <w:tcW w:w="861" w:type="dxa"/>
            <w:vMerge w:val="restart"/>
            <w:shd w:val="clear" w:color="auto" w:fill="A6A6A6" w:themeFill="background1" w:themeFillShade="A6"/>
            <w:vAlign w:val="center"/>
            <w:hideMark/>
          </w:tcPr>
          <w:p w:rsidRPr="009C275C" w:rsidR="009C275C" w:rsidP="009C275C" w:rsidRDefault="009C275C" w14:paraId="5D10C1F7" w14:textId="77777777">
            <w:pPr>
              <w:spacing w:after="0" w:line="240" w:lineRule="auto"/>
              <w:jc w:val="center"/>
              <w:rPr>
                <w:rFonts w:ascii="Verdana" w:hAnsi="Verdana" w:eastAsia="Times New Roman" w:cs="Times New Roman"/>
                <w:b/>
                <w:bCs/>
                <w:color w:val="000000"/>
                <w:sz w:val="12"/>
                <w:szCs w:val="12"/>
                <w:lang w:eastAsia="es-CO"/>
              </w:rPr>
            </w:pPr>
            <w:r w:rsidRPr="009C275C">
              <w:rPr>
                <w:rFonts w:ascii="Verdana" w:hAnsi="Verdana" w:eastAsia="Times New Roman" w:cs="Times New Roman"/>
                <w:b/>
                <w:bCs/>
                <w:color w:val="000000"/>
                <w:sz w:val="12"/>
                <w:szCs w:val="12"/>
                <w:lang w:eastAsia="es-CO"/>
              </w:rPr>
              <w:t>Total Adiciones</w:t>
            </w:r>
          </w:p>
        </w:tc>
        <w:tc>
          <w:tcPr>
            <w:tcW w:w="975" w:type="dxa"/>
            <w:shd w:val="clear" w:color="auto" w:fill="A6A6A6" w:themeFill="background1" w:themeFillShade="A6"/>
            <w:vAlign w:val="center"/>
            <w:hideMark/>
          </w:tcPr>
          <w:p w:rsidRPr="009C275C" w:rsidR="009C275C" w:rsidP="009C275C" w:rsidRDefault="009C275C" w14:paraId="66EE0462" w14:textId="77777777">
            <w:pPr>
              <w:spacing w:after="0" w:line="240" w:lineRule="auto"/>
              <w:jc w:val="center"/>
              <w:rPr>
                <w:rFonts w:ascii="Verdana" w:hAnsi="Verdana" w:eastAsia="Times New Roman" w:cs="Times New Roman"/>
                <w:b/>
                <w:bCs/>
                <w:color w:val="000000"/>
                <w:sz w:val="12"/>
                <w:szCs w:val="12"/>
                <w:lang w:eastAsia="es-CO"/>
              </w:rPr>
            </w:pPr>
            <w:r w:rsidRPr="009C275C">
              <w:rPr>
                <w:rFonts w:ascii="Verdana" w:hAnsi="Verdana" w:eastAsia="Times New Roman" w:cs="Times New Roman"/>
                <w:b/>
                <w:bCs/>
                <w:color w:val="000000"/>
                <w:sz w:val="12"/>
                <w:szCs w:val="12"/>
                <w:lang w:eastAsia="es-CO"/>
              </w:rPr>
              <w:t xml:space="preserve"> Apropiación</w:t>
            </w:r>
          </w:p>
        </w:tc>
        <w:tc>
          <w:tcPr>
            <w:tcW w:w="1035" w:type="dxa"/>
            <w:vMerge w:val="restart"/>
            <w:shd w:val="clear" w:color="auto" w:fill="A6A6A6" w:themeFill="background1" w:themeFillShade="A6"/>
            <w:vAlign w:val="center"/>
            <w:hideMark/>
          </w:tcPr>
          <w:p w:rsidRPr="009C275C" w:rsidR="009C275C" w:rsidP="009C275C" w:rsidRDefault="009C275C" w14:paraId="542B13C5" w14:textId="77777777">
            <w:pPr>
              <w:spacing w:after="0" w:line="240" w:lineRule="auto"/>
              <w:jc w:val="center"/>
              <w:rPr>
                <w:rFonts w:ascii="Verdana" w:hAnsi="Verdana" w:eastAsia="Times New Roman" w:cs="Times New Roman"/>
                <w:b/>
                <w:bCs/>
                <w:color w:val="000000"/>
                <w:sz w:val="12"/>
                <w:szCs w:val="12"/>
                <w:lang w:eastAsia="es-CO"/>
              </w:rPr>
            </w:pPr>
            <w:r w:rsidRPr="009C275C">
              <w:rPr>
                <w:rFonts w:ascii="Verdana" w:hAnsi="Verdana" w:eastAsia="Times New Roman" w:cs="Times New Roman"/>
                <w:b/>
                <w:bCs/>
                <w:color w:val="000000"/>
                <w:sz w:val="12"/>
                <w:szCs w:val="12"/>
                <w:lang w:eastAsia="es-CO"/>
              </w:rPr>
              <w:t>Apropiación Bloqueada 2024</w:t>
            </w:r>
          </w:p>
        </w:tc>
        <w:tc>
          <w:tcPr>
            <w:tcW w:w="1055" w:type="dxa"/>
            <w:vMerge w:val="restart"/>
            <w:shd w:val="clear" w:color="auto" w:fill="A6A6A6" w:themeFill="background1" w:themeFillShade="A6"/>
            <w:vAlign w:val="center"/>
            <w:hideMark/>
          </w:tcPr>
          <w:p w:rsidRPr="009C275C" w:rsidR="009C275C" w:rsidP="009C275C" w:rsidRDefault="009C275C" w14:paraId="13A24330" w14:textId="77777777">
            <w:pPr>
              <w:spacing w:after="0" w:line="240" w:lineRule="auto"/>
              <w:jc w:val="center"/>
              <w:rPr>
                <w:rFonts w:ascii="Verdana" w:hAnsi="Verdana" w:eastAsia="Times New Roman" w:cs="Times New Roman"/>
                <w:b/>
                <w:bCs/>
                <w:color w:val="000000"/>
                <w:sz w:val="12"/>
                <w:szCs w:val="12"/>
                <w:lang w:eastAsia="es-CO"/>
              </w:rPr>
            </w:pPr>
            <w:r w:rsidRPr="009C275C">
              <w:rPr>
                <w:rFonts w:ascii="Verdana" w:hAnsi="Verdana" w:eastAsia="Times New Roman" w:cs="Times New Roman"/>
                <w:b/>
                <w:bCs/>
                <w:color w:val="000000"/>
                <w:sz w:val="12"/>
                <w:szCs w:val="12"/>
                <w:lang w:eastAsia="es-CO"/>
              </w:rPr>
              <w:t xml:space="preserve"> Compromisos  </w:t>
            </w:r>
          </w:p>
        </w:tc>
        <w:tc>
          <w:tcPr>
            <w:tcW w:w="521" w:type="dxa"/>
            <w:vMerge w:val="restart"/>
            <w:shd w:val="clear" w:color="auto" w:fill="A6A6A6" w:themeFill="background1" w:themeFillShade="A6"/>
            <w:vAlign w:val="center"/>
            <w:hideMark/>
          </w:tcPr>
          <w:p w:rsidRPr="009C275C" w:rsidR="009C275C" w:rsidP="009C275C" w:rsidRDefault="009C275C" w14:paraId="52F83B03" w14:textId="77777777">
            <w:pPr>
              <w:spacing w:after="0" w:line="240" w:lineRule="auto"/>
              <w:jc w:val="center"/>
              <w:rPr>
                <w:rFonts w:ascii="Verdana" w:hAnsi="Verdana" w:eastAsia="Times New Roman" w:cs="Times New Roman"/>
                <w:b/>
                <w:bCs/>
                <w:color w:val="000000"/>
                <w:sz w:val="12"/>
                <w:szCs w:val="12"/>
                <w:lang w:eastAsia="es-CO"/>
              </w:rPr>
            </w:pPr>
            <w:r w:rsidRPr="009C275C">
              <w:rPr>
                <w:rFonts w:ascii="Verdana" w:hAnsi="Verdana" w:eastAsia="Times New Roman" w:cs="Times New Roman"/>
                <w:b/>
                <w:bCs/>
                <w:color w:val="000000"/>
                <w:sz w:val="12"/>
                <w:szCs w:val="12"/>
                <w:lang w:eastAsia="es-CO"/>
              </w:rPr>
              <w:t>% Comp</w:t>
            </w:r>
          </w:p>
        </w:tc>
        <w:tc>
          <w:tcPr>
            <w:tcW w:w="1003" w:type="dxa"/>
            <w:vMerge w:val="restart"/>
            <w:shd w:val="clear" w:color="auto" w:fill="A6A6A6" w:themeFill="background1" w:themeFillShade="A6"/>
            <w:vAlign w:val="center"/>
            <w:hideMark/>
          </w:tcPr>
          <w:p w:rsidRPr="009C275C" w:rsidR="009C275C" w:rsidP="009C275C" w:rsidRDefault="009C275C" w14:paraId="17FCD33C" w14:textId="77777777">
            <w:pPr>
              <w:spacing w:after="0" w:line="240" w:lineRule="auto"/>
              <w:jc w:val="center"/>
              <w:rPr>
                <w:rFonts w:ascii="Verdana" w:hAnsi="Verdana" w:eastAsia="Times New Roman" w:cs="Times New Roman"/>
                <w:b/>
                <w:bCs/>
                <w:color w:val="000000"/>
                <w:sz w:val="12"/>
                <w:szCs w:val="12"/>
                <w:lang w:eastAsia="es-CO"/>
              </w:rPr>
            </w:pPr>
            <w:r w:rsidRPr="009C275C">
              <w:rPr>
                <w:rFonts w:ascii="Verdana" w:hAnsi="Verdana" w:eastAsia="Times New Roman" w:cs="Times New Roman"/>
                <w:b/>
                <w:bCs/>
                <w:color w:val="000000"/>
                <w:sz w:val="12"/>
                <w:szCs w:val="12"/>
                <w:lang w:eastAsia="es-CO"/>
              </w:rPr>
              <w:t xml:space="preserve"> Obligaciones </w:t>
            </w:r>
          </w:p>
        </w:tc>
        <w:tc>
          <w:tcPr>
            <w:tcW w:w="738" w:type="dxa"/>
            <w:vMerge w:val="restart"/>
            <w:shd w:val="clear" w:color="auto" w:fill="A6A6A6" w:themeFill="background1" w:themeFillShade="A6"/>
            <w:vAlign w:val="center"/>
            <w:hideMark/>
          </w:tcPr>
          <w:p w:rsidRPr="009C275C" w:rsidR="009C275C" w:rsidP="009C275C" w:rsidRDefault="009C275C" w14:paraId="594062E9" w14:textId="77777777">
            <w:pPr>
              <w:spacing w:after="0" w:line="240" w:lineRule="auto"/>
              <w:jc w:val="center"/>
              <w:rPr>
                <w:rFonts w:ascii="Verdana" w:hAnsi="Verdana" w:eastAsia="Times New Roman" w:cs="Times New Roman"/>
                <w:b/>
                <w:bCs/>
                <w:color w:val="000000"/>
                <w:sz w:val="12"/>
                <w:szCs w:val="12"/>
                <w:lang w:eastAsia="es-CO"/>
              </w:rPr>
            </w:pPr>
            <w:r w:rsidRPr="009C275C">
              <w:rPr>
                <w:rFonts w:ascii="Verdana" w:hAnsi="Verdana" w:eastAsia="Times New Roman" w:cs="Times New Roman"/>
                <w:b/>
                <w:bCs/>
                <w:color w:val="000000"/>
                <w:sz w:val="12"/>
                <w:szCs w:val="12"/>
                <w:lang w:eastAsia="es-CO"/>
              </w:rPr>
              <w:t xml:space="preserve">% Oblig.   </w:t>
            </w:r>
          </w:p>
        </w:tc>
      </w:tr>
      <w:tr w:rsidRPr="009C275C" w:rsidR="009C275C" w:rsidTr="00220280" w14:paraId="1811617E" w14:textId="77777777">
        <w:trPr>
          <w:gridAfter w:val="1"/>
          <w:wAfter w:w="147" w:type="dxa"/>
          <w:trHeight w:val="305"/>
        </w:trPr>
        <w:tc>
          <w:tcPr>
            <w:tcW w:w="652" w:type="dxa"/>
            <w:vMerge/>
            <w:vAlign w:val="center"/>
            <w:hideMark/>
          </w:tcPr>
          <w:p w:rsidRPr="009C275C" w:rsidR="009C275C" w:rsidP="009C275C" w:rsidRDefault="009C275C" w14:paraId="4FCE464F" w14:textId="77777777">
            <w:pPr>
              <w:spacing w:after="0" w:line="240" w:lineRule="auto"/>
              <w:rPr>
                <w:rFonts w:ascii="Verdana" w:hAnsi="Verdana" w:eastAsia="Times New Roman" w:cs="Times New Roman"/>
                <w:b/>
                <w:bCs/>
                <w:color w:val="000000"/>
                <w:sz w:val="12"/>
                <w:szCs w:val="12"/>
                <w:lang w:eastAsia="es-CO"/>
              </w:rPr>
            </w:pPr>
          </w:p>
        </w:tc>
        <w:tc>
          <w:tcPr>
            <w:tcW w:w="944" w:type="dxa"/>
            <w:vMerge/>
            <w:vAlign w:val="center"/>
            <w:hideMark/>
          </w:tcPr>
          <w:p w:rsidRPr="009C275C" w:rsidR="009C275C" w:rsidP="009C275C" w:rsidRDefault="009C275C" w14:paraId="376C21C3" w14:textId="77777777">
            <w:pPr>
              <w:spacing w:after="0" w:line="240" w:lineRule="auto"/>
              <w:rPr>
                <w:rFonts w:ascii="Verdana" w:hAnsi="Verdana" w:eastAsia="Times New Roman" w:cs="Times New Roman"/>
                <w:b/>
                <w:bCs/>
                <w:color w:val="000000"/>
                <w:sz w:val="12"/>
                <w:szCs w:val="12"/>
                <w:lang w:eastAsia="es-CO"/>
              </w:rPr>
            </w:pPr>
          </w:p>
        </w:tc>
        <w:tc>
          <w:tcPr>
            <w:tcW w:w="1171" w:type="dxa"/>
            <w:vMerge/>
            <w:vAlign w:val="center"/>
            <w:hideMark/>
          </w:tcPr>
          <w:p w:rsidRPr="009C275C" w:rsidR="009C275C" w:rsidP="009C275C" w:rsidRDefault="009C275C" w14:paraId="4A58003E" w14:textId="77777777">
            <w:pPr>
              <w:spacing w:after="0" w:line="240" w:lineRule="auto"/>
              <w:rPr>
                <w:rFonts w:ascii="Verdana" w:hAnsi="Verdana" w:eastAsia="Times New Roman" w:cs="Times New Roman"/>
                <w:b/>
                <w:bCs/>
                <w:color w:val="000000"/>
                <w:sz w:val="12"/>
                <w:szCs w:val="12"/>
                <w:lang w:eastAsia="es-CO"/>
              </w:rPr>
            </w:pPr>
          </w:p>
        </w:tc>
        <w:tc>
          <w:tcPr>
            <w:tcW w:w="861" w:type="dxa"/>
            <w:vMerge/>
            <w:vAlign w:val="center"/>
            <w:hideMark/>
          </w:tcPr>
          <w:p w:rsidRPr="009C275C" w:rsidR="009C275C" w:rsidP="009C275C" w:rsidRDefault="009C275C" w14:paraId="2D0E3286" w14:textId="77777777">
            <w:pPr>
              <w:spacing w:after="0" w:line="240" w:lineRule="auto"/>
              <w:rPr>
                <w:rFonts w:ascii="Verdana" w:hAnsi="Verdana" w:eastAsia="Times New Roman" w:cs="Times New Roman"/>
                <w:b/>
                <w:bCs/>
                <w:color w:val="000000"/>
                <w:sz w:val="12"/>
                <w:szCs w:val="12"/>
                <w:lang w:eastAsia="es-CO"/>
              </w:rPr>
            </w:pPr>
          </w:p>
        </w:tc>
        <w:tc>
          <w:tcPr>
            <w:tcW w:w="975" w:type="dxa"/>
            <w:shd w:val="clear" w:color="auto" w:fill="A6A6A6" w:themeFill="background1" w:themeFillShade="A6"/>
            <w:vAlign w:val="center"/>
            <w:hideMark/>
          </w:tcPr>
          <w:p w:rsidRPr="009C275C" w:rsidR="009C275C" w:rsidP="009C275C" w:rsidRDefault="009C275C" w14:paraId="14B51D04" w14:textId="77777777">
            <w:pPr>
              <w:spacing w:after="0" w:line="240" w:lineRule="auto"/>
              <w:jc w:val="center"/>
              <w:rPr>
                <w:rFonts w:ascii="Verdana" w:hAnsi="Verdana" w:eastAsia="Times New Roman" w:cs="Times New Roman"/>
                <w:b/>
                <w:bCs/>
                <w:color w:val="000000"/>
                <w:sz w:val="12"/>
                <w:szCs w:val="12"/>
                <w:lang w:eastAsia="es-CO"/>
              </w:rPr>
            </w:pPr>
            <w:r w:rsidRPr="009C275C">
              <w:rPr>
                <w:rFonts w:ascii="Verdana" w:hAnsi="Verdana" w:eastAsia="Times New Roman" w:cs="Times New Roman"/>
                <w:b/>
                <w:bCs/>
                <w:color w:val="000000"/>
                <w:sz w:val="12"/>
                <w:szCs w:val="12"/>
                <w:lang w:eastAsia="es-CO"/>
              </w:rPr>
              <w:t xml:space="preserve">Vigente 2024 </w:t>
            </w:r>
          </w:p>
        </w:tc>
        <w:tc>
          <w:tcPr>
            <w:tcW w:w="1035" w:type="dxa"/>
            <w:vMerge/>
            <w:vAlign w:val="center"/>
            <w:hideMark/>
          </w:tcPr>
          <w:p w:rsidRPr="009C275C" w:rsidR="009C275C" w:rsidP="009C275C" w:rsidRDefault="009C275C" w14:paraId="0326F03C" w14:textId="77777777">
            <w:pPr>
              <w:spacing w:after="0" w:line="240" w:lineRule="auto"/>
              <w:rPr>
                <w:rFonts w:ascii="Verdana" w:hAnsi="Verdana" w:eastAsia="Times New Roman" w:cs="Times New Roman"/>
                <w:b/>
                <w:bCs/>
                <w:color w:val="000000"/>
                <w:sz w:val="12"/>
                <w:szCs w:val="12"/>
                <w:lang w:eastAsia="es-CO"/>
              </w:rPr>
            </w:pPr>
          </w:p>
        </w:tc>
        <w:tc>
          <w:tcPr>
            <w:tcW w:w="1055" w:type="dxa"/>
            <w:vMerge/>
            <w:vAlign w:val="center"/>
            <w:hideMark/>
          </w:tcPr>
          <w:p w:rsidRPr="009C275C" w:rsidR="009C275C" w:rsidP="009C275C" w:rsidRDefault="009C275C" w14:paraId="07DACFBE" w14:textId="77777777">
            <w:pPr>
              <w:spacing w:after="0" w:line="240" w:lineRule="auto"/>
              <w:rPr>
                <w:rFonts w:ascii="Verdana" w:hAnsi="Verdana" w:eastAsia="Times New Roman" w:cs="Times New Roman"/>
                <w:b/>
                <w:bCs/>
                <w:color w:val="000000"/>
                <w:sz w:val="12"/>
                <w:szCs w:val="12"/>
                <w:lang w:eastAsia="es-CO"/>
              </w:rPr>
            </w:pPr>
          </w:p>
        </w:tc>
        <w:tc>
          <w:tcPr>
            <w:tcW w:w="521" w:type="dxa"/>
            <w:vMerge/>
            <w:vAlign w:val="center"/>
            <w:hideMark/>
          </w:tcPr>
          <w:p w:rsidRPr="009C275C" w:rsidR="009C275C" w:rsidP="009C275C" w:rsidRDefault="009C275C" w14:paraId="70606A5D" w14:textId="77777777">
            <w:pPr>
              <w:spacing w:after="0" w:line="240" w:lineRule="auto"/>
              <w:rPr>
                <w:rFonts w:ascii="Verdana" w:hAnsi="Verdana" w:eastAsia="Times New Roman" w:cs="Times New Roman"/>
                <w:b/>
                <w:bCs/>
                <w:color w:val="000000"/>
                <w:sz w:val="12"/>
                <w:szCs w:val="12"/>
                <w:lang w:eastAsia="es-CO"/>
              </w:rPr>
            </w:pPr>
          </w:p>
        </w:tc>
        <w:tc>
          <w:tcPr>
            <w:tcW w:w="1003" w:type="dxa"/>
            <w:vMerge/>
            <w:vAlign w:val="center"/>
            <w:hideMark/>
          </w:tcPr>
          <w:p w:rsidRPr="009C275C" w:rsidR="009C275C" w:rsidP="009C275C" w:rsidRDefault="009C275C" w14:paraId="3DDD676A" w14:textId="77777777">
            <w:pPr>
              <w:spacing w:after="0" w:line="240" w:lineRule="auto"/>
              <w:rPr>
                <w:rFonts w:ascii="Verdana" w:hAnsi="Verdana" w:eastAsia="Times New Roman" w:cs="Times New Roman"/>
                <w:b/>
                <w:bCs/>
                <w:color w:val="000000"/>
                <w:sz w:val="12"/>
                <w:szCs w:val="12"/>
                <w:lang w:eastAsia="es-CO"/>
              </w:rPr>
            </w:pPr>
          </w:p>
        </w:tc>
        <w:tc>
          <w:tcPr>
            <w:tcW w:w="738" w:type="dxa"/>
            <w:vMerge/>
            <w:vAlign w:val="center"/>
            <w:hideMark/>
          </w:tcPr>
          <w:p w:rsidRPr="009C275C" w:rsidR="009C275C" w:rsidP="009C275C" w:rsidRDefault="009C275C" w14:paraId="71D51EF4" w14:textId="77777777">
            <w:pPr>
              <w:spacing w:after="0" w:line="240" w:lineRule="auto"/>
              <w:rPr>
                <w:rFonts w:ascii="Verdana" w:hAnsi="Verdana" w:eastAsia="Times New Roman" w:cs="Times New Roman"/>
                <w:b/>
                <w:bCs/>
                <w:color w:val="000000"/>
                <w:sz w:val="16"/>
                <w:szCs w:val="16"/>
                <w:lang w:eastAsia="es-CO"/>
              </w:rPr>
            </w:pPr>
          </w:p>
        </w:tc>
      </w:tr>
      <w:tr w:rsidRPr="009C275C" w:rsidR="009C275C" w14:paraId="2E881F84" w14:textId="77777777">
        <w:trPr>
          <w:gridAfter w:val="1"/>
          <w:wAfter w:w="147" w:type="dxa"/>
          <w:trHeight w:val="625"/>
        </w:trPr>
        <w:tc>
          <w:tcPr>
            <w:tcW w:w="652" w:type="dxa"/>
            <w:vAlign w:val="center"/>
            <w:hideMark/>
          </w:tcPr>
          <w:p w:rsidRPr="009C275C" w:rsidR="009C275C" w:rsidP="009C275C" w:rsidRDefault="009C275C" w14:paraId="6DD5D325" w14:textId="77777777">
            <w:pPr>
              <w:spacing w:after="0" w:line="240" w:lineRule="auto"/>
              <w:jc w:val="center"/>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MME</w:t>
            </w:r>
          </w:p>
        </w:tc>
        <w:tc>
          <w:tcPr>
            <w:tcW w:w="944" w:type="dxa"/>
            <w:vAlign w:val="center"/>
            <w:hideMark/>
          </w:tcPr>
          <w:p w:rsidRPr="009C275C" w:rsidR="009C275C" w:rsidP="009C275C" w:rsidRDefault="009C275C" w14:paraId="3F12315F"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$ 7.153.966</w:t>
            </w:r>
          </w:p>
        </w:tc>
        <w:tc>
          <w:tcPr>
            <w:tcW w:w="1171" w:type="dxa"/>
            <w:vAlign w:val="center"/>
            <w:hideMark/>
          </w:tcPr>
          <w:p w:rsidRPr="009C275C" w:rsidR="009C275C" w:rsidP="009C275C" w:rsidRDefault="009C275C" w14:paraId="37FCD7F6"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$ 735.305</w:t>
            </w:r>
          </w:p>
        </w:tc>
        <w:tc>
          <w:tcPr>
            <w:tcW w:w="861" w:type="dxa"/>
            <w:vAlign w:val="center"/>
            <w:hideMark/>
          </w:tcPr>
          <w:p w:rsidRPr="009C275C" w:rsidR="009C275C" w:rsidP="009C275C" w:rsidRDefault="009C275C" w14:paraId="79F5D905"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$ 221.930</w:t>
            </w:r>
          </w:p>
        </w:tc>
        <w:tc>
          <w:tcPr>
            <w:tcW w:w="975" w:type="dxa"/>
            <w:vAlign w:val="center"/>
            <w:hideMark/>
          </w:tcPr>
          <w:p w:rsidRPr="009C275C" w:rsidR="009C275C" w:rsidP="009C275C" w:rsidRDefault="009C275C" w14:paraId="6793A128"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$ 6.640</w:t>
            </w:r>
          </w:p>
        </w:tc>
        <w:tc>
          <w:tcPr>
            <w:tcW w:w="1035" w:type="dxa"/>
            <w:vAlign w:val="center"/>
            <w:hideMark/>
          </w:tcPr>
          <w:p w:rsidRPr="009C275C" w:rsidR="009C275C" w:rsidP="009C275C" w:rsidRDefault="009C275C" w14:paraId="259A5D9D"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xml:space="preserve"> $                   - </w:t>
            </w:r>
          </w:p>
        </w:tc>
        <w:tc>
          <w:tcPr>
            <w:tcW w:w="1055" w:type="dxa"/>
            <w:vAlign w:val="center"/>
            <w:hideMark/>
          </w:tcPr>
          <w:p w:rsidRPr="009C275C" w:rsidR="009C275C" w:rsidP="009C275C" w:rsidRDefault="009C275C" w14:paraId="2E0620F6"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$ 6.454.144</w:t>
            </w:r>
          </w:p>
        </w:tc>
        <w:tc>
          <w:tcPr>
            <w:tcW w:w="521" w:type="dxa"/>
            <w:vAlign w:val="center"/>
            <w:hideMark/>
          </w:tcPr>
          <w:p w:rsidRPr="009C275C" w:rsidR="009C275C" w:rsidP="009C275C" w:rsidRDefault="009C275C" w14:paraId="3C2B3770" w14:textId="77777777">
            <w:pPr>
              <w:spacing w:after="0" w:line="240" w:lineRule="auto"/>
              <w:jc w:val="right"/>
              <w:rPr>
                <w:rFonts w:ascii="Verdana" w:hAnsi="Verdana" w:eastAsia="Times New Roman" w:cs="Times New Roman"/>
                <w:color w:val="000000" w:themeColor="text1"/>
                <w:sz w:val="10"/>
                <w:szCs w:val="10"/>
                <w:lang w:eastAsia="es-CO"/>
              </w:rPr>
            </w:pPr>
            <w:r w:rsidRPr="009C275C">
              <w:rPr>
                <w:rFonts w:ascii="Verdana" w:hAnsi="Verdana" w:eastAsia="Times New Roman" w:cs="Times New Roman"/>
                <w:color w:val="000000" w:themeColor="text1"/>
                <w:sz w:val="10"/>
                <w:szCs w:val="10"/>
                <w:lang w:eastAsia="es-CO"/>
              </w:rPr>
              <w:t> </w:t>
            </w:r>
          </w:p>
          <w:p w:rsidRPr="009C275C" w:rsidR="009C275C" w:rsidP="009C275C" w:rsidRDefault="009C275C" w14:paraId="60FA94C2" w14:textId="77777777">
            <w:pPr>
              <w:spacing w:after="0" w:line="240" w:lineRule="auto"/>
              <w:jc w:val="right"/>
              <w:rPr>
                <w:rFonts w:ascii="Verdana" w:hAnsi="Verdana" w:eastAsia="Times New Roman" w:cs="Times New Roman"/>
                <w:color w:val="000000" w:themeColor="text1"/>
                <w:sz w:val="10"/>
                <w:szCs w:val="10"/>
                <w:lang w:eastAsia="es-CO"/>
              </w:rPr>
            </w:pPr>
            <w:r w:rsidRPr="009C275C">
              <w:rPr>
                <w:rFonts w:ascii="Verdana" w:hAnsi="Verdana" w:eastAsia="Times New Roman" w:cs="Times New Roman"/>
                <w:color w:val="000000" w:themeColor="text1"/>
                <w:sz w:val="10"/>
                <w:szCs w:val="10"/>
                <w:lang w:eastAsia="es-CO"/>
              </w:rPr>
              <w:t>97,2%</w:t>
            </w:r>
          </w:p>
        </w:tc>
        <w:tc>
          <w:tcPr>
            <w:tcW w:w="1003" w:type="dxa"/>
            <w:vAlign w:val="center"/>
            <w:hideMark/>
          </w:tcPr>
          <w:p w:rsidRPr="009C275C" w:rsidR="009C275C" w:rsidP="009C275C" w:rsidRDefault="009C275C" w14:paraId="0829C4DA"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$ 3.981.683</w:t>
            </w:r>
          </w:p>
        </w:tc>
        <w:tc>
          <w:tcPr>
            <w:tcW w:w="738" w:type="dxa"/>
            <w:vAlign w:val="center"/>
            <w:hideMark/>
          </w:tcPr>
          <w:p w:rsidRPr="009C275C" w:rsidR="009C275C" w:rsidP="009C275C" w:rsidRDefault="009C275C" w14:paraId="457181AA" w14:textId="77777777">
            <w:pPr>
              <w:spacing w:after="0" w:line="240" w:lineRule="auto"/>
              <w:jc w:val="right"/>
              <w:rPr>
                <w:rFonts w:ascii="Verdana" w:hAnsi="Verdana" w:eastAsia="Times New Roman" w:cs="Times New Roman"/>
                <w:color w:val="000000" w:themeColor="text1"/>
                <w:sz w:val="10"/>
                <w:szCs w:val="10"/>
                <w:lang w:eastAsia="es-CO"/>
              </w:rPr>
            </w:pPr>
            <w:r w:rsidRPr="009C275C">
              <w:rPr>
                <w:rFonts w:ascii="Verdana" w:hAnsi="Verdana" w:eastAsia="Times New Roman" w:cs="Times New Roman"/>
                <w:color w:val="000000" w:themeColor="text1"/>
                <w:sz w:val="10"/>
                <w:szCs w:val="10"/>
                <w:lang w:eastAsia="es-CO"/>
              </w:rPr>
              <w:t>60,0%</w:t>
            </w:r>
          </w:p>
        </w:tc>
      </w:tr>
      <w:tr w:rsidRPr="009C275C" w:rsidR="009C275C" w14:paraId="08DB32C1" w14:textId="77777777">
        <w:trPr>
          <w:gridAfter w:val="1"/>
          <w:wAfter w:w="147" w:type="dxa"/>
          <w:trHeight w:val="762"/>
        </w:trPr>
        <w:tc>
          <w:tcPr>
            <w:tcW w:w="652" w:type="dxa"/>
            <w:vAlign w:val="center"/>
            <w:hideMark/>
          </w:tcPr>
          <w:p w:rsidRPr="009C275C" w:rsidR="009C275C" w:rsidP="009C275C" w:rsidRDefault="009C275C" w14:paraId="372DCCBE" w14:textId="77777777">
            <w:pPr>
              <w:spacing w:after="0" w:line="240" w:lineRule="auto"/>
              <w:jc w:val="center"/>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themeColor="text1"/>
                <w:sz w:val="12"/>
                <w:szCs w:val="12"/>
                <w:lang w:eastAsia="es-CO"/>
              </w:rPr>
              <w:t>ANH</w:t>
            </w:r>
          </w:p>
        </w:tc>
        <w:tc>
          <w:tcPr>
            <w:tcW w:w="944" w:type="dxa"/>
            <w:shd w:val="clear" w:color="auto" w:fill="FFFFFF" w:themeFill="background1"/>
            <w:vAlign w:val="center"/>
            <w:hideMark/>
          </w:tcPr>
          <w:p w:rsidRPr="009C275C" w:rsidR="009C275C" w:rsidP="009C275C" w:rsidRDefault="009C275C" w14:paraId="73145AEE"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themeColor="text1"/>
                <w:sz w:val="12"/>
                <w:szCs w:val="12"/>
                <w:lang w:eastAsia="es-CO"/>
              </w:rPr>
              <w:t>$ 382.525</w:t>
            </w:r>
          </w:p>
        </w:tc>
        <w:tc>
          <w:tcPr>
            <w:tcW w:w="1171" w:type="dxa"/>
            <w:shd w:val="clear" w:color="auto" w:fill="FFFFFF" w:themeFill="background1"/>
            <w:vAlign w:val="center"/>
            <w:hideMark/>
          </w:tcPr>
          <w:p w:rsidRPr="009C275C" w:rsidR="009C275C" w:rsidP="009C275C" w:rsidRDefault="009C275C" w14:paraId="6EF1485B"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w:t>
            </w:r>
          </w:p>
          <w:p w:rsidRPr="009C275C" w:rsidR="009C275C" w:rsidP="009C275C" w:rsidRDefault="009C275C" w14:paraId="3971BA7A"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themeColor="text1"/>
                <w:sz w:val="12"/>
                <w:szCs w:val="12"/>
                <w:lang w:eastAsia="es-CO"/>
              </w:rPr>
              <w:t xml:space="preserve">$ </w:t>
            </w:r>
          </w:p>
        </w:tc>
        <w:tc>
          <w:tcPr>
            <w:tcW w:w="861" w:type="dxa"/>
            <w:shd w:val="clear" w:color="auto" w:fill="FFFFFF" w:themeFill="background1"/>
            <w:vAlign w:val="center"/>
            <w:hideMark/>
          </w:tcPr>
          <w:p w:rsidRPr="009C275C" w:rsidR="009C275C" w:rsidP="009C275C" w:rsidRDefault="009C275C" w14:paraId="5B0BB80E"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themeColor="text1"/>
                <w:sz w:val="12"/>
                <w:szCs w:val="12"/>
                <w:lang w:eastAsia="es-CO"/>
              </w:rPr>
              <w:t> </w:t>
            </w:r>
          </w:p>
          <w:p w:rsidRPr="009C275C" w:rsidR="009C275C" w:rsidP="009C275C" w:rsidRDefault="009C275C" w14:paraId="6BA0D3D7" w14:textId="77777777">
            <w:pPr>
              <w:spacing w:after="0" w:line="240" w:lineRule="auto"/>
              <w:jc w:val="right"/>
              <w:rPr>
                <w:rFonts w:ascii="Verdana" w:hAnsi="Verdana" w:eastAsia="Times New Roman" w:cs="Times New Roman"/>
                <w:color w:val="000000" w:themeColor="text1"/>
                <w:sz w:val="12"/>
                <w:szCs w:val="12"/>
                <w:lang w:eastAsia="es-CO"/>
              </w:rPr>
            </w:pPr>
          </w:p>
          <w:p w:rsidRPr="009C275C" w:rsidR="009C275C" w:rsidP="009C275C" w:rsidRDefault="009C275C" w14:paraId="13EBC862"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w:t>
            </w:r>
          </w:p>
          <w:p w:rsidRPr="009C275C" w:rsidR="009C275C" w:rsidP="009C275C" w:rsidRDefault="009C275C" w14:paraId="57731305"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w:t>
            </w:r>
          </w:p>
        </w:tc>
        <w:tc>
          <w:tcPr>
            <w:tcW w:w="975" w:type="dxa"/>
            <w:shd w:val="clear" w:color="auto" w:fill="FFFFFF" w:themeFill="background1"/>
            <w:vAlign w:val="center"/>
            <w:hideMark/>
          </w:tcPr>
          <w:p w:rsidRPr="009C275C" w:rsidR="009C275C" w:rsidP="009C275C" w:rsidRDefault="009C275C" w14:paraId="74AD823A"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w:t>
            </w:r>
          </w:p>
          <w:p w:rsidRPr="009C275C" w:rsidR="009C275C" w:rsidP="009C275C" w:rsidRDefault="009C275C" w14:paraId="3F69DBFD"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themeColor="text1"/>
                <w:sz w:val="12"/>
                <w:szCs w:val="12"/>
                <w:lang w:eastAsia="es-CO"/>
              </w:rPr>
              <w:t>$ 3.825.249</w:t>
            </w:r>
          </w:p>
          <w:p w:rsidRPr="009C275C" w:rsidR="009C275C" w:rsidP="009C275C" w:rsidRDefault="009C275C" w14:paraId="5B29488F"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w:t>
            </w:r>
          </w:p>
        </w:tc>
        <w:tc>
          <w:tcPr>
            <w:tcW w:w="1035" w:type="dxa"/>
            <w:vAlign w:val="center"/>
            <w:hideMark/>
          </w:tcPr>
          <w:p w:rsidRPr="009C275C" w:rsidR="009C275C" w:rsidP="009C275C" w:rsidRDefault="009C275C" w14:paraId="59D17302"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xml:space="preserve"> $                   - </w:t>
            </w:r>
          </w:p>
        </w:tc>
        <w:tc>
          <w:tcPr>
            <w:tcW w:w="1055" w:type="dxa"/>
            <w:shd w:val="clear" w:color="auto" w:fill="FFFFFF" w:themeFill="background1"/>
            <w:vAlign w:val="center"/>
            <w:hideMark/>
          </w:tcPr>
          <w:p w:rsidRPr="009C275C" w:rsidR="009C275C" w:rsidP="009C275C" w:rsidRDefault="009C275C" w14:paraId="5336047E"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themeColor="text1"/>
                <w:sz w:val="12"/>
                <w:szCs w:val="12"/>
                <w:lang w:eastAsia="es-CO"/>
              </w:rPr>
              <w:t>$365.640</w:t>
            </w:r>
          </w:p>
        </w:tc>
        <w:tc>
          <w:tcPr>
            <w:tcW w:w="521" w:type="dxa"/>
            <w:vAlign w:val="center"/>
            <w:hideMark/>
          </w:tcPr>
          <w:p w:rsidRPr="009C275C" w:rsidR="009C275C" w:rsidP="009C275C" w:rsidRDefault="009C275C" w14:paraId="5A573DC6" w14:textId="77777777">
            <w:pPr>
              <w:spacing w:after="0" w:line="240" w:lineRule="auto"/>
              <w:jc w:val="right"/>
              <w:rPr>
                <w:rFonts w:ascii="Verdana" w:hAnsi="Verdana" w:eastAsia="Times New Roman" w:cs="Times New Roman"/>
                <w:color w:val="000000"/>
                <w:sz w:val="10"/>
                <w:szCs w:val="10"/>
                <w:lang w:eastAsia="es-CO"/>
              </w:rPr>
            </w:pPr>
            <w:r w:rsidRPr="009C275C">
              <w:rPr>
                <w:rFonts w:ascii="Verdana" w:hAnsi="Verdana" w:eastAsia="Times New Roman" w:cs="Times New Roman"/>
                <w:color w:val="000000"/>
                <w:sz w:val="10"/>
                <w:szCs w:val="10"/>
                <w:lang w:eastAsia="es-CO"/>
              </w:rPr>
              <w:t> </w:t>
            </w:r>
          </w:p>
          <w:p w:rsidRPr="009C275C" w:rsidR="009C275C" w:rsidP="009C275C" w:rsidRDefault="009C275C" w14:paraId="5FE9B343" w14:textId="77777777">
            <w:pPr>
              <w:spacing w:after="0" w:line="240" w:lineRule="auto"/>
              <w:jc w:val="right"/>
              <w:rPr>
                <w:rFonts w:ascii="Verdana" w:hAnsi="Verdana" w:eastAsia="Times New Roman" w:cs="Times New Roman"/>
                <w:color w:val="000000"/>
                <w:sz w:val="10"/>
                <w:szCs w:val="10"/>
                <w:lang w:eastAsia="es-CO"/>
              </w:rPr>
            </w:pPr>
            <w:r w:rsidRPr="009C275C">
              <w:rPr>
                <w:rFonts w:ascii="Verdana" w:hAnsi="Verdana" w:eastAsia="Times New Roman" w:cs="Times New Roman"/>
                <w:color w:val="000000" w:themeColor="text1"/>
                <w:sz w:val="10"/>
                <w:szCs w:val="10"/>
                <w:lang w:eastAsia="es-CO"/>
              </w:rPr>
              <w:t>95,6%</w:t>
            </w:r>
          </w:p>
          <w:p w:rsidRPr="009C275C" w:rsidR="009C275C" w:rsidP="009C275C" w:rsidRDefault="009C275C" w14:paraId="238F057B" w14:textId="77777777">
            <w:pPr>
              <w:spacing w:after="0" w:line="240" w:lineRule="auto"/>
              <w:jc w:val="right"/>
              <w:rPr>
                <w:rFonts w:ascii="Verdana" w:hAnsi="Verdana" w:eastAsia="Times New Roman" w:cs="Times New Roman"/>
                <w:color w:val="000000"/>
                <w:sz w:val="10"/>
                <w:szCs w:val="10"/>
                <w:lang w:eastAsia="es-CO"/>
              </w:rPr>
            </w:pPr>
            <w:r w:rsidRPr="009C275C">
              <w:rPr>
                <w:rFonts w:ascii="Verdana" w:hAnsi="Verdana" w:eastAsia="Times New Roman" w:cs="Times New Roman"/>
                <w:color w:val="000000"/>
                <w:sz w:val="10"/>
                <w:szCs w:val="10"/>
                <w:lang w:eastAsia="es-CO"/>
              </w:rPr>
              <w:t> </w:t>
            </w:r>
          </w:p>
        </w:tc>
        <w:tc>
          <w:tcPr>
            <w:tcW w:w="1003" w:type="dxa"/>
            <w:vAlign w:val="center"/>
            <w:hideMark/>
          </w:tcPr>
          <w:p w:rsidRPr="009C275C" w:rsidR="009C275C" w:rsidP="009C275C" w:rsidRDefault="009C275C" w14:paraId="40D207FD"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themeColor="text1"/>
                <w:sz w:val="12"/>
                <w:szCs w:val="12"/>
                <w:lang w:eastAsia="es-CO"/>
              </w:rPr>
              <w:t>$ 244.935</w:t>
            </w:r>
          </w:p>
        </w:tc>
        <w:tc>
          <w:tcPr>
            <w:tcW w:w="738" w:type="dxa"/>
            <w:vAlign w:val="center"/>
            <w:hideMark/>
          </w:tcPr>
          <w:p w:rsidRPr="009C275C" w:rsidR="009C275C" w:rsidP="009C275C" w:rsidRDefault="009C275C" w14:paraId="5489599D" w14:textId="77777777">
            <w:pPr>
              <w:spacing w:after="0" w:line="240" w:lineRule="auto"/>
              <w:jc w:val="right"/>
              <w:rPr>
                <w:rFonts w:ascii="Verdana" w:hAnsi="Verdana" w:eastAsia="Times New Roman" w:cs="Times New Roman"/>
                <w:color w:val="000000"/>
                <w:sz w:val="10"/>
                <w:szCs w:val="10"/>
                <w:lang w:eastAsia="es-CO"/>
              </w:rPr>
            </w:pPr>
            <w:r w:rsidRPr="009C275C">
              <w:rPr>
                <w:rFonts w:ascii="Verdana" w:hAnsi="Verdana" w:eastAsia="Times New Roman" w:cs="Times New Roman"/>
                <w:color w:val="000000"/>
                <w:sz w:val="10"/>
                <w:szCs w:val="10"/>
                <w:lang w:eastAsia="es-CO"/>
              </w:rPr>
              <w:t> </w:t>
            </w:r>
          </w:p>
          <w:p w:rsidRPr="009C275C" w:rsidR="009C275C" w:rsidP="009C275C" w:rsidRDefault="009C275C" w14:paraId="343FBAAC" w14:textId="77777777">
            <w:pPr>
              <w:spacing w:after="0" w:line="240" w:lineRule="auto"/>
              <w:jc w:val="right"/>
              <w:rPr>
                <w:rFonts w:ascii="Verdana" w:hAnsi="Verdana" w:eastAsia="Times New Roman" w:cs="Times New Roman"/>
                <w:color w:val="000000"/>
                <w:sz w:val="10"/>
                <w:szCs w:val="10"/>
                <w:lang w:eastAsia="es-CO"/>
              </w:rPr>
            </w:pPr>
            <w:r w:rsidRPr="009C275C">
              <w:rPr>
                <w:rFonts w:ascii="Verdana" w:hAnsi="Verdana" w:eastAsia="Times New Roman" w:cs="Times New Roman"/>
                <w:color w:val="000000" w:themeColor="text1"/>
                <w:sz w:val="10"/>
                <w:szCs w:val="10"/>
                <w:lang w:eastAsia="es-CO"/>
              </w:rPr>
              <w:t>60,0%</w:t>
            </w:r>
          </w:p>
          <w:p w:rsidRPr="009C275C" w:rsidR="009C275C" w:rsidP="009C275C" w:rsidRDefault="009C275C" w14:paraId="0BE91BC6" w14:textId="77777777">
            <w:pPr>
              <w:spacing w:after="0" w:line="240" w:lineRule="auto"/>
              <w:jc w:val="right"/>
              <w:rPr>
                <w:rFonts w:ascii="Verdana" w:hAnsi="Verdana" w:eastAsia="Times New Roman" w:cs="Times New Roman"/>
                <w:color w:val="000000"/>
                <w:sz w:val="10"/>
                <w:szCs w:val="10"/>
                <w:lang w:eastAsia="es-CO"/>
              </w:rPr>
            </w:pPr>
            <w:r w:rsidRPr="009C275C">
              <w:rPr>
                <w:rFonts w:ascii="Verdana" w:hAnsi="Verdana" w:eastAsia="Times New Roman" w:cs="Times New Roman"/>
                <w:color w:val="000000"/>
                <w:sz w:val="10"/>
                <w:szCs w:val="10"/>
                <w:lang w:eastAsia="es-CO"/>
              </w:rPr>
              <w:t> </w:t>
            </w:r>
          </w:p>
        </w:tc>
      </w:tr>
      <w:tr w:rsidRPr="009C275C" w:rsidR="009C275C" w14:paraId="1F5CE4A5" w14:textId="77777777">
        <w:trPr>
          <w:gridAfter w:val="1"/>
          <w:wAfter w:w="147" w:type="dxa"/>
          <w:trHeight w:val="625"/>
        </w:trPr>
        <w:tc>
          <w:tcPr>
            <w:tcW w:w="652" w:type="dxa"/>
            <w:vAlign w:val="center"/>
            <w:hideMark/>
          </w:tcPr>
          <w:p w:rsidRPr="009C275C" w:rsidR="009C275C" w:rsidP="009C275C" w:rsidRDefault="009C275C" w14:paraId="5C36D5F3" w14:textId="77777777">
            <w:pPr>
              <w:spacing w:after="0" w:line="240" w:lineRule="auto"/>
              <w:jc w:val="center"/>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ANM</w:t>
            </w:r>
          </w:p>
        </w:tc>
        <w:tc>
          <w:tcPr>
            <w:tcW w:w="944" w:type="dxa"/>
            <w:shd w:val="clear" w:color="auto" w:fill="FFFFFF" w:themeFill="background1"/>
            <w:vAlign w:val="center"/>
            <w:hideMark/>
          </w:tcPr>
          <w:p w:rsidRPr="009C275C" w:rsidR="009C275C" w:rsidP="009C275C" w:rsidRDefault="009C275C" w14:paraId="3EBAC230"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$ 156.949</w:t>
            </w:r>
          </w:p>
        </w:tc>
        <w:tc>
          <w:tcPr>
            <w:tcW w:w="1171" w:type="dxa"/>
            <w:shd w:val="clear" w:color="auto" w:fill="FFFFFF" w:themeFill="background1"/>
            <w:vAlign w:val="center"/>
            <w:hideMark/>
          </w:tcPr>
          <w:p w:rsidRPr="009C275C" w:rsidR="009C275C" w:rsidP="009C275C" w:rsidRDefault="009C275C" w14:paraId="1DB88F65"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w:t>
            </w:r>
          </w:p>
          <w:p w:rsidRPr="009C275C" w:rsidR="009C275C" w:rsidP="009C275C" w:rsidRDefault="009C275C" w14:paraId="4C61D501"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$ 3.728</w:t>
            </w:r>
          </w:p>
        </w:tc>
        <w:tc>
          <w:tcPr>
            <w:tcW w:w="861" w:type="dxa"/>
            <w:shd w:val="clear" w:color="auto" w:fill="FFFFFF" w:themeFill="background1"/>
            <w:vAlign w:val="center"/>
            <w:hideMark/>
          </w:tcPr>
          <w:p w:rsidRPr="009C275C" w:rsidR="009C275C" w:rsidP="009C275C" w:rsidRDefault="009C275C" w14:paraId="603573DC"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w:t>
            </w:r>
          </w:p>
          <w:p w:rsidRPr="009C275C" w:rsidR="009C275C" w:rsidP="009C275C" w:rsidRDefault="009C275C" w14:paraId="7DAA995B"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w:t>
            </w:r>
          </w:p>
          <w:p w:rsidRPr="009C275C" w:rsidR="009C275C" w:rsidP="009C275C" w:rsidRDefault="009C275C" w14:paraId="14CA417B"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w:t>
            </w:r>
          </w:p>
        </w:tc>
        <w:tc>
          <w:tcPr>
            <w:tcW w:w="975" w:type="dxa"/>
            <w:shd w:val="clear" w:color="auto" w:fill="FFFFFF" w:themeFill="background1"/>
            <w:vAlign w:val="center"/>
            <w:hideMark/>
          </w:tcPr>
          <w:p w:rsidRPr="009C275C" w:rsidR="009C275C" w:rsidP="009C275C" w:rsidRDefault="009C275C" w14:paraId="2E3EC442"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w:t>
            </w:r>
          </w:p>
          <w:p w:rsidRPr="009C275C" w:rsidR="009C275C" w:rsidP="009C275C" w:rsidRDefault="009C275C" w14:paraId="38FBD0C6"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$ 153.221</w:t>
            </w:r>
          </w:p>
          <w:p w:rsidRPr="009C275C" w:rsidR="009C275C" w:rsidP="009C275C" w:rsidRDefault="009C275C" w14:paraId="2F8509A2"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w:t>
            </w:r>
          </w:p>
        </w:tc>
        <w:tc>
          <w:tcPr>
            <w:tcW w:w="1035" w:type="dxa"/>
            <w:vAlign w:val="center"/>
            <w:hideMark/>
          </w:tcPr>
          <w:p w:rsidRPr="009C275C" w:rsidR="009C275C" w:rsidP="009C275C" w:rsidRDefault="009C275C" w14:paraId="1DCF4D31"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xml:space="preserve"> $                   - </w:t>
            </w:r>
          </w:p>
        </w:tc>
        <w:tc>
          <w:tcPr>
            <w:tcW w:w="1055" w:type="dxa"/>
            <w:shd w:val="clear" w:color="auto" w:fill="FFFFFF" w:themeFill="background1"/>
            <w:vAlign w:val="center"/>
            <w:hideMark/>
          </w:tcPr>
          <w:p w:rsidRPr="009C275C" w:rsidR="009C275C" w:rsidP="009C275C" w:rsidRDefault="009C275C" w14:paraId="34D11343"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$ 140.582</w:t>
            </w:r>
          </w:p>
        </w:tc>
        <w:tc>
          <w:tcPr>
            <w:tcW w:w="521" w:type="dxa"/>
            <w:vAlign w:val="center"/>
            <w:hideMark/>
          </w:tcPr>
          <w:p w:rsidRPr="009C275C" w:rsidR="009C275C" w:rsidP="009C275C" w:rsidRDefault="009C275C" w14:paraId="53DCCF99" w14:textId="77777777">
            <w:pPr>
              <w:spacing w:after="0" w:line="240" w:lineRule="auto"/>
              <w:jc w:val="right"/>
              <w:rPr>
                <w:rFonts w:ascii="Verdana" w:hAnsi="Verdana" w:eastAsia="Times New Roman" w:cs="Times New Roman"/>
                <w:color w:val="000000" w:themeColor="text1"/>
                <w:sz w:val="10"/>
                <w:szCs w:val="10"/>
                <w:lang w:eastAsia="es-CO"/>
              </w:rPr>
            </w:pPr>
            <w:r w:rsidRPr="009C275C">
              <w:rPr>
                <w:rFonts w:ascii="Verdana" w:hAnsi="Verdana" w:eastAsia="Times New Roman" w:cs="Times New Roman"/>
                <w:color w:val="000000" w:themeColor="text1"/>
                <w:sz w:val="10"/>
                <w:szCs w:val="10"/>
                <w:lang w:eastAsia="es-CO"/>
              </w:rPr>
              <w:t> </w:t>
            </w:r>
          </w:p>
          <w:p w:rsidRPr="009C275C" w:rsidR="009C275C" w:rsidP="009C275C" w:rsidRDefault="009C275C" w14:paraId="59150DC0" w14:textId="77777777">
            <w:pPr>
              <w:spacing w:after="0" w:line="240" w:lineRule="auto"/>
              <w:jc w:val="right"/>
              <w:rPr>
                <w:rFonts w:ascii="Verdana" w:hAnsi="Verdana" w:eastAsia="Times New Roman" w:cs="Times New Roman"/>
                <w:color w:val="000000" w:themeColor="text1"/>
                <w:sz w:val="10"/>
                <w:szCs w:val="10"/>
                <w:lang w:eastAsia="es-CO"/>
              </w:rPr>
            </w:pPr>
            <w:r w:rsidRPr="009C275C">
              <w:rPr>
                <w:rFonts w:ascii="Verdana" w:hAnsi="Verdana" w:eastAsia="Times New Roman" w:cs="Times New Roman"/>
                <w:color w:val="000000" w:themeColor="text1"/>
                <w:sz w:val="10"/>
                <w:szCs w:val="10"/>
                <w:lang w:eastAsia="es-CO"/>
              </w:rPr>
              <w:t>91,8%</w:t>
            </w:r>
          </w:p>
          <w:p w:rsidRPr="009C275C" w:rsidR="009C275C" w:rsidP="009C275C" w:rsidRDefault="009C275C" w14:paraId="17BD718B" w14:textId="77777777">
            <w:pPr>
              <w:spacing w:after="0" w:line="240" w:lineRule="auto"/>
              <w:jc w:val="right"/>
              <w:rPr>
                <w:rFonts w:ascii="Verdana" w:hAnsi="Verdana" w:eastAsia="Times New Roman" w:cs="Times New Roman"/>
                <w:color w:val="000000" w:themeColor="text1"/>
                <w:sz w:val="10"/>
                <w:szCs w:val="10"/>
                <w:lang w:eastAsia="es-CO"/>
              </w:rPr>
            </w:pPr>
            <w:r w:rsidRPr="009C275C">
              <w:rPr>
                <w:rFonts w:ascii="Verdana" w:hAnsi="Verdana" w:eastAsia="Times New Roman" w:cs="Times New Roman"/>
                <w:color w:val="000000" w:themeColor="text1"/>
                <w:sz w:val="10"/>
                <w:szCs w:val="10"/>
                <w:lang w:eastAsia="es-CO"/>
              </w:rPr>
              <w:t> </w:t>
            </w:r>
          </w:p>
        </w:tc>
        <w:tc>
          <w:tcPr>
            <w:tcW w:w="1003" w:type="dxa"/>
            <w:vAlign w:val="center"/>
            <w:hideMark/>
          </w:tcPr>
          <w:p w:rsidRPr="009C275C" w:rsidR="009C275C" w:rsidP="009C275C" w:rsidRDefault="009C275C" w14:paraId="59B99F76"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$ 129.783</w:t>
            </w:r>
          </w:p>
        </w:tc>
        <w:tc>
          <w:tcPr>
            <w:tcW w:w="738" w:type="dxa"/>
            <w:vAlign w:val="center"/>
            <w:hideMark/>
          </w:tcPr>
          <w:p w:rsidRPr="009C275C" w:rsidR="009C275C" w:rsidP="009C275C" w:rsidRDefault="009C275C" w14:paraId="41275406" w14:textId="77777777">
            <w:pPr>
              <w:spacing w:after="0" w:line="240" w:lineRule="auto"/>
              <w:jc w:val="right"/>
              <w:rPr>
                <w:rFonts w:ascii="Verdana" w:hAnsi="Verdana" w:eastAsia="Times New Roman" w:cs="Times New Roman"/>
                <w:color w:val="000000" w:themeColor="text1"/>
                <w:sz w:val="10"/>
                <w:szCs w:val="10"/>
                <w:lang w:eastAsia="es-CO"/>
              </w:rPr>
            </w:pPr>
            <w:r w:rsidRPr="009C275C">
              <w:rPr>
                <w:rFonts w:ascii="Verdana" w:hAnsi="Verdana" w:eastAsia="Times New Roman" w:cs="Times New Roman"/>
                <w:color w:val="000000" w:themeColor="text1"/>
                <w:sz w:val="10"/>
                <w:szCs w:val="10"/>
                <w:lang w:eastAsia="es-CO"/>
              </w:rPr>
              <w:t> </w:t>
            </w:r>
          </w:p>
          <w:p w:rsidRPr="009C275C" w:rsidR="009C275C" w:rsidP="009C275C" w:rsidRDefault="009C275C" w14:paraId="1CCF4213" w14:textId="77777777">
            <w:pPr>
              <w:spacing w:after="0" w:line="240" w:lineRule="auto"/>
              <w:jc w:val="right"/>
              <w:rPr>
                <w:rFonts w:ascii="Verdana" w:hAnsi="Verdana" w:eastAsia="Times New Roman" w:cs="Times New Roman"/>
                <w:color w:val="000000" w:themeColor="text1"/>
                <w:sz w:val="10"/>
                <w:szCs w:val="10"/>
                <w:lang w:eastAsia="es-CO"/>
              </w:rPr>
            </w:pPr>
            <w:r w:rsidRPr="009C275C">
              <w:rPr>
                <w:rFonts w:ascii="Verdana" w:hAnsi="Verdana" w:eastAsia="Times New Roman" w:cs="Times New Roman"/>
                <w:color w:val="000000" w:themeColor="text1"/>
                <w:sz w:val="10"/>
                <w:szCs w:val="10"/>
                <w:lang w:eastAsia="es-CO"/>
              </w:rPr>
              <w:t>84,7%</w:t>
            </w:r>
          </w:p>
          <w:p w:rsidRPr="009C275C" w:rsidR="009C275C" w:rsidP="009C275C" w:rsidRDefault="009C275C" w14:paraId="562688DA" w14:textId="77777777">
            <w:pPr>
              <w:spacing w:after="0" w:line="240" w:lineRule="auto"/>
              <w:jc w:val="right"/>
              <w:rPr>
                <w:rFonts w:ascii="Verdana" w:hAnsi="Verdana" w:eastAsia="Times New Roman" w:cs="Times New Roman"/>
                <w:color w:val="000000" w:themeColor="text1"/>
                <w:sz w:val="10"/>
                <w:szCs w:val="10"/>
                <w:lang w:eastAsia="es-CO"/>
              </w:rPr>
            </w:pPr>
            <w:r w:rsidRPr="009C275C">
              <w:rPr>
                <w:rFonts w:ascii="Verdana" w:hAnsi="Verdana" w:eastAsia="Times New Roman" w:cs="Times New Roman"/>
                <w:color w:val="000000" w:themeColor="text1"/>
                <w:sz w:val="10"/>
                <w:szCs w:val="10"/>
                <w:lang w:eastAsia="es-CO"/>
              </w:rPr>
              <w:t> </w:t>
            </w:r>
          </w:p>
        </w:tc>
      </w:tr>
      <w:tr w:rsidRPr="009C275C" w:rsidR="009C275C" w14:paraId="535543C8" w14:textId="77777777">
        <w:trPr>
          <w:gridAfter w:val="1"/>
          <w:wAfter w:w="147" w:type="dxa"/>
          <w:trHeight w:val="479"/>
        </w:trPr>
        <w:tc>
          <w:tcPr>
            <w:tcW w:w="652" w:type="dxa"/>
            <w:vAlign w:val="center"/>
            <w:hideMark/>
          </w:tcPr>
          <w:p w:rsidRPr="009C275C" w:rsidR="009C275C" w:rsidP="009C275C" w:rsidRDefault="009C275C" w14:paraId="49BC526D" w14:textId="77777777">
            <w:pPr>
              <w:spacing w:after="0" w:line="240" w:lineRule="auto"/>
              <w:jc w:val="center"/>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IPSE</w:t>
            </w:r>
          </w:p>
        </w:tc>
        <w:tc>
          <w:tcPr>
            <w:tcW w:w="944" w:type="dxa"/>
            <w:vAlign w:val="center"/>
            <w:hideMark/>
          </w:tcPr>
          <w:p w:rsidRPr="009C275C" w:rsidR="009C275C" w:rsidP="009C275C" w:rsidRDefault="009C275C" w14:paraId="58B2FA2F"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$ 256.636</w:t>
            </w:r>
          </w:p>
        </w:tc>
        <w:tc>
          <w:tcPr>
            <w:tcW w:w="1171" w:type="dxa"/>
            <w:vAlign w:val="center"/>
            <w:hideMark/>
          </w:tcPr>
          <w:p w:rsidRPr="009C275C" w:rsidR="009C275C" w:rsidP="009C275C" w:rsidRDefault="009C275C" w14:paraId="6534CE10"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w:t>
            </w:r>
          </w:p>
          <w:p w:rsidRPr="009C275C" w:rsidR="009C275C" w:rsidP="009C275C" w:rsidRDefault="009C275C" w14:paraId="35D238B8"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$ 6.643</w:t>
            </w:r>
          </w:p>
        </w:tc>
        <w:tc>
          <w:tcPr>
            <w:tcW w:w="861" w:type="dxa"/>
            <w:vAlign w:val="center"/>
            <w:hideMark/>
          </w:tcPr>
          <w:p w:rsidRPr="009C275C" w:rsidR="009C275C" w:rsidP="009C275C" w:rsidRDefault="009C275C" w14:paraId="5CD6BCD0"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w:t>
            </w:r>
          </w:p>
        </w:tc>
        <w:tc>
          <w:tcPr>
            <w:tcW w:w="975" w:type="dxa"/>
            <w:vAlign w:val="center"/>
            <w:hideMark/>
          </w:tcPr>
          <w:p w:rsidRPr="009C275C" w:rsidR="009C275C" w:rsidP="009C275C" w:rsidRDefault="009C275C" w14:paraId="35166CD4"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$ 249.993</w:t>
            </w:r>
          </w:p>
        </w:tc>
        <w:tc>
          <w:tcPr>
            <w:tcW w:w="1035" w:type="dxa"/>
            <w:vAlign w:val="center"/>
            <w:hideMark/>
          </w:tcPr>
          <w:p w:rsidRPr="009C275C" w:rsidR="009C275C" w:rsidP="009C275C" w:rsidRDefault="009C275C" w14:paraId="3859BEC2"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xml:space="preserve"> $                   - </w:t>
            </w:r>
          </w:p>
        </w:tc>
        <w:tc>
          <w:tcPr>
            <w:tcW w:w="1055" w:type="dxa"/>
            <w:vAlign w:val="center"/>
            <w:hideMark/>
          </w:tcPr>
          <w:p w:rsidRPr="009C275C" w:rsidR="009C275C" w:rsidP="009C275C" w:rsidRDefault="009C275C" w14:paraId="65F7E5BA"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$ 237.413</w:t>
            </w:r>
          </w:p>
        </w:tc>
        <w:tc>
          <w:tcPr>
            <w:tcW w:w="521" w:type="dxa"/>
            <w:vAlign w:val="center"/>
            <w:hideMark/>
          </w:tcPr>
          <w:p w:rsidRPr="009C275C" w:rsidR="009C275C" w:rsidP="009C275C" w:rsidRDefault="009C275C" w14:paraId="7234F4D2" w14:textId="77777777">
            <w:pPr>
              <w:spacing w:after="0" w:line="240" w:lineRule="auto"/>
              <w:jc w:val="right"/>
              <w:rPr>
                <w:rFonts w:ascii="Verdana" w:hAnsi="Verdana" w:eastAsia="Times New Roman" w:cs="Times New Roman"/>
                <w:color w:val="000000" w:themeColor="text1"/>
                <w:sz w:val="10"/>
                <w:szCs w:val="10"/>
                <w:lang w:eastAsia="es-CO"/>
              </w:rPr>
            </w:pPr>
            <w:r w:rsidRPr="009C275C">
              <w:rPr>
                <w:rFonts w:ascii="Verdana" w:hAnsi="Verdana" w:eastAsia="Times New Roman" w:cs="Times New Roman"/>
                <w:color w:val="000000" w:themeColor="text1"/>
                <w:sz w:val="10"/>
                <w:szCs w:val="10"/>
                <w:lang w:eastAsia="es-CO"/>
              </w:rPr>
              <w:t>95,0%</w:t>
            </w:r>
          </w:p>
        </w:tc>
        <w:tc>
          <w:tcPr>
            <w:tcW w:w="1003" w:type="dxa"/>
            <w:vAlign w:val="center"/>
            <w:hideMark/>
          </w:tcPr>
          <w:p w:rsidRPr="009C275C" w:rsidR="009C275C" w:rsidP="009C275C" w:rsidRDefault="009C275C" w14:paraId="74A11DD6"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$ 30.955</w:t>
            </w:r>
          </w:p>
        </w:tc>
        <w:tc>
          <w:tcPr>
            <w:tcW w:w="738" w:type="dxa"/>
            <w:vAlign w:val="center"/>
            <w:hideMark/>
          </w:tcPr>
          <w:p w:rsidRPr="009C275C" w:rsidR="009C275C" w:rsidP="009C275C" w:rsidRDefault="009C275C" w14:paraId="64029D31" w14:textId="77777777">
            <w:pPr>
              <w:spacing w:after="0" w:line="240" w:lineRule="auto"/>
              <w:jc w:val="right"/>
              <w:rPr>
                <w:rFonts w:ascii="Verdana" w:hAnsi="Verdana" w:eastAsia="Times New Roman" w:cs="Times New Roman"/>
                <w:color w:val="000000" w:themeColor="text1"/>
                <w:sz w:val="10"/>
                <w:szCs w:val="10"/>
                <w:lang w:eastAsia="es-CO"/>
              </w:rPr>
            </w:pPr>
            <w:r w:rsidRPr="009C275C">
              <w:rPr>
                <w:rFonts w:ascii="Verdana" w:hAnsi="Verdana" w:eastAsia="Times New Roman" w:cs="Times New Roman"/>
                <w:color w:val="000000" w:themeColor="text1"/>
                <w:sz w:val="10"/>
                <w:szCs w:val="10"/>
                <w:lang w:eastAsia="es-CO"/>
              </w:rPr>
              <w:t>12,4%</w:t>
            </w:r>
          </w:p>
        </w:tc>
      </w:tr>
      <w:tr w:rsidRPr="009C275C" w:rsidR="009C275C" w14:paraId="6A1B79C2" w14:textId="77777777">
        <w:trPr>
          <w:gridAfter w:val="1"/>
          <w:wAfter w:w="147" w:type="dxa"/>
          <w:trHeight w:val="625"/>
        </w:trPr>
        <w:tc>
          <w:tcPr>
            <w:tcW w:w="652" w:type="dxa"/>
            <w:vAlign w:val="center"/>
            <w:hideMark/>
          </w:tcPr>
          <w:p w:rsidRPr="009C275C" w:rsidR="009C275C" w:rsidP="009C275C" w:rsidRDefault="009C275C" w14:paraId="0916277A" w14:textId="77777777">
            <w:pPr>
              <w:spacing w:after="0" w:line="240" w:lineRule="auto"/>
              <w:jc w:val="center"/>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CREG</w:t>
            </w:r>
          </w:p>
        </w:tc>
        <w:tc>
          <w:tcPr>
            <w:tcW w:w="944" w:type="dxa"/>
            <w:vAlign w:val="center"/>
            <w:hideMark/>
          </w:tcPr>
          <w:p w:rsidRPr="009C275C" w:rsidR="009C275C" w:rsidP="009C275C" w:rsidRDefault="009C275C" w14:paraId="31F5224D"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$ 14.770</w:t>
            </w:r>
          </w:p>
        </w:tc>
        <w:tc>
          <w:tcPr>
            <w:tcW w:w="1171" w:type="dxa"/>
            <w:vAlign w:val="center"/>
            <w:hideMark/>
          </w:tcPr>
          <w:p w:rsidRPr="009C275C" w:rsidR="009C275C" w:rsidP="009C275C" w:rsidRDefault="009C275C" w14:paraId="2431B98B"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w:t>
            </w:r>
          </w:p>
        </w:tc>
        <w:tc>
          <w:tcPr>
            <w:tcW w:w="861" w:type="dxa"/>
            <w:vAlign w:val="center"/>
            <w:hideMark/>
          </w:tcPr>
          <w:p w:rsidRPr="009C275C" w:rsidR="009C275C" w:rsidP="009C275C" w:rsidRDefault="009C275C" w14:paraId="22A7CD9C"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w:t>
            </w:r>
          </w:p>
        </w:tc>
        <w:tc>
          <w:tcPr>
            <w:tcW w:w="975" w:type="dxa"/>
            <w:vAlign w:val="center"/>
            <w:hideMark/>
          </w:tcPr>
          <w:p w:rsidRPr="009C275C" w:rsidR="009C275C" w:rsidP="009C275C" w:rsidRDefault="009C275C" w14:paraId="1A87916C"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$ 14.770</w:t>
            </w:r>
          </w:p>
        </w:tc>
        <w:tc>
          <w:tcPr>
            <w:tcW w:w="1035" w:type="dxa"/>
            <w:vAlign w:val="center"/>
            <w:hideMark/>
          </w:tcPr>
          <w:p w:rsidRPr="009C275C" w:rsidR="009C275C" w:rsidP="009C275C" w:rsidRDefault="009C275C" w14:paraId="5DE2951A"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xml:space="preserve"> $                   - </w:t>
            </w:r>
          </w:p>
        </w:tc>
        <w:tc>
          <w:tcPr>
            <w:tcW w:w="1055" w:type="dxa"/>
            <w:vAlign w:val="center"/>
            <w:hideMark/>
          </w:tcPr>
          <w:p w:rsidRPr="009C275C" w:rsidR="009C275C" w:rsidP="009C275C" w:rsidRDefault="009C275C" w14:paraId="587F017A"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$ 14.049</w:t>
            </w:r>
          </w:p>
        </w:tc>
        <w:tc>
          <w:tcPr>
            <w:tcW w:w="521" w:type="dxa"/>
            <w:vAlign w:val="center"/>
            <w:hideMark/>
          </w:tcPr>
          <w:p w:rsidRPr="009C275C" w:rsidR="009C275C" w:rsidP="009C275C" w:rsidRDefault="009C275C" w14:paraId="1B6888E7" w14:textId="77777777">
            <w:pPr>
              <w:spacing w:after="0" w:line="240" w:lineRule="auto"/>
              <w:jc w:val="right"/>
              <w:rPr>
                <w:rFonts w:ascii="Verdana" w:hAnsi="Verdana" w:eastAsia="Times New Roman" w:cs="Times New Roman"/>
                <w:color w:val="000000" w:themeColor="text1"/>
                <w:sz w:val="10"/>
                <w:szCs w:val="10"/>
                <w:lang w:eastAsia="es-CO"/>
              </w:rPr>
            </w:pPr>
            <w:r w:rsidRPr="009C275C">
              <w:rPr>
                <w:rFonts w:ascii="Verdana" w:hAnsi="Verdana" w:eastAsia="Times New Roman" w:cs="Times New Roman"/>
                <w:color w:val="000000" w:themeColor="text1"/>
                <w:sz w:val="10"/>
                <w:szCs w:val="10"/>
                <w:lang w:eastAsia="es-CO"/>
              </w:rPr>
              <w:t>95,1%</w:t>
            </w:r>
          </w:p>
        </w:tc>
        <w:tc>
          <w:tcPr>
            <w:tcW w:w="1003" w:type="dxa"/>
            <w:vAlign w:val="center"/>
            <w:hideMark/>
          </w:tcPr>
          <w:p w:rsidRPr="009C275C" w:rsidR="009C275C" w:rsidP="009C275C" w:rsidRDefault="009C275C" w14:paraId="1458C8C2" w14:textId="77777777">
            <w:pPr>
              <w:spacing w:after="0" w:line="240" w:lineRule="auto"/>
              <w:jc w:val="right"/>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$ 14.049</w:t>
            </w:r>
          </w:p>
        </w:tc>
        <w:tc>
          <w:tcPr>
            <w:tcW w:w="738" w:type="dxa"/>
            <w:vAlign w:val="center"/>
            <w:hideMark/>
          </w:tcPr>
          <w:p w:rsidRPr="009C275C" w:rsidR="009C275C" w:rsidP="009C275C" w:rsidRDefault="009C275C" w14:paraId="2D1A6EDA" w14:textId="77777777">
            <w:pPr>
              <w:spacing w:after="0" w:line="240" w:lineRule="auto"/>
              <w:jc w:val="right"/>
              <w:rPr>
                <w:rFonts w:ascii="Verdana" w:hAnsi="Verdana" w:eastAsia="Times New Roman" w:cs="Times New Roman"/>
                <w:color w:val="000000" w:themeColor="text1"/>
                <w:sz w:val="10"/>
                <w:szCs w:val="10"/>
                <w:lang w:eastAsia="es-CO"/>
              </w:rPr>
            </w:pPr>
            <w:r w:rsidRPr="009C275C">
              <w:rPr>
                <w:rFonts w:ascii="Verdana" w:hAnsi="Verdana" w:eastAsia="Times New Roman" w:cs="Times New Roman"/>
                <w:color w:val="000000" w:themeColor="text1"/>
                <w:sz w:val="10"/>
                <w:szCs w:val="10"/>
                <w:lang w:eastAsia="es-CO"/>
              </w:rPr>
              <w:t>95,1%</w:t>
            </w:r>
          </w:p>
        </w:tc>
      </w:tr>
      <w:tr w:rsidRPr="009C275C" w:rsidR="009C275C" w14:paraId="15999092" w14:textId="77777777">
        <w:trPr>
          <w:gridAfter w:val="1"/>
          <w:wAfter w:w="147" w:type="dxa"/>
          <w:trHeight w:val="479"/>
        </w:trPr>
        <w:tc>
          <w:tcPr>
            <w:tcW w:w="652" w:type="dxa"/>
            <w:vAlign w:val="center"/>
            <w:hideMark/>
          </w:tcPr>
          <w:p w:rsidRPr="009C275C" w:rsidR="009C275C" w:rsidP="009C275C" w:rsidRDefault="009C275C" w14:paraId="3B1AFC24" w14:textId="77777777">
            <w:pPr>
              <w:spacing w:after="0" w:line="240" w:lineRule="auto"/>
              <w:jc w:val="center"/>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SGC</w:t>
            </w:r>
          </w:p>
        </w:tc>
        <w:tc>
          <w:tcPr>
            <w:tcW w:w="944" w:type="dxa"/>
            <w:vAlign w:val="center"/>
            <w:hideMark/>
          </w:tcPr>
          <w:p w:rsidRPr="009C275C" w:rsidR="009C275C" w:rsidP="009C275C" w:rsidRDefault="009C275C" w14:paraId="1547C3CD"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$ 61.421</w:t>
            </w:r>
          </w:p>
        </w:tc>
        <w:tc>
          <w:tcPr>
            <w:tcW w:w="1171" w:type="dxa"/>
            <w:vAlign w:val="center"/>
            <w:hideMark/>
          </w:tcPr>
          <w:p w:rsidRPr="009C275C" w:rsidR="009C275C" w:rsidP="009C275C" w:rsidRDefault="009C275C" w14:paraId="7D2F5753"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$ 4.435</w:t>
            </w:r>
          </w:p>
        </w:tc>
        <w:tc>
          <w:tcPr>
            <w:tcW w:w="861" w:type="dxa"/>
            <w:vAlign w:val="center"/>
            <w:hideMark/>
          </w:tcPr>
          <w:p w:rsidRPr="009C275C" w:rsidR="009C275C" w:rsidP="009C275C" w:rsidRDefault="009C275C" w14:paraId="1C3612C6"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themeColor="text1"/>
                <w:sz w:val="12"/>
                <w:szCs w:val="12"/>
                <w:lang w:eastAsia="es-CO"/>
              </w:rPr>
              <w:t>$              448</w:t>
            </w:r>
          </w:p>
        </w:tc>
        <w:tc>
          <w:tcPr>
            <w:tcW w:w="975" w:type="dxa"/>
            <w:vAlign w:val="center"/>
            <w:hideMark/>
          </w:tcPr>
          <w:p w:rsidRPr="009C275C" w:rsidR="009C275C" w:rsidP="009C275C" w:rsidRDefault="009C275C" w14:paraId="617B0713"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$ 57.434</w:t>
            </w:r>
          </w:p>
        </w:tc>
        <w:tc>
          <w:tcPr>
            <w:tcW w:w="1035" w:type="dxa"/>
            <w:vAlign w:val="center"/>
            <w:hideMark/>
          </w:tcPr>
          <w:p w:rsidRPr="009C275C" w:rsidR="009C275C" w:rsidP="009C275C" w:rsidRDefault="009C275C" w14:paraId="47CB593D"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xml:space="preserve"> $                   - </w:t>
            </w:r>
          </w:p>
        </w:tc>
        <w:tc>
          <w:tcPr>
            <w:tcW w:w="1055" w:type="dxa"/>
            <w:vAlign w:val="center"/>
            <w:hideMark/>
          </w:tcPr>
          <w:p w:rsidRPr="009C275C" w:rsidR="009C275C" w:rsidP="009C275C" w:rsidRDefault="009C275C" w14:paraId="5F2B643B"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$ 50.058</w:t>
            </w:r>
          </w:p>
        </w:tc>
        <w:tc>
          <w:tcPr>
            <w:tcW w:w="521" w:type="dxa"/>
            <w:vAlign w:val="center"/>
            <w:hideMark/>
          </w:tcPr>
          <w:p w:rsidRPr="009C275C" w:rsidR="009C275C" w:rsidP="009C275C" w:rsidRDefault="009C275C" w14:paraId="1EB11AEE" w14:textId="77777777">
            <w:pPr>
              <w:spacing w:after="0" w:line="240" w:lineRule="auto"/>
              <w:jc w:val="right"/>
              <w:rPr>
                <w:rFonts w:ascii="Verdana" w:hAnsi="Verdana" w:eastAsia="Times New Roman" w:cs="Times New Roman"/>
                <w:color w:val="000000"/>
                <w:sz w:val="10"/>
                <w:szCs w:val="10"/>
                <w:lang w:eastAsia="es-CO"/>
              </w:rPr>
            </w:pPr>
            <w:r w:rsidRPr="009C275C">
              <w:rPr>
                <w:rFonts w:ascii="Verdana" w:hAnsi="Verdana" w:eastAsia="Times New Roman" w:cs="Times New Roman"/>
                <w:color w:val="000000"/>
                <w:sz w:val="10"/>
                <w:szCs w:val="10"/>
                <w:lang w:eastAsia="es-CO"/>
              </w:rPr>
              <w:t>87,2%</w:t>
            </w:r>
          </w:p>
        </w:tc>
        <w:tc>
          <w:tcPr>
            <w:tcW w:w="1003" w:type="dxa"/>
            <w:vAlign w:val="center"/>
            <w:hideMark/>
          </w:tcPr>
          <w:p w:rsidRPr="009C275C" w:rsidR="009C275C" w:rsidP="009C275C" w:rsidRDefault="009C275C" w14:paraId="0B62DABB"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$ 35.143</w:t>
            </w:r>
          </w:p>
        </w:tc>
        <w:tc>
          <w:tcPr>
            <w:tcW w:w="738" w:type="dxa"/>
            <w:vAlign w:val="center"/>
            <w:hideMark/>
          </w:tcPr>
          <w:p w:rsidRPr="009C275C" w:rsidR="009C275C" w:rsidP="009C275C" w:rsidRDefault="009C275C" w14:paraId="6A6DE93C" w14:textId="77777777">
            <w:pPr>
              <w:spacing w:after="0" w:line="240" w:lineRule="auto"/>
              <w:jc w:val="right"/>
              <w:rPr>
                <w:rFonts w:ascii="Verdana" w:hAnsi="Verdana" w:eastAsia="Times New Roman" w:cs="Times New Roman"/>
                <w:color w:val="000000"/>
                <w:sz w:val="10"/>
                <w:szCs w:val="10"/>
                <w:lang w:eastAsia="es-CO"/>
              </w:rPr>
            </w:pPr>
            <w:r w:rsidRPr="009C275C">
              <w:rPr>
                <w:rFonts w:ascii="Verdana" w:hAnsi="Verdana" w:eastAsia="Times New Roman" w:cs="Times New Roman"/>
                <w:color w:val="000000"/>
                <w:sz w:val="10"/>
                <w:szCs w:val="10"/>
                <w:lang w:eastAsia="es-CO"/>
              </w:rPr>
              <w:t>61,2%</w:t>
            </w:r>
          </w:p>
        </w:tc>
      </w:tr>
      <w:tr w:rsidRPr="009C275C" w:rsidR="009C275C" w14:paraId="7FC37E74" w14:textId="77777777">
        <w:trPr>
          <w:gridAfter w:val="1"/>
          <w:wAfter w:w="147" w:type="dxa"/>
          <w:trHeight w:val="479"/>
        </w:trPr>
        <w:tc>
          <w:tcPr>
            <w:tcW w:w="652" w:type="dxa"/>
            <w:vAlign w:val="center"/>
            <w:hideMark/>
          </w:tcPr>
          <w:p w:rsidRPr="009C275C" w:rsidR="009C275C" w:rsidP="009C275C" w:rsidRDefault="009C275C" w14:paraId="3F4BE87D" w14:textId="77777777">
            <w:pPr>
              <w:spacing w:after="0" w:line="240" w:lineRule="auto"/>
              <w:jc w:val="center"/>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UPME</w:t>
            </w:r>
          </w:p>
        </w:tc>
        <w:tc>
          <w:tcPr>
            <w:tcW w:w="944" w:type="dxa"/>
            <w:vAlign w:val="center"/>
            <w:hideMark/>
          </w:tcPr>
          <w:p w:rsidRPr="009C275C" w:rsidR="009C275C" w:rsidP="009C275C" w:rsidRDefault="009C275C" w14:paraId="5E22C6C5"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$ 27.168</w:t>
            </w:r>
          </w:p>
        </w:tc>
        <w:tc>
          <w:tcPr>
            <w:tcW w:w="1171" w:type="dxa"/>
            <w:vAlign w:val="center"/>
            <w:hideMark/>
          </w:tcPr>
          <w:p w:rsidRPr="009C275C" w:rsidR="009C275C" w:rsidP="009C275C" w:rsidRDefault="009C275C" w14:paraId="773058B7"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w:t>
            </w:r>
          </w:p>
        </w:tc>
        <w:tc>
          <w:tcPr>
            <w:tcW w:w="861" w:type="dxa"/>
            <w:vAlign w:val="center"/>
            <w:hideMark/>
          </w:tcPr>
          <w:p w:rsidRPr="009C275C" w:rsidR="009C275C" w:rsidP="009C275C" w:rsidRDefault="009C275C" w14:paraId="14C86CEE"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w:t>
            </w:r>
          </w:p>
        </w:tc>
        <w:tc>
          <w:tcPr>
            <w:tcW w:w="975" w:type="dxa"/>
            <w:vAlign w:val="center"/>
            <w:hideMark/>
          </w:tcPr>
          <w:p w:rsidRPr="009C275C" w:rsidR="009C275C" w:rsidP="009C275C" w:rsidRDefault="009C275C" w14:paraId="68079118"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$ 27.168</w:t>
            </w:r>
          </w:p>
        </w:tc>
        <w:tc>
          <w:tcPr>
            <w:tcW w:w="1035" w:type="dxa"/>
            <w:vAlign w:val="center"/>
            <w:hideMark/>
          </w:tcPr>
          <w:p w:rsidRPr="009C275C" w:rsidR="009C275C" w:rsidP="009C275C" w:rsidRDefault="009C275C" w14:paraId="05562D20"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xml:space="preserve"> $                   - </w:t>
            </w:r>
          </w:p>
        </w:tc>
        <w:tc>
          <w:tcPr>
            <w:tcW w:w="1055" w:type="dxa"/>
            <w:vAlign w:val="center"/>
            <w:hideMark/>
          </w:tcPr>
          <w:p w:rsidRPr="009C275C" w:rsidR="009C275C" w:rsidP="009C275C" w:rsidRDefault="009C275C" w14:paraId="560DCB36"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$ 26.821</w:t>
            </w:r>
          </w:p>
        </w:tc>
        <w:tc>
          <w:tcPr>
            <w:tcW w:w="521" w:type="dxa"/>
            <w:vAlign w:val="center"/>
            <w:hideMark/>
          </w:tcPr>
          <w:p w:rsidRPr="009C275C" w:rsidR="009C275C" w:rsidP="009C275C" w:rsidRDefault="009C275C" w14:paraId="6A39C55C" w14:textId="77777777">
            <w:pPr>
              <w:spacing w:after="0" w:line="240" w:lineRule="auto"/>
              <w:jc w:val="right"/>
              <w:rPr>
                <w:rFonts w:ascii="Verdana" w:hAnsi="Verdana" w:eastAsia="Times New Roman" w:cs="Times New Roman"/>
                <w:color w:val="000000"/>
                <w:sz w:val="10"/>
                <w:szCs w:val="10"/>
                <w:lang w:eastAsia="es-CO"/>
              </w:rPr>
            </w:pPr>
            <w:r w:rsidRPr="009C275C">
              <w:rPr>
                <w:rFonts w:ascii="Verdana" w:hAnsi="Verdana" w:eastAsia="Times New Roman" w:cs="Times New Roman"/>
                <w:color w:val="000000"/>
                <w:sz w:val="10"/>
                <w:szCs w:val="10"/>
                <w:lang w:eastAsia="es-CO"/>
              </w:rPr>
              <w:t>98,7%</w:t>
            </w:r>
          </w:p>
        </w:tc>
        <w:tc>
          <w:tcPr>
            <w:tcW w:w="1003" w:type="dxa"/>
            <w:vAlign w:val="center"/>
            <w:hideMark/>
          </w:tcPr>
          <w:p w:rsidRPr="009C275C" w:rsidR="009C275C" w:rsidP="009C275C" w:rsidRDefault="009C275C" w14:paraId="45554618"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$ 26.821</w:t>
            </w:r>
          </w:p>
        </w:tc>
        <w:tc>
          <w:tcPr>
            <w:tcW w:w="738" w:type="dxa"/>
            <w:vAlign w:val="center"/>
            <w:hideMark/>
          </w:tcPr>
          <w:p w:rsidRPr="009C275C" w:rsidR="009C275C" w:rsidP="009C275C" w:rsidRDefault="009C275C" w14:paraId="736EE13B" w14:textId="77777777">
            <w:pPr>
              <w:spacing w:after="0" w:line="240" w:lineRule="auto"/>
              <w:jc w:val="right"/>
              <w:rPr>
                <w:rFonts w:ascii="Verdana" w:hAnsi="Verdana" w:eastAsia="Times New Roman" w:cs="Times New Roman"/>
                <w:color w:val="000000"/>
                <w:sz w:val="10"/>
                <w:szCs w:val="10"/>
                <w:lang w:eastAsia="es-CO"/>
              </w:rPr>
            </w:pPr>
            <w:r w:rsidRPr="009C275C">
              <w:rPr>
                <w:rFonts w:ascii="Verdana" w:hAnsi="Verdana" w:eastAsia="Times New Roman" w:cs="Times New Roman"/>
                <w:color w:val="000000"/>
                <w:sz w:val="10"/>
                <w:szCs w:val="10"/>
                <w:lang w:eastAsia="es-CO"/>
              </w:rPr>
              <w:t>98,7%</w:t>
            </w:r>
          </w:p>
        </w:tc>
      </w:tr>
      <w:tr w:rsidRPr="009C275C" w:rsidR="009C275C" w14:paraId="77B2577A" w14:textId="77777777">
        <w:trPr>
          <w:gridAfter w:val="1"/>
          <w:wAfter w:w="147" w:type="dxa"/>
          <w:trHeight w:val="450"/>
        </w:trPr>
        <w:tc>
          <w:tcPr>
            <w:tcW w:w="652" w:type="dxa"/>
            <w:vMerge w:val="restart"/>
            <w:shd w:val="clear" w:color="auto" w:fill="BFBFBF" w:themeFill="background1" w:themeFillShade="BF"/>
            <w:vAlign w:val="center"/>
            <w:hideMark/>
          </w:tcPr>
          <w:p w:rsidRPr="009C275C" w:rsidR="009C275C" w:rsidP="009C275C" w:rsidRDefault="009C275C" w14:paraId="09D7293F" w14:textId="77777777">
            <w:pPr>
              <w:spacing w:after="0" w:line="240" w:lineRule="auto"/>
              <w:jc w:val="center"/>
              <w:rPr>
                <w:rFonts w:ascii="Verdana" w:hAnsi="Verdana" w:eastAsia="Times New Roman" w:cs="Times New Roman"/>
                <w:b/>
                <w:bCs/>
                <w:color w:val="000000"/>
                <w:sz w:val="12"/>
                <w:szCs w:val="12"/>
                <w:lang w:eastAsia="es-CO"/>
              </w:rPr>
            </w:pPr>
            <w:r w:rsidRPr="009C275C">
              <w:rPr>
                <w:rFonts w:ascii="Verdana" w:hAnsi="Verdana" w:eastAsia="Times New Roman" w:cs="Times New Roman"/>
                <w:b/>
                <w:bCs/>
                <w:color w:val="000000"/>
                <w:sz w:val="12"/>
                <w:szCs w:val="12"/>
                <w:lang w:eastAsia="es-CO"/>
              </w:rPr>
              <w:t>Total Sector</w:t>
            </w:r>
          </w:p>
        </w:tc>
        <w:tc>
          <w:tcPr>
            <w:tcW w:w="944" w:type="dxa"/>
            <w:vMerge w:val="restart"/>
            <w:shd w:val="clear" w:color="auto" w:fill="BFBFBF" w:themeFill="background1" w:themeFillShade="BF"/>
            <w:noWrap/>
            <w:vAlign w:val="center"/>
            <w:hideMark/>
          </w:tcPr>
          <w:p w:rsidRPr="009C275C" w:rsidR="009C275C" w:rsidP="009C275C" w:rsidRDefault="009C275C" w14:paraId="1E56082A"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$ 8.053.438</w:t>
            </w:r>
          </w:p>
        </w:tc>
        <w:tc>
          <w:tcPr>
            <w:tcW w:w="1171" w:type="dxa"/>
            <w:vMerge w:val="restart"/>
            <w:shd w:val="clear" w:color="auto" w:fill="BFBFBF" w:themeFill="background1" w:themeFillShade="BF"/>
            <w:noWrap/>
            <w:vAlign w:val="center"/>
            <w:hideMark/>
          </w:tcPr>
          <w:p w:rsidRPr="009C275C" w:rsidR="009C275C" w:rsidP="009C275C" w:rsidRDefault="009C275C" w14:paraId="65840886"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$ 750.111</w:t>
            </w:r>
          </w:p>
        </w:tc>
        <w:tc>
          <w:tcPr>
            <w:tcW w:w="861" w:type="dxa"/>
            <w:vMerge w:val="restart"/>
            <w:shd w:val="clear" w:color="auto" w:fill="BFBFBF" w:themeFill="background1" w:themeFillShade="BF"/>
            <w:noWrap/>
            <w:vAlign w:val="center"/>
            <w:hideMark/>
          </w:tcPr>
          <w:p w:rsidRPr="009C275C" w:rsidR="009C275C" w:rsidP="009C275C" w:rsidRDefault="009C275C" w14:paraId="1547F1A5"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themeColor="text1"/>
                <w:sz w:val="12"/>
                <w:szCs w:val="12"/>
                <w:lang w:eastAsia="es-CO"/>
              </w:rPr>
              <w:t>$ 222.377</w:t>
            </w:r>
          </w:p>
        </w:tc>
        <w:tc>
          <w:tcPr>
            <w:tcW w:w="975" w:type="dxa"/>
            <w:vMerge w:val="restart"/>
            <w:shd w:val="clear" w:color="auto" w:fill="BFBFBF" w:themeFill="background1" w:themeFillShade="BF"/>
            <w:noWrap/>
            <w:vAlign w:val="center"/>
            <w:hideMark/>
          </w:tcPr>
          <w:p w:rsidRPr="009C275C" w:rsidR="009C275C" w:rsidP="009C275C" w:rsidRDefault="009C275C" w14:paraId="040E0F2D"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$ 7.525.703</w:t>
            </w:r>
          </w:p>
        </w:tc>
        <w:tc>
          <w:tcPr>
            <w:tcW w:w="1035" w:type="dxa"/>
            <w:vMerge w:val="restart"/>
            <w:shd w:val="clear" w:color="auto" w:fill="BFBFBF" w:themeFill="background1" w:themeFillShade="BF"/>
            <w:noWrap/>
            <w:vAlign w:val="center"/>
            <w:hideMark/>
          </w:tcPr>
          <w:p w:rsidRPr="009C275C" w:rsidR="009C275C" w:rsidP="009C275C" w:rsidRDefault="009C275C" w14:paraId="2A68E8B9"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xml:space="preserve"> $                   - </w:t>
            </w:r>
          </w:p>
        </w:tc>
        <w:tc>
          <w:tcPr>
            <w:tcW w:w="1055" w:type="dxa"/>
            <w:vMerge w:val="restart"/>
            <w:shd w:val="clear" w:color="auto" w:fill="BFBFBF" w:themeFill="background1" w:themeFillShade="BF"/>
            <w:noWrap/>
            <w:vAlign w:val="center"/>
            <w:hideMark/>
          </w:tcPr>
          <w:p w:rsidRPr="009C275C" w:rsidR="009C275C" w:rsidP="009C275C" w:rsidRDefault="009C275C" w14:paraId="15B4BD9A"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themeColor="text1"/>
                <w:sz w:val="12"/>
                <w:szCs w:val="12"/>
                <w:lang w:eastAsia="es-CO"/>
              </w:rPr>
              <w:t>$ 7.288.707</w:t>
            </w:r>
          </w:p>
        </w:tc>
        <w:tc>
          <w:tcPr>
            <w:tcW w:w="521" w:type="dxa"/>
            <w:vMerge w:val="restart"/>
            <w:shd w:val="clear" w:color="auto" w:fill="BFBFBF" w:themeFill="background1" w:themeFillShade="BF"/>
            <w:vAlign w:val="center"/>
            <w:hideMark/>
          </w:tcPr>
          <w:p w:rsidRPr="009C275C" w:rsidR="009C275C" w:rsidP="009C275C" w:rsidRDefault="009C275C" w14:paraId="51DA7FDB" w14:textId="77777777">
            <w:pPr>
              <w:spacing w:after="0" w:line="240" w:lineRule="auto"/>
              <w:jc w:val="right"/>
              <w:rPr>
                <w:rFonts w:ascii="Verdana" w:hAnsi="Verdana" w:eastAsia="Times New Roman" w:cs="Times New Roman"/>
                <w:color w:val="000000"/>
                <w:sz w:val="10"/>
                <w:szCs w:val="10"/>
                <w:lang w:eastAsia="es-CO"/>
              </w:rPr>
            </w:pPr>
            <w:r w:rsidRPr="009C275C">
              <w:rPr>
                <w:rFonts w:ascii="Verdana" w:hAnsi="Verdana" w:eastAsia="Times New Roman" w:cs="Times New Roman"/>
                <w:color w:val="000000"/>
                <w:sz w:val="10"/>
                <w:szCs w:val="10"/>
                <w:lang w:eastAsia="es-CO"/>
              </w:rPr>
              <w:t>96,9%</w:t>
            </w:r>
          </w:p>
        </w:tc>
        <w:tc>
          <w:tcPr>
            <w:tcW w:w="1003" w:type="dxa"/>
            <w:vMerge w:val="restart"/>
            <w:shd w:val="clear" w:color="auto" w:fill="BFBFBF" w:themeFill="background1" w:themeFillShade="BF"/>
            <w:noWrap/>
            <w:vAlign w:val="center"/>
            <w:hideMark/>
          </w:tcPr>
          <w:p w:rsidRPr="009C275C" w:rsidR="009C275C" w:rsidP="009C275C" w:rsidRDefault="009C275C" w14:paraId="4667D644" w14:textId="77777777">
            <w:pPr>
              <w:spacing w:after="0" w:line="240" w:lineRule="auto"/>
              <w:jc w:val="right"/>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$ 4.463.368</w:t>
            </w:r>
          </w:p>
        </w:tc>
        <w:tc>
          <w:tcPr>
            <w:tcW w:w="738" w:type="dxa"/>
            <w:vMerge w:val="restart"/>
            <w:shd w:val="clear" w:color="auto" w:fill="BFBFBF" w:themeFill="background1" w:themeFillShade="BF"/>
            <w:noWrap/>
            <w:vAlign w:val="center"/>
            <w:hideMark/>
          </w:tcPr>
          <w:p w:rsidRPr="009C275C" w:rsidR="009C275C" w:rsidP="009C275C" w:rsidRDefault="009C275C" w14:paraId="1893C326" w14:textId="77777777">
            <w:pPr>
              <w:spacing w:after="0" w:line="240" w:lineRule="auto"/>
              <w:jc w:val="right"/>
              <w:rPr>
                <w:rFonts w:ascii="Verdana" w:hAnsi="Verdana" w:eastAsia="Times New Roman" w:cs="Times New Roman"/>
                <w:color w:val="000000"/>
                <w:sz w:val="10"/>
                <w:szCs w:val="10"/>
                <w:lang w:eastAsia="es-CO"/>
              </w:rPr>
            </w:pPr>
            <w:r w:rsidRPr="009C275C">
              <w:rPr>
                <w:rFonts w:ascii="Verdana" w:hAnsi="Verdana" w:eastAsia="Times New Roman" w:cs="Times New Roman"/>
                <w:color w:val="000000" w:themeColor="text1"/>
                <w:sz w:val="10"/>
                <w:szCs w:val="10"/>
                <w:lang w:eastAsia="es-CO"/>
              </w:rPr>
              <w:t>59,3%</w:t>
            </w:r>
          </w:p>
        </w:tc>
      </w:tr>
      <w:tr w:rsidRPr="009C275C" w:rsidR="009C275C" w14:paraId="4C201FF2" w14:textId="77777777">
        <w:trPr>
          <w:trHeight w:val="305"/>
        </w:trPr>
        <w:tc>
          <w:tcPr>
            <w:tcW w:w="652" w:type="dxa"/>
            <w:vMerge/>
            <w:vAlign w:val="center"/>
            <w:hideMark/>
          </w:tcPr>
          <w:p w:rsidRPr="009C275C" w:rsidR="009C275C" w:rsidP="009C275C" w:rsidRDefault="009C275C" w14:paraId="0FD2D8E3" w14:textId="77777777">
            <w:pPr>
              <w:spacing w:after="0" w:line="240" w:lineRule="auto"/>
              <w:rPr>
                <w:rFonts w:ascii="Verdana" w:hAnsi="Verdana" w:eastAsia="Times New Roman" w:cs="Times New Roman"/>
                <w:b/>
                <w:bCs/>
                <w:color w:val="000000"/>
                <w:sz w:val="18"/>
                <w:szCs w:val="18"/>
                <w:lang w:eastAsia="es-CO"/>
              </w:rPr>
            </w:pPr>
          </w:p>
        </w:tc>
        <w:tc>
          <w:tcPr>
            <w:tcW w:w="944" w:type="dxa"/>
            <w:vMerge/>
            <w:vAlign w:val="center"/>
            <w:hideMark/>
          </w:tcPr>
          <w:p w:rsidRPr="009C275C" w:rsidR="009C275C" w:rsidP="009C275C" w:rsidRDefault="009C275C" w14:paraId="26D72FCB" w14:textId="77777777">
            <w:pPr>
              <w:spacing w:after="0" w:line="240" w:lineRule="auto"/>
              <w:rPr>
                <w:rFonts w:ascii="Verdana" w:hAnsi="Verdana" w:eastAsia="Times New Roman" w:cs="Times New Roman"/>
                <w:color w:val="000000"/>
                <w:sz w:val="18"/>
                <w:szCs w:val="18"/>
                <w:lang w:eastAsia="es-CO"/>
              </w:rPr>
            </w:pPr>
          </w:p>
        </w:tc>
        <w:tc>
          <w:tcPr>
            <w:tcW w:w="1171" w:type="dxa"/>
            <w:vMerge/>
            <w:vAlign w:val="center"/>
            <w:hideMark/>
          </w:tcPr>
          <w:p w:rsidRPr="009C275C" w:rsidR="009C275C" w:rsidP="009C275C" w:rsidRDefault="009C275C" w14:paraId="2851427C" w14:textId="77777777">
            <w:pPr>
              <w:spacing w:after="0" w:line="240" w:lineRule="auto"/>
              <w:rPr>
                <w:rFonts w:ascii="Verdana" w:hAnsi="Verdana" w:eastAsia="Times New Roman" w:cs="Times New Roman"/>
                <w:color w:val="000000"/>
                <w:sz w:val="18"/>
                <w:szCs w:val="18"/>
                <w:lang w:eastAsia="es-CO"/>
              </w:rPr>
            </w:pPr>
          </w:p>
        </w:tc>
        <w:tc>
          <w:tcPr>
            <w:tcW w:w="861" w:type="dxa"/>
            <w:vMerge/>
            <w:vAlign w:val="center"/>
            <w:hideMark/>
          </w:tcPr>
          <w:p w:rsidRPr="009C275C" w:rsidR="009C275C" w:rsidP="009C275C" w:rsidRDefault="009C275C" w14:paraId="50704A51" w14:textId="77777777">
            <w:pPr>
              <w:spacing w:after="0" w:line="240" w:lineRule="auto"/>
              <w:rPr>
                <w:rFonts w:ascii="Verdana" w:hAnsi="Verdana" w:eastAsia="Times New Roman" w:cs="Times New Roman"/>
                <w:color w:val="000000"/>
                <w:sz w:val="18"/>
                <w:szCs w:val="18"/>
                <w:lang w:eastAsia="es-CO"/>
              </w:rPr>
            </w:pPr>
          </w:p>
        </w:tc>
        <w:tc>
          <w:tcPr>
            <w:tcW w:w="975" w:type="dxa"/>
            <w:vMerge/>
            <w:vAlign w:val="center"/>
            <w:hideMark/>
          </w:tcPr>
          <w:p w:rsidRPr="009C275C" w:rsidR="009C275C" w:rsidP="009C275C" w:rsidRDefault="009C275C" w14:paraId="7EDFD2E6" w14:textId="77777777">
            <w:pPr>
              <w:spacing w:after="0" w:line="240" w:lineRule="auto"/>
              <w:rPr>
                <w:rFonts w:ascii="Verdana" w:hAnsi="Verdana" w:eastAsia="Times New Roman" w:cs="Times New Roman"/>
                <w:color w:val="000000"/>
                <w:sz w:val="18"/>
                <w:szCs w:val="18"/>
                <w:lang w:eastAsia="es-CO"/>
              </w:rPr>
            </w:pPr>
          </w:p>
        </w:tc>
        <w:tc>
          <w:tcPr>
            <w:tcW w:w="1035" w:type="dxa"/>
            <w:vMerge/>
            <w:vAlign w:val="center"/>
            <w:hideMark/>
          </w:tcPr>
          <w:p w:rsidRPr="009C275C" w:rsidR="009C275C" w:rsidP="009C275C" w:rsidRDefault="009C275C" w14:paraId="6BAABAB6" w14:textId="77777777">
            <w:pPr>
              <w:spacing w:after="0" w:line="240" w:lineRule="auto"/>
              <w:rPr>
                <w:rFonts w:ascii="Verdana" w:hAnsi="Verdana" w:eastAsia="Times New Roman" w:cs="Times New Roman"/>
                <w:color w:val="000000"/>
                <w:sz w:val="18"/>
                <w:szCs w:val="18"/>
                <w:lang w:eastAsia="es-CO"/>
              </w:rPr>
            </w:pPr>
          </w:p>
        </w:tc>
        <w:tc>
          <w:tcPr>
            <w:tcW w:w="1055" w:type="dxa"/>
            <w:vMerge/>
            <w:vAlign w:val="center"/>
            <w:hideMark/>
          </w:tcPr>
          <w:p w:rsidRPr="009C275C" w:rsidR="009C275C" w:rsidP="009C275C" w:rsidRDefault="009C275C" w14:paraId="0FC9CD62" w14:textId="77777777">
            <w:pPr>
              <w:spacing w:after="0" w:line="240" w:lineRule="auto"/>
              <w:rPr>
                <w:rFonts w:ascii="Verdana" w:hAnsi="Verdana" w:eastAsia="Times New Roman" w:cs="Times New Roman"/>
                <w:color w:val="000000"/>
                <w:sz w:val="18"/>
                <w:szCs w:val="18"/>
                <w:lang w:eastAsia="es-CO"/>
              </w:rPr>
            </w:pPr>
          </w:p>
        </w:tc>
        <w:tc>
          <w:tcPr>
            <w:tcW w:w="521" w:type="dxa"/>
            <w:vMerge/>
            <w:vAlign w:val="center"/>
            <w:hideMark/>
          </w:tcPr>
          <w:p w:rsidRPr="009C275C" w:rsidR="009C275C" w:rsidP="009C275C" w:rsidRDefault="009C275C" w14:paraId="4BD8E66B" w14:textId="77777777">
            <w:pPr>
              <w:spacing w:after="0" w:line="240" w:lineRule="auto"/>
              <w:rPr>
                <w:rFonts w:ascii="Verdana" w:hAnsi="Verdana" w:eastAsia="Times New Roman" w:cs="Times New Roman"/>
                <w:color w:val="000000"/>
                <w:sz w:val="18"/>
                <w:szCs w:val="18"/>
                <w:lang w:eastAsia="es-CO"/>
              </w:rPr>
            </w:pPr>
          </w:p>
        </w:tc>
        <w:tc>
          <w:tcPr>
            <w:tcW w:w="1003" w:type="dxa"/>
            <w:vMerge/>
            <w:vAlign w:val="center"/>
            <w:hideMark/>
          </w:tcPr>
          <w:p w:rsidRPr="009C275C" w:rsidR="009C275C" w:rsidP="009C275C" w:rsidRDefault="009C275C" w14:paraId="5B0C6B17" w14:textId="77777777">
            <w:pPr>
              <w:spacing w:after="0" w:line="240" w:lineRule="auto"/>
              <w:rPr>
                <w:rFonts w:ascii="Verdana" w:hAnsi="Verdana" w:eastAsia="Times New Roman" w:cs="Times New Roman"/>
                <w:color w:val="000000"/>
                <w:sz w:val="18"/>
                <w:szCs w:val="18"/>
                <w:lang w:eastAsia="es-CO"/>
              </w:rPr>
            </w:pPr>
          </w:p>
        </w:tc>
        <w:tc>
          <w:tcPr>
            <w:tcW w:w="738" w:type="dxa"/>
            <w:vMerge/>
            <w:vAlign w:val="center"/>
            <w:hideMark/>
          </w:tcPr>
          <w:p w:rsidRPr="009C275C" w:rsidR="009C275C" w:rsidP="009C275C" w:rsidRDefault="009C275C" w14:paraId="0675317E" w14:textId="77777777">
            <w:pPr>
              <w:spacing w:after="0" w:line="240" w:lineRule="auto"/>
              <w:rPr>
                <w:rFonts w:ascii="Verdana" w:hAnsi="Verdana" w:eastAsia="Times New Roman" w:cs="Times New Roman"/>
                <w:color w:val="000000"/>
                <w:sz w:val="18"/>
                <w:szCs w:val="18"/>
                <w:lang w:eastAsia="es-CO"/>
              </w:rPr>
            </w:pPr>
          </w:p>
        </w:tc>
        <w:tc>
          <w:tcPr>
            <w:tcW w:w="147" w:type="dxa"/>
            <w:noWrap/>
            <w:vAlign w:val="bottom"/>
            <w:hideMark/>
          </w:tcPr>
          <w:p w:rsidRPr="009C275C" w:rsidR="009C275C" w:rsidP="009C275C" w:rsidRDefault="009C275C" w14:paraId="58F863F9" w14:textId="77777777">
            <w:pPr>
              <w:spacing w:after="0" w:line="240" w:lineRule="auto"/>
              <w:jc w:val="center"/>
              <w:rPr>
                <w:rFonts w:ascii="Verdana" w:hAnsi="Verdana" w:eastAsia="Times New Roman" w:cs="Times New Roman"/>
                <w:color w:val="000000"/>
                <w:sz w:val="18"/>
                <w:szCs w:val="18"/>
                <w:lang w:eastAsia="es-CO"/>
              </w:rPr>
            </w:pPr>
          </w:p>
        </w:tc>
      </w:tr>
    </w:tbl>
    <w:p w:rsidRPr="009C275C" w:rsidR="009C275C" w:rsidP="009C275C" w:rsidRDefault="009C275C" w14:paraId="0776749D" w14:textId="7F4DFA06">
      <w:pPr>
        <w:pStyle w:val="Fuente"/>
        <w:spacing w:after="0"/>
        <w:rPr>
          <w:rFonts w:ascii="Verdana" w:hAnsi="Verdana"/>
        </w:rPr>
      </w:pPr>
      <w:r w:rsidRPr="30CF4445" w:rsidR="3EF05203">
        <w:rPr>
          <w:rFonts w:ascii="Verdana" w:hAnsi="Verdana"/>
        </w:rPr>
        <w:t>Fuente: Elaboración propia del Grupo de Programación y Gestión Estratégica de Proyectos con información del SIIF Nación del MinHacienda. Corte a 31 de diciembre de 2024</w:t>
      </w:r>
    </w:p>
    <w:p w:rsidR="00097599" w:rsidP="006A0A13" w:rsidRDefault="00097599" w14:paraId="66645B83" w14:textId="77777777">
      <w:pPr>
        <w:pStyle w:val="Fuente"/>
        <w:spacing w:after="0" w:line="360" w:lineRule="auto"/>
        <w:jc w:val="both"/>
        <w:rPr>
          <w:rFonts w:ascii="Verdana" w:hAnsi="Verdana"/>
          <w:sz w:val="24"/>
          <w:szCs w:val="24"/>
        </w:rPr>
      </w:pPr>
    </w:p>
    <w:p w:rsidRPr="009C275C" w:rsidR="009C275C" w:rsidP="006A0A13" w:rsidRDefault="7B8FDCB2" w14:paraId="33179E70" w14:textId="77777777">
      <w:pPr>
        <w:pStyle w:val="Fuente"/>
        <w:spacing w:after="0" w:line="360" w:lineRule="auto"/>
        <w:jc w:val="both"/>
        <w:rPr>
          <w:rFonts w:ascii="Verdana" w:hAnsi="Verdana"/>
          <w:b/>
          <w:bCs/>
          <w:sz w:val="24"/>
          <w:szCs w:val="24"/>
        </w:rPr>
      </w:pPr>
      <w:r w:rsidRPr="180099B3">
        <w:rPr>
          <w:rFonts w:ascii="Verdana" w:hAnsi="Verdana"/>
          <w:b/>
          <w:bCs/>
          <w:sz w:val="24"/>
          <w:szCs w:val="24"/>
        </w:rPr>
        <w:t>Cierre Presupuestal 2025</w:t>
      </w:r>
    </w:p>
    <w:p w:rsidR="009C275C" w:rsidP="006A0A13" w:rsidRDefault="009C275C" w14:paraId="2C25ED1B" w14:textId="77777777">
      <w:pPr>
        <w:pStyle w:val="Fuente"/>
        <w:spacing w:after="0" w:line="360" w:lineRule="auto"/>
        <w:jc w:val="both"/>
        <w:rPr>
          <w:rFonts w:ascii="Verdana" w:hAnsi="Verdana"/>
          <w:sz w:val="24"/>
          <w:szCs w:val="24"/>
        </w:rPr>
      </w:pPr>
    </w:p>
    <w:p w:rsidRPr="009C275C" w:rsidR="009C275C" w:rsidP="006A0A13" w:rsidRDefault="009C275C" w14:paraId="4605E40C" w14:textId="77777777">
      <w:pPr>
        <w:pStyle w:val="Fuente"/>
        <w:spacing w:after="0" w:line="360" w:lineRule="auto"/>
        <w:jc w:val="both"/>
        <w:rPr>
          <w:rFonts w:ascii="Verdana" w:hAnsi="Verdana"/>
          <w:sz w:val="24"/>
          <w:szCs w:val="24"/>
        </w:rPr>
      </w:pPr>
      <w:r w:rsidRPr="009C275C">
        <w:rPr>
          <w:rFonts w:ascii="Verdana" w:hAnsi="Verdana"/>
          <w:sz w:val="24"/>
          <w:szCs w:val="24"/>
        </w:rPr>
        <w:t>El Sector Minero Energético registró una apropiación vigente de $7.076.259 millones, de los cuales se comprometieron $6.691.900 millones, equivalentes al 94,6% de la apropiación total.</w:t>
      </w:r>
    </w:p>
    <w:p w:rsidR="009C275C" w:rsidP="006A0A13" w:rsidRDefault="009C275C" w14:paraId="6B0A85E3" w14:textId="77777777">
      <w:pPr>
        <w:pStyle w:val="Fuente"/>
        <w:spacing w:after="0" w:line="360" w:lineRule="auto"/>
        <w:jc w:val="both"/>
        <w:rPr>
          <w:rFonts w:ascii="Verdana" w:hAnsi="Verdana"/>
          <w:sz w:val="24"/>
          <w:szCs w:val="24"/>
        </w:rPr>
      </w:pPr>
    </w:p>
    <w:p w:rsidRPr="009C275C" w:rsidR="009C275C" w:rsidP="006A0A13" w:rsidRDefault="009C275C" w14:paraId="0DBF3407" w14:textId="77777777">
      <w:pPr>
        <w:pStyle w:val="Fuente"/>
        <w:spacing w:after="0" w:line="360" w:lineRule="auto"/>
        <w:jc w:val="both"/>
        <w:rPr>
          <w:rFonts w:ascii="Verdana" w:hAnsi="Verdana"/>
          <w:sz w:val="24"/>
          <w:szCs w:val="24"/>
        </w:rPr>
      </w:pPr>
      <w:r w:rsidRPr="009C275C">
        <w:rPr>
          <w:rFonts w:ascii="Verdana" w:hAnsi="Verdana"/>
          <w:sz w:val="24"/>
          <w:szCs w:val="24"/>
        </w:rPr>
        <w:t>El resultado sectorial estuvo determinado principalmente por la participación del Ministerio de Minas y Energía (MME), entidad que concentra la mayor proporción de recursos de inversión del sector, con compromisos por $5.938.252 millones, lo que corresponde a una ejecución presupuestal del 94,2%.</w:t>
      </w:r>
    </w:p>
    <w:p w:rsidR="009C275C" w:rsidP="006A0A13" w:rsidRDefault="009C275C" w14:paraId="7B3BAD02" w14:textId="77777777">
      <w:pPr>
        <w:pStyle w:val="Fuente"/>
        <w:spacing w:after="0" w:line="360" w:lineRule="auto"/>
        <w:jc w:val="both"/>
        <w:rPr>
          <w:rFonts w:ascii="Verdana" w:hAnsi="Verdana"/>
          <w:sz w:val="24"/>
          <w:szCs w:val="24"/>
        </w:rPr>
      </w:pPr>
    </w:p>
    <w:p w:rsidRPr="009C275C" w:rsidR="009C275C" w:rsidP="006A0A13" w:rsidRDefault="009C275C" w14:paraId="3B6915F8" w14:textId="77777777">
      <w:pPr>
        <w:pStyle w:val="Fuente"/>
        <w:spacing w:after="0" w:line="360" w:lineRule="auto"/>
        <w:jc w:val="both"/>
        <w:rPr>
          <w:rFonts w:ascii="Verdana" w:hAnsi="Verdana"/>
          <w:sz w:val="24"/>
          <w:szCs w:val="24"/>
        </w:rPr>
      </w:pPr>
      <w:r w:rsidRPr="009C275C">
        <w:rPr>
          <w:rFonts w:ascii="Verdana" w:hAnsi="Verdana"/>
          <w:sz w:val="24"/>
          <w:szCs w:val="24"/>
        </w:rPr>
        <w:t xml:space="preserve">Entre las entidades adscritas se destacan los niveles de ejecución presupuestal alcanzados por la ANH, que registró compromisos por $379.427 millones, equivalentes a una ejecución del 98,6% de su apropiación; la ANM, que registró compromisos por $100.877 millones, equivalentes al 91,6% de su apropiación; seguida por el IPSE, con compromisos por $134.957 millones, lo que equivale a una ejecución del 98,1%; por su parte, la CREG, con compromisos por $14.057 millones, </w:t>
      </w:r>
      <w:r w:rsidRPr="009C275C">
        <w:rPr>
          <w:rFonts w:ascii="Verdana" w:hAnsi="Verdana"/>
          <w:sz w:val="24"/>
          <w:szCs w:val="24"/>
        </w:rPr>
        <w:t>alcanzando una ejecución presupuestal del 88,1%; el SGC, con compromisos por  $96.866 millones, equivalentes a 97,7%; y, la UPME, con compromisos por $27.444 millones, correspondientes a una ejecución del 97,9%</w:t>
      </w:r>
      <w:r>
        <w:rPr>
          <w:rFonts w:ascii="Verdana" w:hAnsi="Verdana"/>
          <w:sz w:val="24"/>
          <w:szCs w:val="24"/>
        </w:rPr>
        <w:t>.</w:t>
      </w:r>
      <w:r w:rsidRPr="009C275C">
        <w:rPr>
          <w:rFonts w:ascii="Verdana" w:hAnsi="Verdana"/>
          <w:sz w:val="24"/>
          <w:szCs w:val="24"/>
        </w:rPr>
        <w:t xml:space="preserve"> </w:t>
      </w:r>
    </w:p>
    <w:p w:rsidR="009C275C" w:rsidP="006A0A13" w:rsidRDefault="009C275C" w14:paraId="497CA8D4" w14:textId="77777777">
      <w:pPr>
        <w:pStyle w:val="Fuente"/>
        <w:spacing w:after="0" w:line="360" w:lineRule="auto"/>
        <w:jc w:val="both"/>
        <w:rPr>
          <w:rFonts w:ascii="Verdana" w:hAnsi="Verdana"/>
          <w:sz w:val="24"/>
          <w:szCs w:val="24"/>
        </w:rPr>
      </w:pPr>
    </w:p>
    <w:p w:rsidRPr="009C275C" w:rsidR="009C275C" w:rsidP="006A0A13" w:rsidRDefault="009C275C" w14:paraId="4E65AFC5" w14:textId="77777777">
      <w:pPr>
        <w:pStyle w:val="Fuente"/>
        <w:spacing w:after="0" w:line="360" w:lineRule="auto"/>
        <w:jc w:val="both"/>
        <w:rPr>
          <w:rFonts w:ascii="Verdana" w:hAnsi="Verdana"/>
          <w:sz w:val="24"/>
          <w:szCs w:val="24"/>
        </w:rPr>
      </w:pPr>
      <w:r w:rsidRPr="009C275C">
        <w:rPr>
          <w:rFonts w:ascii="Verdana" w:hAnsi="Verdana"/>
          <w:sz w:val="24"/>
          <w:szCs w:val="24"/>
        </w:rPr>
        <w:t>En comparación con 2024, se observa una recuperación en el nivel de obligaciones, lo que refleja avances en la ejecución financiera de proyectos que se encontraban en desarrollo y una mayor materialización de los recursos comprometidos.</w:t>
      </w:r>
    </w:p>
    <w:p w:rsidR="009C275C" w:rsidP="006A0A13" w:rsidRDefault="009C275C" w14:paraId="2E1501D8" w14:textId="77777777">
      <w:pPr>
        <w:pStyle w:val="Fuente"/>
        <w:spacing w:after="0" w:line="360" w:lineRule="auto"/>
        <w:jc w:val="both"/>
        <w:rPr>
          <w:rFonts w:ascii="Verdana" w:hAnsi="Verdana"/>
          <w:sz w:val="24"/>
          <w:szCs w:val="24"/>
        </w:rPr>
      </w:pPr>
    </w:p>
    <w:p w:rsidR="009C275C" w:rsidP="006A0A13" w:rsidRDefault="009C275C" w14:paraId="76F476CF" w14:textId="77777777">
      <w:pPr>
        <w:pStyle w:val="Fuente"/>
        <w:spacing w:after="0" w:line="360" w:lineRule="auto"/>
        <w:jc w:val="both"/>
        <w:rPr>
          <w:rFonts w:ascii="Verdana" w:hAnsi="Verdana"/>
          <w:sz w:val="24"/>
          <w:szCs w:val="24"/>
        </w:rPr>
      </w:pPr>
      <w:r w:rsidRPr="009C275C">
        <w:rPr>
          <w:rFonts w:ascii="Verdana" w:hAnsi="Verdana"/>
          <w:sz w:val="24"/>
          <w:szCs w:val="24"/>
        </w:rPr>
        <w:t>En términos generales, la vigencia 2025 evidencia un desempeño favorable en la ejecución presupuestal del sector, manteniendo altos niveles de compromiso y mostrando una mejora en la ejecución financiera frente a la vigencia anterior.</w:t>
      </w:r>
    </w:p>
    <w:p w:rsidRPr="009C275C" w:rsidR="009C275C" w:rsidP="006A0A13" w:rsidRDefault="009C275C" w14:paraId="1B7EDE02" w14:textId="77777777">
      <w:pPr>
        <w:pStyle w:val="Fuente"/>
        <w:spacing w:after="0" w:line="360" w:lineRule="auto"/>
        <w:jc w:val="both"/>
        <w:rPr>
          <w:rFonts w:ascii="Verdana" w:hAnsi="Verdana"/>
          <w:sz w:val="24"/>
          <w:szCs w:val="24"/>
        </w:rPr>
      </w:pPr>
    </w:p>
    <w:p w:rsidRPr="009C275C" w:rsidR="009C275C" w:rsidP="009C275C" w:rsidRDefault="7B8FDCB2" w14:paraId="6D17C179" w14:textId="77777777">
      <w:pPr>
        <w:spacing w:after="0" w:line="240" w:lineRule="auto"/>
        <w:jc w:val="center"/>
        <w:rPr>
          <w:rFonts w:ascii="Verdana" w:hAnsi="Verdana"/>
          <w:color w:val="0E2841" w:themeColor="text2"/>
          <w:sz w:val="18"/>
          <w:szCs w:val="18"/>
        </w:rPr>
      </w:pPr>
      <w:r w:rsidRPr="180099B3">
        <w:rPr>
          <w:rFonts w:ascii="Verdana" w:hAnsi="Verdana"/>
          <w:sz w:val="18"/>
          <w:szCs w:val="18"/>
        </w:rPr>
        <w:t>Tabla</w:t>
      </w:r>
      <w:r w:rsidRPr="180099B3" w:rsidR="2471B690">
        <w:rPr>
          <w:rFonts w:ascii="Verdana" w:hAnsi="Verdana"/>
          <w:sz w:val="18"/>
          <w:szCs w:val="18"/>
        </w:rPr>
        <w:t xml:space="preserve"> No. 4</w:t>
      </w:r>
      <w:r w:rsidRPr="180099B3" w:rsidR="0F6BDB3D">
        <w:rPr>
          <w:rFonts w:ascii="Verdana" w:hAnsi="Verdana"/>
          <w:sz w:val="18"/>
          <w:szCs w:val="18"/>
        </w:rPr>
        <w:t>6</w:t>
      </w:r>
      <w:r w:rsidRPr="180099B3">
        <w:rPr>
          <w:rFonts w:ascii="Verdana" w:hAnsi="Verdana"/>
          <w:sz w:val="18"/>
          <w:szCs w:val="18"/>
        </w:rPr>
        <w:t>. Ejecución Presupuestal del Sector Minero Energético con corte a 31 de diciembre de 2025</w:t>
      </w:r>
    </w:p>
    <w:tbl>
      <w:tblPr>
        <w:tblW w:w="88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677"/>
        <w:gridCol w:w="981"/>
        <w:gridCol w:w="1020"/>
        <w:gridCol w:w="896"/>
        <w:gridCol w:w="981"/>
        <w:gridCol w:w="981"/>
        <w:gridCol w:w="1096"/>
        <w:gridCol w:w="563"/>
        <w:gridCol w:w="1042"/>
        <w:gridCol w:w="639"/>
      </w:tblGrid>
      <w:tr w:rsidRPr="009C275C" w:rsidR="009C275C" w:rsidTr="009C275C" w14:paraId="25C2AD61" w14:textId="77777777">
        <w:trPr>
          <w:trHeight w:val="303"/>
        </w:trPr>
        <w:tc>
          <w:tcPr>
            <w:tcW w:w="677" w:type="dxa"/>
            <w:vMerge w:val="restart"/>
            <w:shd w:val="clear" w:color="auto" w:fill="A6A6A6" w:themeFill="background1" w:themeFillShade="A6"/>
            <w:vAlign w:val="center"/>
            <w:hideMark/>
          </w:tcPr>
          <w:p w:rsidRPr="009C275C" w:rsidR="009C275C" w:rsidP="009C275C" w:rsidRDefault="009C275C" w14:paraId="43663B7D" w14:textId="77777777">
            <w:pPr>
              <w:spacing w:after="0" w:line="240" w:lineRule="auto"/>
              <w:jc w:val="center"/>
              <w:rPr>
                <w:rFonts w:ascii="Verdana" w:hAnsi="Verdana" w:eastAsia="Times New Roman" w:cs="Times New Roman"/>
                <w:b/>
                <w:bCs/>
                <w:color w:val="000000"/>
                <w:sz w:val="12"/>
                <w:szCs w:val="12"/>
                <w:lang w:eastAsia="es-CO"/>
              </w:rPr>
            </w:pPr>
            <w:r w:rsidRPr="009C275C">
              <w:rPr>
                <w:rFonts w:ascii="Verdana" w:hAnsi="Verdana" w:eastAsia="Times New Roman" w:cs="Times New Roman"/>
                <w:b/>
                <w:bCs/>
                <w:color w:val="000000"/>
                <w:sz w:val="12"/>
                <w:szCs w:val="12"/>
                <w:lang w:eastAsia="es-CO"/>
              </w:rPr>
              <w:t>Entidad</w:t>
            </w:r>
          </w:p>
        </w:tc>
        <w:tc>
          <w:tcPr>
            <w:tcW w:w="981" w:type="dxa"/>
            <w:vMerge w:val="restart"/>
            <w:shd w:val="clear" w:color="auto" w:fill="A6A6A6" w:themeFill="background1" w:themeFillShade="A6"/>
            <w:vAlign w:val="center"/>
            <w:hideMark/>
          </w:tcPr>
          <w:p w:rsidRPr="009C275C" w:rsidR="009C275C" w:rsidP="009C275C" w:rsidRDefault="009C275C" w14:paraId="4405000E" w14:textId="77777777">
            <w:pPr>
              <w:spacing w:after="0" w:line="240" w:lineRule="auto"/>
              <w:jc w:val="center"/>
              <w:rPr>
                <w:rFonts w:ascii="Verdana" w:hAnsi="Verdana" w:eastAsia="Times New Roman" w:cs="Times New Roman"/>
                <w:b/>
                <w:bCs/>
                <w:color w:val="000000"/>
                <w:sz w:val="12"/>
                <w:szCs w:val="12"/>
                <w:lang w:eastAsia="es-CO"/>
              </w:rPr>
            </w:pPr>
            <w:r w:rsidRPr="009C275C">
              <w:rPr>
                <w:rFonts w:ascii="Verdana" w:hAnsi="Verdana" w:eastAsia="Times New Roman" w:cs="Times New Roman"/>
                <w:b/>
                <w:bCs/>
                <w:color w:val="000000"/>
                <w:sz w:val="12"/>
                <w:szCs w:val="12"/>
                <w:lang w:eastAsia="es-CO"/>
              </w:rPr>
              <w:t>Apropiación Inicial 2025</w:t>
            </w:r>
          </w:p>
        </w:tc>
        <w:tc>
          <w:tcPr>
            <w:tcW w:w="1020" w:type="dxa"/>
            <w:vMerge w:val="restart"/>
            <w:shd w:val="clear" w:color="auto" w:fill="A6A6A6" w:themeFill="background1" w:themeFillShade="A6"/>
            <w:vAlign w:val="center"/>
            <w:hideMark/>
          </w:tcPr>
          <w:p w:rsidRPr="009C275C" w:rsidR="009C275C" w:rsidP="009C275C" w:rsidRDefault="009C275C" w14:paraId="0EDFE42B" w14:textId="77777777">
            <w:pPr>
              <w:spacing w:after="0" w:line="240" w:lineRule="auto"/>
              <w:jc w:val="center"/>
              <w:rPr>
                <w:rFonts w:ascii="Verdana" w:hAnsi="Verdana" w:eastAsia="Times New Roman" w:cs="Times New Roman"/>
                <w:b/>
                <w:bCs/>
                <w:color w:val="000000"/>
                <w:sz w:val="12"/>
                <w:szCs w:val="12"/>
                <w:lang w:eastAsia="es-CO"/>
              </w:rPr>
            </w:pPr>
            <w:r w:rsidRPr="009C275C">
              <w:rPr>
                <w:rFonts w:ascii="Verdana" w:hAnsi="Verdana" w:eastAsia="Times New Roman" w:cs="Times New Roman"/>
                <w:b/>
                <w:bCs/>
                <w:color w:val="000000"/>
                <w:sz w:val="12"/>
                <w:szCs w:val="12"/>
                <w:lang w:eastAsia="es-CO"/>
              </w:rPr>
              <w:t>Traslados Presupuesto Reducción</w:t>
            </w:r>
          </w:p>
        </w:tc>
        <w:tc>
          <w:tcPr>
            <w:tcW w:w="896" w:type="dxa"/>
            <w:vMerge w:val="restart"/>
            <w:shd w:val="clear" w:color="auto" w:fill="A6A6A6" w:themeFill="background1" w:themeFillShade="A6"/>
            <w:vAlign w:val="center"/>
            <w:hideMark/>
          </w:tcPr>
          <w:p w:rsidRPr="009C275C" w:rsidR="009C275C" w:rsidP="009C275C" w:rsidRDefault="009C275C" w14:paraId="3E40F93F" w14:textId="77777777">
            <w:pPr>
              <w:spacing w:after="0" w:line="240" w:lineRule="auto"/>
              <w:jc w:val="center"/>
              <w:rPr>
                <w:rFonts w:ascii="Verdana" w:hAnsi="Verdana" w:eastAsia="Times New Roman" w:cs="Times New Roman"/>
                <w:b/>
                <w:bCs/>
                <w:color w:val="000000"/>
                <w:sz w:val="12"/>
                <w:szCs w:val="12"/>
                <w:lang w:eastAsia="es-CO"/>
              </w:rPr>
            </w:pPr>
            <w:r w:rsidRPr="009C275C">
              <w:rPr>
                <w:rFonts w:ascii="Verdana" w:hAnsi="Verdana" w:eastAsia="Times New Roman" w:cs="Times New Roman"/>
                <w:b/>
                <w:bCs/>
                <w:color w:val="000000"/>
                <w:sz w:val="12"/>
                <w:szCs w:val="12"/>
                <w:lang w:eastAsia="es-CO"/>
              </w:rPr>
              <w:t>Total, adiciones</w:t>
            </w:r>
          </w:p>
        </w:tc>
        <w:tc>
          <w:tcPr>
            <w:tcW w:w="981" w:type="dxa"/>
            <w:shd w:val="clear" w:color="auto" w:fill="A6A6A6" w:themeFill="background1" w:themeFillShade="A6"/>
            <w:vAlign w:val="center"/>
            <w:hideMark/>
          </w:tcPr>
          <w:p w:rsidRPr="009C275C" w:rsidR="009C275C" w:rsidP="009C275C" w:rsidRDefault="009C275C" w14:paraId="5DA6C57E" w14:textId="77777777">
            <w:pPr>
              <w:spacing w:after="0" w:line="240" w:lineRule="auto"/>
              <w:jc w:val="center"/>
              <w:rPr>
                <w:rFonts w:ascii="Verdana" w:hAnsi="Verdana" w:eastAsia="Times New Roman" w:cs="Times New Roman"/>
                <w:b/>
                <w:bCs/>
                <w:color w:val="000000"/>
                <w:sz w:val="12"/>
                <w:szCs w:val="12"/>
                <w:lang w:eastAsia="es-CO"/>
              </w:rPr>
            </w:pPr>
            <w:r w:rsidRPr="009C275C">
              <w:rPr>
                <w:rFonts w:ascii="Verdana" w:hAnsi="Verdana" w:eastAsia="Times New Roman" w:cs="Times New Roman"/>
                <w:b/>
                <w:bCs/>
                <w:color w:val="000000"/>
                <w:sz w:val="12"/>
                <w:szCs w:val="12"/>
                <w:lang w:eastAsia="es-CO"/>
              </w:rPr>
              <w:t>Apropiación</w:t>
            </w:r>
          </w:p>
        </w:tc>
        <w:tc>
          <w:tcPr>
            <w:tcW w:w="981" w:type="dxa"/>
            <w:vMerge w:val="restart"/>
            <w:shd w:val="clear" w:color="auto" w:fill="A6A6A6" w:themeFill="background1" w:themeFillShade="A6"/>
            <w:vAlign w:val="center"/>
            <w:hideMark/>
          </w:tcPr>
          <w:p w:rsidRPr="009C275C" w:rsidR="009C275C" w:rsidP="009C275C" w:rsidRDefault="009C275C" w14:paraId="61F36A48" w14:textId="77777777">
            <w:pPr>
              <w:spacing w:after="0" w:line="240" w:lineRule="auto"/>
              <w:jc w:val="center"/>
              <w:rPr>
                <w:rFonts w:ascii="Verdana" w:hAnsi="Verdana" w:eastAsia="Times New Roman" w:cs="Times New Roman"/>
                <w:b/>
                <w:bCs/>
                <w:color w:val="000000"/>
                <w:sz w:val="12"/>
                <w:szCs w:val="12"/>
                <w:lang w:eastAsia="es-CO"/>
              </w:rPr>
            </w:pPr>
            <w:r w:rsidRPr="009C275C">
              <w:rPr>
                <w:rFonts w:ascii="Verdana" w:hAnsi="Verdana" w:eastAsia="Times New Roman" w:cs="Times New Roman"/>
                <w:b/>
                <w:bCs/>
                <w:color w:val="000000"/>
                <w:sz w:val="12"/>
                <w:szCs w:val="12"/>
                <w:lang w:eastAsia="es-CO"/>
              </w:rPr>
              <w:t>Apropiación Bloqueada 2025</w:t>
            </w:r>
          </w:p>
        </w:tc>
        <w:tc>
          <w:tcPr>
            <w:tcW w:w="1096" w:type="dxa"/>
            <w:vMerge w:val="restart"/>
            <w:shd w:val="clear" w:color="auto" w:fill="A6A6A6" w:themeFill="background1" w:themeFillShade="A6"/>
            <w:vAlign w:val="center"/>
            <w:hideMark/>
          </w:tcPr>
          <w:p w:rsidRPr="009C275C" w:rsidR="009C275C" w:rsidP="009C275C" w:rsidRDefault="009C275C" w14:paraId="5241417E" w14:textId="77777777">
            <w:pPr>
              <w:spacing w:after="0" w:line="240" w:lineRule="auto"/>
              <w:jc w:val="center"/>
              <w:rPr>
                <w:rFonts w:ascii="Verdana" w:hAnsi="Verdana" w:eastAsia="Times New Roman" w:cs="Times New Roman"/>
                <w:b/>
                <w:bCs/>
                <w:color w:val="000000"/>
                <w:sz w:val="12"/>
                <w:szCs w:val="12"/>
                <w:lang w:eastAsia="es-CO"/>
              </w:rPr>
            </w:pPr>
            <w:r w:rsidRPr="009C275C">
              <w:rPr>
                <w:rFonts w:ascii="Verdana" w:hAnsi="Verdana" w:eastAsia="Times New Roman" w:cs="Times New Roman"/>
                <w:b/>
                <w:bCs/>
                <w:color w:val="000000"/>
                <w:sz w:val="12"/>
                <w:szCs w:val="12"/>
                <w:lang w:eastAsia="es-CO"/>
              </w:rPr>
              <w:t>Compromisos</w:t>
            </w:r>
          </w:p>
        </w:tc>
        <w:tc>
          <w:tcPr>
            <w:tcW w:w="563" w:type="dxa"/>
            <w:vMerge w:val="restart"/>
            <w:shd w:val="clear" w:color="auto" w:fill="A6A6A6" w:themeFill="background1" w:themeFillShade="A6"/>
            <w:vAlign w:val="center"/>
            <w:hideMark/>
          </w:tcPr>
          <w:p w:rsidRPr="009C275C" w:rsidR="009C275C" w:rsidP="009C275C" w:rsidRDefault="009C275C" w14:paraId="2C7A69D9" w14:textId="77777777">
            <w:pPr>
              <w:spacing w:after="0" w:line="240" w:lineRule="auto"/>
              <w:jc w:val="center"/>
              <w:rPr>
                <w:rFonts w:ascii="Verdana" w:hAnsi="Verdana" w:eastAsia="Times New Roman" w:cs="Times New Roman"/>
                <w:b/>
                <w:bCs/>
                <w:color w:val="000000"/>
                <w:sz w:val="12"/>
                <w:szCs w:val="12"/>
                <w:lang w:eastAsia="es-CO"/>
              </w:rPr>
            </w:pPr>
            <w:r w:rsidRPr="009C275C">
              <w:rPr>
                <w:rFonts w:ascii="Verdana" w:hAnsi="Verdana" w:eastAsia="Times New Roman" w:cs="Times New Roman"/>
                <w:b/>
                <w:bCs/>
                <w:color w:val="000000"/>
                <w:sz w:val="12"/>
                <w:szCs w:val="12"/>
                <w:lang w:eastAsia="es-CO"/>
              </w:rPr>
              <w:t>% Comp</w:t>
            </w:r>
          </w:p>
        </w:tc>
        <w:tc>
          <w:tcPr>
            <w:tcW w:w="1042" w:type="dxa"/>
            <w:vMerge w:val="restart"/>
            <w:shd w:val="clear" w:color="auto" w:fill="A6A6A6" w:themeFill="background1" w:themeFillShade="A6"/>
            <w:vAlign w:val="center"/>
            <w:hideMark/>
          </w:tcPr>
          <w:p w:rsidRPr="009C275C" w:rsidR="009C275C" w:rsidP="009C275C" w:rsidRDefault="009C275C" w14:paraId="6F3B72F6" w14:textId="77777777">
            <w:pPr>
              <w:spacing w:after="0" w:line="240" w:lineRule="auto"/>
              <w:jc w:val="center"/>
              <w:rPr>
                <w:rFonts w:ascii="Verdana" w:hAnsi="Verdana" w:eastAsia="Times New Roman" w:cs="Times New Roman"/>
                <w:b/>
                <w:bCs/>
                <w:color w:val="000000"/>
                <w:sz w:val="12"/>
                <w:szCs w:val="12"/>
                <w:lang w:eastAsia="es-CO"/>
              </w:rPr>
            </w:pPr>
            <w:r w:rsidRPr="009C275C">
              <w:rPr>
                <w:rFonts w:ascii="Verdana" w:hAnsi="Verdana" w:eastAsia="Times New Roman" w:cs="Times New Roman"/>
                <w:b/>
                <w:bCs/>
                <w:color w:val="000000"/>
                <w:sz w:val="12"/>
                <w:szCs w:val="12"/>
                <w:lang w:eastAsia="es-CO"/>
              </w:rPr>
              <w:t>Obligaciones</w:t>
            </w:r>
          </w:p>
        </w:tc>
        <w:tc>
          <w:tcPr>
            <w:tcW w:w="639" w:type="dxa"/>
            <w:vMerge w:val="restart"/>
            <w:shd w:val="clear" w:color="auto" w:fill="A6A6A6" w:themeFill="background1" w:themeFillShade="A6"/>
            <w:vAlign w:val="center"/>
            <w:hideMark/>
          </w:tcPr>
          <w:p w:rsidRPr="009C275C" w:rsidR="009C275C" w:rsidP="009C275C" w:rsidRDefault="009C275C" w14:paraId="56B62BFF" w14:textId="77777777">
            <w:pPr>
              <w:spacing w:after="0" w:line="240" w:lineRule="auto"/>
              <w:jc w:val="center"/>
              <w:rPr>
                <w:rFonts w:ascii="Verdana" w:hAnsi="Verdana" w:eastAsia="Times New Roman" w:cs="Times New Roman"/>
                <w:b/>
                <w:bCs/>
                <w:color w:val="000000"/>
                <w:sz w:val="12"/>
                <w:szCs w:val="12"/>
                <w:lang w:eastAsia="es-CO"/>
              </w:rPr>
            </w:pPr>
            <w:r w:rsidRPr="009C275C">
              <w:rPr>
                <w:rFonts w:ascii="Verdana" w:hAnsi="Verdana" w:eastAsia="Times New Roman" w:cs="Times New Roman"/>
                <w:b/>
                <w:bCs/>
                <w:color w:val="000000"/>
                <w:sz w:val="12"/>
                <w:szCs w:val="12"/>
                <w:lang w:eastAsia="es-CO"/>
              </w:rPr>
              <w:t>% Oblig.</w:t>
            </w:r>
          </w:p>
        </w:tc>
      </w:tr>
      <w:tr w:rsidRPr="009C275C" w:rsidR="009C275C" w:rsidTr="009C275C" w14:paraId="3344B91A" w14:textId="77777777">
        <w:trPr>
          <w:trHeight w:val="312"/>
        </w:trPr>
        <w:tc>
          <w:tcPr>
            <w:tcW w:w="677" w:type="dxa"/>
            <w:vMerge/>
            <w:vAlign w:val="center"/>
            <w:hideMark/>
          </w:tcPr>
          <w:p w:rsidRPr="009C275C" w:rsidR="009C275C" w:rsidP="009C275C" w:rsidRDefault="009C275C" w14:paraId="3882309D" w14:textId="77777777">
            <w:pPr>
              <w:spacing w:after="0" w:line="240" w:lineRule="auto"/>
              <w:jc w:val="center"/>
              <w:rPr>
                <w:rFonts w:ascii="Verdana" w:hAnsi="Verdana" w:eastAsia="Times New Roman" w:cs="Times New Roman"/>
                <w:b/>
                <w:bCs/>
                <w:color w:val="000000"/>
                <w:sz w:val="12"/>
                <w:szCs w:val="12"/>
                <w:lang w:eastAsia="es-CO"/>
              </w:rPr>
            </w:pPr>
          </w:p>
        </w:tc>
        <w:tc>
          <w:tcPr>
            <w:tcW w:w="981" w:type="dxa"/>
            <w:vMerge/>
            <w:vAlign w:val="center"/>
            <w:hideMark/>
          </w:tcPr>
          <w:p w:rsidRPr="009C275C" w:rsidR="009C275C" w:rsidP="009C275C" w:rsidRDefault="009C275C" w14:paraId="758FD0B9" w14:textId="77777777">
            <w:pPr>
              <w:spacing w:after="0" w:line="240" w:lineRule="auto"/>
              <w:jc w:val="center"/>
              <w:rPr>
                <w:rFonts w:ascii="Verdana" w:hAnsi="Verdana" w:eastAsia="Times New Roman" w:cs="Times New Roman"/>
                <w:b/>
                <w:bCs/>
                <w:color w:val="000000"/>
                <w:sz w:val="12"/>
                <w:szCs w:val="12"/>
                <w:lang w:eastAsia="es-CO"/>
              </w:rPr>
            </w:pPr>
          </w:p>
        </w:tc>
        <w:tc>
          <w:tcPr>
            <w:tcW w:w="1020" w:type="dxa"/>
            <w:vMerge/>
            <w:vAlign w:val="center"/>
            <w:hideMark/>
          </w:tcPr>
          <w:p w:rsidRPr="009C275C" w:rsidR="009C275C" w:rsidP="009C275C" w:rsidRDefault="009C275C" w14:paraId="2947334F" w14:textId="77777777">
            <w:pPr>
              <w:spacing w:after="0" w:line="240" w:lineRule="auto"/>
              <w:jc w:val="center"/>
              <w:rPr>
                <w:rFonts w:ascii="Verdana" w:hAnsi="Verdana" w:eastAsia="Times New Roman" w:cs="Times New Roman"/>
                <w:b/>
                <w:bCs/>
                <w:color w:val="000000"/>
                <w:sz w:val="12"/>
                <w:szCs w:val="12"/>
                <w:lang w:eastAsia="es-CO"/>
              </w:rPr>
            </w:pPr>
          </w:p>
        </w:tc>
        <w:tc>
          <w:tcPr>
            <w:tcW w:w="896" w:type="dxa"/>
            <w:vMerge/>
            <w:vAlign w:val="center"/>
            <w:hideMark/>
          </w:tcPr>
          <w:p w:rsidRPr="009C275C" w:rsidR="009C275C" w:rsidP="009C275C" w:rsidRDefault="009C275C" w14:paraId="2B8818F8" w14:textId="77777777">
            <w:pPr>
              <w:spacing w:after="0" w:line="240" w:lineRule="auto"/>
              <w:jc w:val="center"/>
              <w:rPr>
                <w:rFonts w:ascii="Verdana" w:hAnsi="Verdana" w:eastAsia="Times New Roman" w:cs="Times New Roman"/>
                <w:b/>
                <w:bCs/>
                <w:color w:val="000000"/>
                <w:sz w:val="12"/>
                <w:szCs w:val="12"/>
                <w:lang w:eastAsia="es-CO"/>
              </w:rPr>
            </w:pPr>
          </w:p>
        </w:tc>
        <w:tc>
          <w:tcPr>
            <w:tcW w:w="981" w:type="dxa"/>
            <w:shd w:val="clear" w:color="auto" w:fill="A6A6A6" w:themeFill="background1" w:themeFillShade="A6"/>
            <w:vAlign w:val="center"/>
            <w:hideMark/>
          </w:tcPr>
          <w:p w:rsidRPr="009C275C" w:rsidR="009C275C" w:rsidP="009C275C" w:rsidRDefault="009C275C" w14:paraId="1F32AF92" w14:textId="77777777">
            <w:pPr>
              <w:spacing w:after="0" w:line="240" w:lineRule="auto"/>
              <w:jc w:val="center"/>
              <w:rPr>
                <w:rFonts w:ascii="Verdana" w:hAnsi="Verdana" w:eastAsia="Times New Roman" w:cs="Times New Roman"/>
                <w:b/>
                <w:bCs/>
                <w:color w:val="000000"/>
                <w:sz w:val="12"/>
                <w:szCs w:val="12"/>
                <w:lang w:eastAsia="es-CO"/>
              </w:rPr>
            </w:pPr>
            <w:r w:rsidRPr="009C275C">
              <w:rPr>
                <w:rFonts w:ascii="Verdana" w:hAnsi="Verdana" w:eastAsia="Times New Roman" w:cs="Times New Roman"/>
                <w:b/>
                <w:bCs/>
                <w:color w:val="000000"/>
                <w:sz w:val="12"/>
                <w:szCs w:val="12"/>
                <w:lang w:eastAsia="es-CO"/>
              </w:rPr>
              <w:t>Vigente 2025</w:t>
            </w:r>
          </w:p>
        </w:tc>
        <w:tc>
          <w:tcPr>
            <w:tcW w:w="981" w:type="dxa"/>
            <w:vMerge/>
            <w:vAlign w:val="center"/>
            <w:hideMark/>
          </w:tcPr>
          <w:p w:rsidRPr="009C275C" w:rsidR="009C275C" w:rsidP="009C275C" w:rsidRDefault="009C275C" w14:paraId="768646D5" w14:textId="77777777">
            <w:pPr>
              <w:spacing w:after="0" w:line="240" w:lineRule="auto"/>
              <w:jc w:val="center"/>
              <w:rPr>
                <w:rFonts w:ascii="Verdana" w:hAnsi="Verdana" w:eastAsia="Times New Roman" w:cs="Times New Roman"/>
                <w:b/>
                <w:bCs/>
                <w:color w:val="000000"/>
                <w:sz w:val="12"/>
                <w:szCs w:val="12"/>
                <w:lang w:eastAsia="es-CO"/>
              </w:rPr>
            </w:pPr>
          </w:p>
        </w:tc>
        <w:tc>
          <w:tcPr>
            <w:tcW w:w="1096" w:type="dxa"/>
            <w:vMerge/>
            <w:vAlign w:val="center"/>
            <w:hideMark/>
          </w:tcPr>
          <w:p w:rsidRPr="009C275C" w:rsidR="009C275C" w:rsidP="009C275C" w:rsidRDefault="009C275C" w14:paraId="18584E92" w14:textId="77777777">
            <w:pPr>
              <w:spacing w:after="0" w:line="240" w:lineRule="auto"/>
              <w:jc w:val="center"/>
              <w:rPr>
                <w:rFonts w:ascii="Verdana" w:hAnsi="Verdana" w:eastAsia="Times New Roman" w:cs="Times New Roman"/>
                <w:b/>
                <w:bCs/>
                <w:color w:val="000000"/>
                <w:sz w:val="12"/>
                <w:szCs w:val="12"/>
                <w:lang w:eastAsia="es-CO"/>
              </w:rPr>
            </w:pPr>
          </w:p>
        </w:tc>
        <w:tc>
          <w:tcPr>
            <w:tcW w:w="563" w:type="dxa"/>
            <w:vMerge/>
            <w:vAlign w:val="center"/>
            <w:hideMark/>
          </w:tcPr>
          <w:p w:rsidRPr="009C275C" w:rsidR="009C275C" w:rsidP="009C275C" w:rsidRDefault="009C275C" w14:paraId="0ECAEDD1" w14:textId="77777777">
            <w:pPr>
              <w:spacing w:after="0" w:line="240" w:lineRule="auto"/>
              <w:jc w:val="center"/>
              <w:rPr>
                <w:rFonts w:ascii="Verdana" w:hAnsi="Verdana" w:eastAsia="Times New Roman" w:cs="Times New Roman"/>
                <w:b/>
                <w:bCs/>
                <w:color w:val="000000"/>
                <w:sz w:val="12"/>
                <w:szCs w:val="12"/>
                <w:lang w:eastAsia="es-CO"/>
              </w:rPr>
            </w:pPr>
          </w:p>
        </w:tc>
        <w:tc>
          <w:tcPr>
            <w:tcW w:w="1042" w:type="dxa"/>
            <w:vMerge/>
            <w:vAlign w:val="center"/>
            <w:hideMark/>
          </w:tcPr>
          <w:p w:rsidRPr="009C275C" w:rsidR="009C275C" w:rsidP="009C275C" w:rsidRDefault="009C275C" w14:paraId="1A1215F0" w14:textId="77777777">
            <w:pPr>
              <w:spacing w:after="0" w:line="240" w:lineRule="auto"/>
              <w:jc w:val="center"/>
              <w:rPr>
                <w:rFonts w:ascii="Verdana" w:hAnsi="Verdana" w:eastAsia="Times New Roman" w:cs="Times New Roman"/>
                <w:b/>
                <w:bCs/>
                <w:color w:val="000000"/>
                <w:sz w:val="12"/>
                <w:szCs w:val="12"/>
                <w:lang w:eastAsia="es-CO"/>
              </w:rPr>
            </w:pPr>
          </w:p>
        </w:tc>
        <w:tc>
          <w:tcPr>
            <w:tcW w:w="639" w:type="dxa"/>
            <w:vMerge/>
            <w:vAlign w:val="center"/>
            <w:hideMark/>
          </w:tcPr>
          <w:p w:rsidRPr="009C275C" w:rsidR="009C275C" w:rsidP="009C275C" w:rsidRDefault="009C275C" w14:paraId="42E055B4" w14:textId="77777777">
            <w:pPr>
              <w:spacing w:after="0" w:line="240" w:lineRule="auto"/>
              <w:jc w:val="center"/>
              <w:rPr>
                <w:rFonts w:ascii="Verdana" w:hAnsi="Verdana" w:eastAsia="Times New Roman" w:cs="Times New Roman"/>
                <w:b/>
                <w:bCs/>
                <w:color w:val="000000"/>
                <w:sz w:val="12"/>
                <w:szCs w:val="12"/>
                <w:lang w:eastAsia="es-CO"/>
              </w:rPr>
            </w:pPr>
          </w:p>
        </w:tc>
      </w:tr>
      <w:tr w:rsidRPr="009C275C" w:rsidR="009C275C" w14:paraId="1EE7A33C" w14:textId="77777777">
        <w:trPr>
          <w:trHeight w:val="312"/>
        </w:trPr>
        <w:tc>
          <w:tcPr>
            <w:tcW w:w="677" w:type="dxa"/>
            <w:vAlign w:val="center"/>
            <w:hideMark/>
          </w:tcPr>
          <w:p w:rsidRPr="009C275C" w:rsidR="009C275C" w:rsidP="009C275C" w:rsidRDefault="009C275C" w14:paraId="6E7DE4B2" w14:textId="77777777">
            <w:pPr>
              <w:spacing w:after="0" w:line="240" w:lineRule="auto"/>
              <w:jc w:val="center"/>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MME</w:t>
            </w:r>
          </w:p>
        </w:tc>
        <w:tc>
          <w:tcPr>
            <w:tcW w:w="981" w:type="dxa"/>
            <w:noWrap/>
            <w:vAlign w:val="center"/>
            <w:hideMark/>
          </w:tcPr>
          <w:p w:rsidRPr="009C275C" w:rsidR="009C275C" w:rsidP="009C275C" w:rsidRDefault="009C275C" w14:paraId="6EBB8117" w14:textId="77777777">
            <w:pPr>
              <w:spacing w:after="0" w:line="240" w:lineRule="auto"/>
              <w:jc w:val="center"/>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$ 6.635.211</w:t>
            </w:r>
          </w:p>
        </w:tc>
        <w:tc>
          <w:tcPr>
            <w:tcW w:w="1020" w:type="dxa"/>
            <w:noWrap/>
            <w:vAlign w:val="center"/>
            <w:hideMark/>
          </w:tcPr>
          <w:p w:rsidRPr="009C275C" w:rsidR="009C275C" w:rsidP="009C275C" w:rsidRDefault="009C275C" w14:paraId="2A543615" w14:textId="77777777">
            <w:pPr>
              <w:spacing w:after="0" w:line="240" w:lineRule="auto"/>
              <w:jc w:val="center"/>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$ 456.366</w:t>
            </w:r>
          </w:p>
        </w:tc>
        <w:tc>
          <w:tcPr>
            <w:tcW w:w="896" w:type="dxa"/>
            <w:noWrap/>
            <w:vAlign w:val="center"/>
            <w:hideMark/>
          </w:tcPr>
          <w:p w:rsidRPr="009C275C" w:rsidR="009C275C" w:rsidP="009C275C" w:rsidRDefault="009C275C" w14:paraId="7BAB9EAA" w14:textId="77777777">
            <w:pPr>
              <w:spacing w:after="0" w:line="240" w:lineRule="auto"/>
              <w:jc w:val="center"/>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$ 121.752</w:t>
            </w:r>
          </w:p>
        </w:tc>
        <w:tc>
          <w:tcPr>
            <w:tcW w:w="981" w:type="dxa"/>
            <w:noWrap/>
            <w:vAlign w:val="center"/>
            <w:hideMark/>
          </w:tcPr>
          <w:p w:rsidRPr="009C275C" w:rsidR="009C275C" w:rsidP="009C275C" w:rsidRDefault="009C275C" w14:paraId="01F2D433" w14:textId="77777777">
            <w:pPr>
              <w:spacing w:after="0" w:line="240" w:lineRule="auto"/>
              <w:jc w:val="center"/>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$ 6.300.597</w:t>
            </w:r>
          </w:p>
        </w:tc>
        <w:tc>
          <w:tcPr>
            <w:tcW w:w="981" w:type="dxa"/>
            <w:vAlign w:val="center"/>
            <w:hideMark/>
          </w:tcPr>
          <w:p w:rsidRPr="009C275C" w:rsidR="009C275C" w:rsidP="009C275C" w:rsidRDefault="009C275C" w14:paraId="5BC3667E" w14:textId="77777777">
            <w:pPr>
              <w:spacing w:after="0" w:line="240" w:lineRule="auto"/>
              <w:jc w:val="center"/>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w:t>
            </w:r>
          </w:p>
        </w:tc>
        <w:tc>
          <w:tcPr>
            <w:tcW w:w="1096" w:type="dxa"/>
            <w:noWrap/>
            <w:vAlign w:val="center"/>
            <w:hideMark/>
          </w:tcPr>
          <w:p w:rsidRPr="009C275C" w:rsidR="009C275C" w:rsidP="009C275C" w:rsidRDefault="009C275C" w14:paraId="723FD1EE" w14:textId="77777777">
            <w:pPr>
              <w:spacing w:after="0" w:line="240" w:lineRule="auto"/>
              <w:jc w:val="center"/>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$ 5.938.252</w:t>
            </w:r>
          </w:p>
        </w:tc>
        <w:tc>
          <w:tcPr>
            <w:tcW w:w="563" w:type="dxa"/>
            <w:vAlign w:val="center"/>
            <w:hideMark/>
          </w:tcPr>
          <w:p w:rsidRPr="009C275C" w:rsidR="009C275C" w:rsidP="009C275C" w:rsidRDefault="009C275C" w14:paraId="1565865C" w14:textId="77777777">
            <w:pPr>
              <w:spacing w:after="0" w:line="240" w:lineRule="auto"/>
              <w:jc w:val="center"/>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94,2%</w:t>
            </w:r>
          </w:p>
        </w:tc>
        <w:tc>
          <w:tcPr>
            <w:tcW w:w="1042" w:type="dxa"/>
            <w:noWrap/>
            <w:vAlign w:val="center"/>
            <w:hideMark/>
          </w:tcPr>
          <w:p w:rsidRPr="009C275C" w:rsidR="009C275C" w:rsidP="009C275C" w:rsidRDefault="009C275C" w14:paraId="72E0244D" w14:textId="77777777">
            <w:pPr>
              <w:spacing w:after="0" w:line="240" w:lineRule="auto"/>
              <w:jc w:val="center"/>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$ 4.237.595</w:t>
            </w:r>
          </w:p>
        </w:tc>
        <w:tc>
          <w:tcPr>
            <w:tcW w:w="639" w:type="dxa"/>
            <w:noWrap/>
            <w:vAlign w:val="center"/>
            <w:hideMark/>
          </w:tcPr>
          <w:p w:rsidRPr="009C275C" w:rsidR="009C275C" w:rsidP="009C275C" w:rsidRDefault="009C275C" w14:paraId="1BDD969C" w14:textId="77777777">
            <w:pPr>
              <w:spacing w:after="0" w:line="240" w:lineRule="auto"/>
              <w:jc w:val="center"/>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67,3%</w:t>
            </w:r>
          </w:p>
        </w:tc>
      </w:tr>
      <w:tr w:rsidRPr="009C275C" w:rsidR="009C275C" w14:paraId="2C0BA8B3" w14:textId="77777777">
        <w:trPr>
          <w:trHeight w:val="312"/>
        </w:trPr>
        <w:tc>
          <w:tcPr>
            <w:tcW w:w="677" w:type="dxa"/>
            <w:vAlign w:val="center"/>
            <w:hideMark/>
          </w:tcPr>
          <w:p w:rsidRPr="009C275C" w:rsidR="009C275C" w:rsidP="009C275C" w:rsidRDefault="009C275C" w14:paraId="376DEFFE" w14:textId="77777777">
            <w:pPr>
              <w:spacing w:after="0" w:line="240" w:lineRule="auto"/>
              <w:jc w:val="center"/>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themeColor="text1"/>
                <w:sz w:val="12"/>
                <w:szCs w:val="12"/>
                <w:lang w:eastAsia="es-CO"/>
              </w:rPr>
              <w:t>ANH</w:t>
            </w:r>
          </w:p>
        </w:tc>
        <w:tc>
          <w:tcPr>
            <w:tcW w:w="981" w:type="dxa"/>
            <w:shd w:val="clear" w:color="auto" w:fill="FFFFFF" w:themeFill="background1"/>
            <w:noWrap/>
            <w:vAlign w:val="center"/>
            <w:hideMark/>
          </w:tcPr>
          <w:p w:rsidRPr="009C275C" w:rsidR="009C275C" w:rsidP="009C275C" w:rsidRDefault="009C275C" w14:paraId="0F9CA9C9" w14:textId="77777777">
            <w:pPr>
              <w:spacing w:after="0" w:line="240" w:lineRule="auto"/>
              <w:jc w:val="center"/>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themeColor="text1"/>
                <w:sz w:val="12"/>
                <w:szCs w:val="12"/>
                <w:lang w:eastAsia="es-CO"/>
              </w:rPr>
              <w:t>$ 385.890</w:t>
            </w:r>
          </w:p>
        </w:tc>
        <w:tc>
          <w:tcPr>
            <w:tcW w:w="1020" w:type="dxa"/>
            <w:noWrap/>
            <w:vAlign w:val="center"/>
            <w:hideMark/>
          </w:tcPr>
          <w:p w:rsidRPr="009C275C" w:rsidR="009C275C" w:rsidP="009C275C" w:rsidRDefault="009C275C" w14:paraId="082A3494" w14:textId="77777777">
            <w:pPr>
              <w:spacing w:after="0" w:line="240" w:lineRule="auto"/>
              <w:jc w:val="center"/>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themeColor="text1"/>
                <w:sz w:val="12"/>
                <w:szCs w:val="12"/>
                <w:lang w:eastAsia="es-CO"/>
              </w:rPr>
              <w:t>$ 1.149</w:t>
            </w:r>
          </w:p>
        </w:tc>
        <w:tc>
          <w:tcPr>
            <w:tcW w:w="896" w:type="dxa"/>
            <w:noWrap/>
            <w:vAlign w:val="center"/>
            <w:hideMark/>
          </w:tcPr>
          <w:p w:rsidRPr="009C275C" w:rsidR="009C275C" w:rsidP="009C275C" w:rsidRDefault="009C275C" w14:paraId="562FB9DA" w14:textId="77777777">
            <w:pPr>
              <w:spacing w:after="0" w:line="240" w:lineRule="auto"/>
              <w:jc w:val="center"/>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themeColor="text1"/>
                <w:sz w:val="12"/>
                <w:szCs w:val="12"/>
                <w:lang w:eastAsia="es-CO"/>
              </w:rPr>
              <w:t>$</w:t>
            </w:r>
          </w:p>
        </w:tc>
        <w:tc>
          <w:tcPr>
            <w:tcW w:w="981" w:type="dxa"/>
            <w:shd w:val="clear" w:color="auto" w:fill="FFFFFF" w:themeFill="background1"/>
            <w:noWrap/>
            <w:vAlign w:val="center"/>
            <w:hideMark/>
          </w:tcPr>
          <w:p w:rsidRPr="009C275C" w:rsidR="009C275C" w:rsidP="009C275C" w:rsidRDefault="009C275C" w14:paraId="7FF9C0D9" w14:textId="77777777">
            <w:pPr>
              <w:spacing w:after="0" w:line="240" w:lineRule="auto"/>
              <w:jc w:val="center"/>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themeColor="text1"/>
                <w:sz w:val="12"/>
                <w:szCs w:val="12"/>
                <w:lang w:eastAsia="es-CO"/>
              </w:rPr>
              <w:t>$ 384.741</w:t>
            </w:r>
          </w:p>
        </w:tc>
        <w:tc>
          <w:tcPr>
            <w:tcW w:w="981" w:type="dxa"/>
            <w:shd w:val="clear" w:color="auto" w:fill="FFFFFF" w:themeFill="background1"/>
            <w:vAlign w:val="center"/>
            <w:hideMark/>
          </w:tcPr>
          <w:p w:rsidRPr="009C275C" w:rsidR="009C275C" w:rsidP="009C275C" w:rsidRDefault="009C275C" w14:paraId="2B68512D" w14:textId="77777777">
            <w:pPr>
              <w:spacing w:after="0" w:line="240" w:lineRule="auto"/>
              <w:jc w:val="center"/>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w:t>
            </w:r>
          </w:p>
        </w:tc>
        <w:tc>
          <w:tcPr>
            <w:tcW w:w="1096" w:type="dxa"/>
            <w:shd w:val="clear" w:color="auto" w:fill="FFFFFF" w:themeFill="background1"/>
            <w:noWrap/>
            <w:vAlign w:val="center"/>
            <w:hideMark/>
          </w:tcPr>
          <w:p w:rsidRPr="009C275C" w:rsidR="009C275C" w:rsidP="009C275C" w:rsidRDefault="009C275C" w14:paraId="5BFEE710" w14:textId="77777777">
            <w:pPr>
              <w:spacing w:after="0" w:line="240" w:lineRule="auto"/>
              <w:jc w:val="center"/>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themeColor="text1"/>
                <w:sz w:val="12"/>
                <w:szCs w:val="12"/>
                <w:lang w:eastAsia="es-CO"/>
              </w:rPr>
              <w:t>$ 379.427</w:t>
            </w:r>
          </w:p>
        </w:tc>
        <w:tc>
          <w:tcPr>
            <w:tcW w:w="563" w:type="dxa"/>
            <w:vAlign w:val="center"/>
            <w:hideMark/>
          </w:tcPr>
          <w:p w:rsidRPr="009C275C" w:rsidR="009C275C" w:rsidP="009C275C" w:rsidRDefault="009C275C" w14:paraId="5CF34819" w14:textId="77777777">
            <w:pPr>
              <w:spacing w:after="0" w:line="240" w:lineRule="auto"/>
              <w:jc w:val="center"/>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themeColor="text1"/>
                <w:sz w:val="12"/>
                <w:szCs w:val="12"/>
                <w:lang w:eastAsia="es-CO"/>
              </w:rPr>
              <w:t>98,6%</w:t>
            </w:r>
          </w:p>
        </w:tc>
        <w:tc>
          <w:tcPr>
            <w:tcW w:w="1042" w:type="dxa"/>
            <w:noWrap/>
            <w:vAlign w:val="center"/>
            <w:hideMark/>
          </w:tcPr>
          <w:p w:rsidRPr="009C275C" w:rsidR="009C275C" w:rsidP="009C275C" w:rsidRDefault="009C275C" w14:paraId="7C21C783" w14:textId="77777777">
            <w:pPr>
              <w:spacing w:after="0" w:line="240" w:lineRule="auto"/>
              <w:jc w:val="center"/>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themeColor="text1"/>
                <w:sz w:val="12"/>
                <w:szCs w:val="12"/>
                <w:lang w:eastAsia="es-CO"/>
              </w:rPr>
              <w:t>$ 265.505</w:t>
            </w:r>
          </w:p>
        </w:tc>
        <w:tc>
          <w:tcPr>
            <w:tcW w:w="639" w:type="dxa"/>
            <w:noWrap/>
            <w:vAlign w:val="center"/>
            <w:hideMark/>
          </w:tcPr>
          <w:p w:rsidRPr="009C275C" w:rsidR="009C275C" w:rsidP="009C275C" w:rsidRDefault="009C275C" w14:paraId="36EFE407" w14:textId="77777777">
            <w:pPr>
              <w:spacing w:after="0" w:line="240" w:lineRule="auto"/>
              <w:jc w:val="center"/>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themeColor="text1"/>
                <w:sz w:val="12"/>
                <w:szCs w:val="12"/>
                <w:lang w:eastAsia="es-CO"/>
              </w:rPr>
              <w:t>69,0%</w:t>
            </w:r>
          </w:p>
        </w:tc>
      </w:tr>
      <w:tr w:rsidRPr="009C275C" w:rsidR="009C275C" w14:paraId="083DF2A5" w14:textId="77777777">
        <w:trPr>
          <w:trHeight w:val="312"/>
        </w:trPr>
        <w:tc>
          <w:tcPr>
            <w:tcW w:w="677" w:type="dxa"/>
            <w:vAlign w:val="center"/>
            <w:hideMark/>
          </w:tcPr>
          <w:p w:rsidRPr="009C275C" w:rsidR="009C275C" w:rsidP="009C275C" w:rsidRDefault="009C275C" w14:paraId="5653B1CB" w14:textId="77777777">
            <w:pPr>
              <w:spacing w:after="0" w:line="240" w:lineRule="auto"/>
              <w:jc w:val="center"/>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ANM</w:t>
            </w:r>
          </w:p>
        </w:tc>
        <w:tc>
          <w:tcPr>
            <w:tcW w:w="981" w:type="dxa"/>
            <w:shd w:val="clear" w:color="auto" w:fill="FFFFFF" w:themeFill="background1"/>
            <w:noWrap/>
            <w:vAlign w:val="center"/>
            <w:hideMark/>
          </w:tcPr>
          <w:p w:rsidRPr="009C275C" w:rsidR="009C275C" w:rsidP="009C275C" w:rsidRDefault="009C275C" w14:paraId="63D89F9F" w14:textId="77777777">
            <w:pPr>
              <w:spacing w:after="0" w:line="240" w:lineRule="auto"/>
              <w:jc w:val="center"/>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$ 116.615</w:t>
            </w:r>
          </w:p>
        </w:tc>
        <w:tc>
          <w:tcPr>
            <w:tcW w:w="1020" w:type="dxa"/>
            <w:noWrap/>
            <w:vAlign w:val="center"/>
            <w:hideMark/>
          </w:tcPr>
          <w:p w:rsidRPr="009C275C" w:rsidR="009C275C" w:rsidP="009C275C" w:rsidRDefault="009C275C" w14:paraId="08707FAA" w14:textId="77777777">
            <w:pPr>
              <w:spacing w:after="0" w:line="240" w:lineRule="auto"/>
              <w:jc w:val="center"/>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$ 6.973</w:t>
            </w:r>
          </w:p>
        </w:tc>
        <w:tc>
          <w:tcPr>
            <w:tcW w:w="896" w:type="dxa"/>
            <w:noWrap/>
            <w:vAlign w:val="center"/>
            <w:hideMark/>
          </w:tcPr>
          <w:p w:rsidRPr="009C275C" w:rsidR="009C275C" w:rsidP="009C275C" w:rsidRDefault="009C275C" w14:paraId="5EDE5B9F" w14:textId="77777777">
            <w:pPr>
              <w:spacing w:after="0" w:line="240" w:lineRule="auto"/>
              <w:jc w:val="center"/>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$ 459</w:t>
            </w:r>
          </w:p>
        </w:tc>
        <w:tc>
          <w:tcPr>
            <w:tcW w:w="981" w:type="dxa"/>
            <w:shd w:val="clear" w:color="auto" w:fill="FFFFFF" w:themeFill="background1"/>
            <w:noWrap/>
            <w:vAlign w:val="center"/>
            <w:hideMark/>
          </w:tcPr>
          <w:p w:rsidRPr="009C275C" w:rsidR="009C275C" w:rsidP="009C275C" w:rsidRDefault="009C275C" w14:paraId="136DCBD0" w14:textId="77777777">
            <w:pPr>
              <w:spacing w:after="0" w:line="240" w:lineRule="auto"/>
              <w:jc w:val="center"/>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$ 110.101</w:t>
            </w:r>
          </w:p>
        </w:tc>
        <w:tc>
          <w:tcPr>
            <w:tcW w:w="981" w:type="dxa"/>
            <w:shd w:val="clear" w:color="auto" w:fill="FFFFFF" w:themeFill="background1"/>
            <w:vAlign w:val="center"/>
            <w:hideMark/>
          </w:tcPr>
          <w:p w:rsidRPr="009C275C" w:rsidR="009C275C" w:rsidP="009C275C" w:rsidRDefault="009C275C" w14:paraId="7630B75C" w14:textId="77777777">
            <w:pPr>
              <w:spacing w:after="0" w:line="240" w:lineRule="auto"/>
              <w:jc w:val="center"/>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w:t>
            </w:r>
          </w:p>
        </w:tc>
        <w:tc>
          <w:tcPr>
            <w:tcW w:w="1096" w:type="dxa"/>
            <w:shd w:val="clear" w:color="auto" w:fill="FFFFFF" w:themeFill="background1"/>
            <w:noWrap/>
            <w:vAlign w:val="center"/>
            <w:hideMark/>
          </w:tcPr>
          <w:p w:rsidRPr="009C275C" w:rsidR="009C275C" w:rsidP="009C275C" w:rsidRDefault="009C275C" w14:paraId="45F74B98" w14:textId="77777777">
            <w:pPr>
              <w:spacing w:after="0" w:line="240" w:lineRule="auto"/>
              <w:jc w:val="center"/>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$ 100.877</w:t>
            </w:r>
          </w:p>
        </w:tc>
        <w:tc>
          <w:tcPr>
            <w:tcW w:w="563" w:type="dxa"/>
            <w:vAlign w:val="center"/>
            <w:hideMark/>
          </w:tcPr>
          <w:p w:rsidRPr="009C275C" w:rsidR="009C275C" w:rsidP="009C275C" w:rsidRDefault="009C275C" w14:paraId="3B1BD3C5" w14:textId="77777777">
            <w:pPr>
              <w:spacing w:after="0" w:line="240" w:lineRule="auto"/>
              <w:jc w:val="center"/>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91,6%</w:t>
            </w:r>
          </w:p>
        </w:tc>
        <w:tc>
          <w:tcPr>
            <w:tcW w:w="1042" w:type="dxa"/>
            <w:noWrap/>
            <w:vAlign w:val="center"/>
            <w:hideMark/>
          </w:tcPr>
          <w:p w:rsidRPr="009C275C" w:rsidR="009C275C" w:rsidP="009C275C" w:rsidRDefault="009C275C" w14:paraId="35980655" w14:textId="77777777">
            <w:pPr>
              <w:spacing w:after="0" w:line="240" w:lineRule="auto"/>
              <w:jc w:val="center"/>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$ 95.167</w:t>
            </w:r>
          </w:p>
        </w:tc>
        <w:tc>
          <w:tcPr>
            <w:tcW w:w="639" w:type="dxa"/>
            <w:noWrap/>
            <w:vAlign w:val="center"/>
            <w:hideMark/>
          </w:tcPr>
          <w:p w:rsidRPr="009C275C" w:rsidR="009C275C" w:rsidP="009C275C" w:rsidRDefault="009C275C" w14:paraId="2437B596" w14:textId="77777777">
            <w:pPr>
              <w:spacing w:after="0" w:line="240" w:lineRule="auto"/>
              <w:jc w:val="center"/>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86,4%</w:t>
            </w:r>
          </w:p>
        </w:tc>
      </w:tr>
      <w:tr w:rsidRPr="009C275C" w:rsidR="009C275C" w14:paraId="291415BE" w14:textId="77777777">
        <w:trPr>
          <w:trHeight w:val="312"/>
        </w:trPr>
        <w:tc>
          <w:tcPr>
            <w:tcW w:w="677" w:type="dxa"/>
            <w:vAlign w:val="center"/>
            <w:hideMark/>
          </w:tcPr>
          <w:p w:rsidRPr="009C275C" w:rsidR="009C275C" w:rsidP="009C275C" w:rsidRDefault="009C275C" w14:paraId="4B924B6E" w14:textId="77777777">
            <w:pPr>
              <w:spacing w:after="0" w:line="240" w:lineRule="auto"/>
              <w:jc w:val="center"/>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IPSE</w:t>
            </w:r>
          </w:p>
        </w:tc>
        <w:tc>
          <w:tcPr>
            <w:tcW w:w="981" w:type="dxa"/>
            <w:noWrap/>
            <w:vAlign w:val="center"/>
            <w:hideMark/>
          </w:tcPr>
          <w:p w:rsidRPr="009C275C" w:rsidR="009C275C" w:rsidP="009C275C" w:rsidRDefault="009C275C" w14:paraId="46648A3C" w14:textId="77777777">
            <w:pPr>
              <w:spacing w:after="0" w:line="240" w:lineRule="auto"/>
              <w:jc w:val="center"/>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$ 137.763</w:t>
            </w:r>
          </w:p>
        </w:tc>
        <w:tc>
          <w:tcPr>
            <w:tcW w:w="1020" w:type="dxa"/>
            <w:noWrap/>
            <w:vAlign w:val="center"/>
            <w:hideMark/>
          </w:tcPr>
          <w:p w:rsidRPr="009C275C" w:rsidR="009C275C" w:rsidP="009C275C" w:rsidRDefault="009C275C" w14:paraId="1A180062" w14:textId="77777777">
            <w:pPr>
              <w:spacing w:after="0" w:line="240" w:lineRule="auto"/>
              <w:jc w:val="center"/>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$ 127</w:t>
            </w:r>
          </w:p>
        </w:tc>
        <w:tc>
          <w:tcPr>
            <w:tcW w:w="896" w:type="dxa"/>
            <w:noWrap/>
            <w:vAlign w:val="center"/>
            <w:hideMark/>
          </w:tcPr>
          <w:p w:rsidRPr="009C275C" w:rsidR="009C275C" w:rsidP="009C275C" w:rsidRDefault="009C275C" w14:paraId="25D36840" w14:textId="77777777">
            <w:pPr>
              <w:spacing w:after="0" w:line="240" w:lineRule="auto"/>
              <w:jc w:val="center"/>
              <w:rPr>
                <w:rFonts w:ascii="Verdana" w:hAnsi="Verdana" w:eastAsia="Times New Roman" w:cs="Times New Roman"/>
                <w:color w:val="000000" w:themeColor="text1"/>
                <w:sz w:val="12"/>
                <w:szCs w:val="12"/>
                <w:lang w:eastAsia="es-CO"/>
              </w:rPr>
            </w:pPr>
          </w:p>
        </w:tc>
        <w:tc>
          <w:tcPr>
            <w:tcW w:w="981" w:type="dxa"/>
            <w:noWrap/>
            <w:vAlign w:val="center"/>
            <w:hideMark/>
          </w:tcPr>
          <w:p w:rsidRPr="009C275C" w:rsidR="009C275C" w:rsidP="009C275C" w:rsidRDefault="009C275C" w14:paraId="3A531F04" w14:textId="77777777">
            <w:pPr>
              <w:spacing w:after="0" w:line="240" w:lineRule="auto"/>
              <w:jc w:val="center"/>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$ 137.636</w:t>
            </w:r>
          </w:p>
        </w:tc>
        <w:tc>
          <w:tcPr>
            <w:tcW w:w="981" w:type="dxa"/>
            <w:vAlign w:val="center"/>
            <w:hideMark/>
          </w:tcPr>
          <w:p w:rsidRPr="009C275C" w:rsidR="009C275C" w:rsidP="009C275C" w:rsidRDefault="009C275C" w14:paraId="21D9A609" w14:textId="77777777">
            <w:pPr>
              <w:spacing w:after="0" w:line="240" w:lineRule="auto"/>
              <w:jc w:val="center"/>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w:t>
            </w:r>
          </w:p>
        </w:tc>
        <w:tc>
          <w:tcPr>
            <w:tcW w:w="1096" w:type="dxa"/>
            <w:noWrap/>
            <w:vAlign w:val="center"/>
            <w:hideMark/>
          </w:tcPr>
          <w:p w:rsidRPr="009C275C" w:rsidR="009C275C" w:rsidP="009C275C" w:rsidRDefault="009C275C" w14:paraId="35C368FC" w14:textId="77777777">
            <w:pPr>
              <w:spacing w:after="0" w:line="240" w:lineRule="auto"/>
              <w:jc w:val="center"/>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$ 134.957</w:t>
            </w:r>
          </w:p>
        </w:tc>
        <w:tc>
          <w:tcPr>
            <w:tcW w:w="563" w:type="dxa"/>
            <w:vAlign w:val="center"/>
            <w:hideMark/>
          </w:tcPr>
          <w:p w:rsidRPr="009C275C" w:rsidR="009C275C" w:rsidP="009C275C" w:rsidRDefault="009C275C" w14:paraId="249F4A7D" w14:textId="77777777">
            <w:pPr>
              <w:spacing w:after="0" w:line="240" w:lineRule="auto"/>
              <w:jc w:val="center"/>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98,1%</w:t>
            </w:r>
          </w:p>
        </w:tc>
        <w:tc>
          <w:tcPr>
            <w:tcW w:w="1042" w:type="dxa"/>
            <w:noWrap/>
            <w:vAlign w:val="center"/>
            <w:hideMark/>
          </w:tcPr>
          <w:p w:rsidRPr="009C275C" w:rsidR="009C275C" w:rsidP="009C275C" w:rsidRDefault="009C275C" w14:paraId="0DF96711" w14:textId="77777777">
            <w:pPr>
              <w:spacing w:after="0" w:line="240" w:lineRule="auto"/>
              <w:jc w:val="center"/>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$ 56.478</w:t>
            </w:r>
          </w:p>
        </w:tc>
        <w:tc>
          <w:tcPr>
            <w:tcW w:w="639" w:type="dxa"/>
            <w:noWrap/>
            <w:vAlign w:val="center"/>
            <w:hideMark/>
          </w:tcPr>
          <w:p w:rsidRPr="009C275C" w:rsidR="009C275C" w:rsidP="009C275C" w:rsidRDefault="009C275C" w14:paraId="33F3BFDB" w14:textId="77777777">
            <w:pPr>
              <w:spacing w:after="0" w:line="240" w:lineRule="auto"/>
              <w:jc w:val="center"/>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41,0%</w:t>
            </w:r>
          </w:p>
        </w:tc>
      </w:tr>
      <w:tr w:rsidRPr="009C275C" w:rsidR="009C275C" w14:paraId="63161A93" w14:textId="77777777">
        <w:trPr>
          <w:trHeight w:val="312"/>
        </w:trPr>
        <w:tc>
          <w:tcPr>
            <w:tcW w:w="677" w:type="dxa"/>
            <w:vAlign w:val="center"/>
            <w:hideMark/>
          </w:tcPr>
          <w:p w:rsidRPr="009C275C" w:rsidR="009C275C" w:rsidP="009C275C" w:rsidRDefault="009C275C" w14:paraId="0292E40F" w14:textId="77777777">
            <w:pPr>
              <w:spacing w:after="0" w:line="240" w:lineRule="auto"/>
              <w:jc w:val="center"/>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CREG</w:t>
            </w:r>
          </w:p>
        </w:tc>
        <w:tc>
          <w:tcPr>
            <w:tcW w:w="981" w:type="dxa"/>
            <w:noWrap/>
            <w:vAlign w:val="center"/>
            <w:hideMark/>
          </w:tcPr>
          <w:p w:rsidRPr="009C275C" w:rsidR="009C275C" w:rsidP="009C275C" w:rsidRDefault="009C275C" w14:paraId="5843B23E" w14:textId="77777777">
            <w:pPr>
              <w:spacing w:after="0" w:line="240" w:lineRule="auto"/>
              <w:jc w:val="center"/>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$ 15.953</w:t>
            </w:r>
          </w:p>
        </w:tc>
        <w:tc>
          <w:tcPr>
            <w:tcW w:w="1020" w:type="dxa"/>
            <w:noWrap/>
            <w:vAlign w:val="center"/>
            <w:hideMark/>
          </w:tcPr>
          <w:p w:rsidRPr="009C275C" w:rsidR="009C275C" w:rsidP="009C275C" w:rsidRDefault="009C275C" w14:paraId="3819E777" w14:textId="77777777">
            <w:pPr>
              <w:spacing w:after="0" w:line="240" w:lineRule="auto"/>
              <w:jc w:val="center"/>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w:t>
            </w:r>
          </w:p>
        </w:tc>
        <w:tc>
          <w:tcPr>
            <w:tcW w:w="896" w:type="dxa"/>
            <w:noWrap/>
            <w:vAlign w:val="center"/>
            <w:hideMark/>
          </w:tcPr>
          <w:p w:rsidRPr="009C275C" w:rsidR="009C275C" w:rsidP="009C275C" w:rsidRDefault="009C275C" w14:paraId="54D1A323" w14:textId="77777777">
            <w:pPr>
              <w:spacing w:after="0" w:line="240" w:lineRule="auto"/>
              <w:jc w:val="center"/>
              <w:rPr>
                <w:rFonts w:ascii="Verdana" w:hAnsi="Verdana" w:eastAsia="Times New Roman" w:cs="Times New Roman"/>
                <w:color w:val="000000" w:themeColor="text1"/>
                <w:sz w:val="12"/>
                <w:szCs w:val="12"/>
                <w:lang w:eastAsia="es-CO"/>
              </w:rPr>
            </w:pPr>
          </w:p>
        </w:tc>
        <w:tc>
          <w:tcPr>
            <w:tcW w:w="981" w:type="dxa"/>
            <w:noWrap/>
            <w:vAlign w:val="center"/>
            <w:hideMark/>
          </w:tcPr>
          <w:p w:rsidRPr="009C275C" w:rsidR="009C275C" w:rsidP="009C275C" w:rsidRDefault="009C275C" w14:paraId="096C4691" w14:textId="77777777">
            <w:pPr>
              <w:spacing w:after="0" w:line="240" w:lineRule="auto"/>
              <w:jc w:val="center"/>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$ 15.953</w:t>
            </w:r>
          </w:p>
        </w:tc>
        <w:tc>
          <w:tcPr>
            <w:tcW w:w="981" w:type="dxa"/>
            <w:vAlign w:val="center"/>
            <w:hideMark/>
          </w:tcPr>
          <w:p w:rsidRPr="009C275C" w:rsidR="009C275C" w:rsidP="009C275C" w:rsidRDefault="009C275C" w14:paraId="19DBDBC8" w14:textId="77777777">
            <w:pPr>
              <w:spacing w:after="0" w:line="240" w:lineRule="auto"/>
              <w:jc w:val="center"/>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w:t>
            </w:r>
          </w:p>
        </w:tc>
        <w:tc>
          <w:tcPr>
            <w:tcW w:w="1096" w:type="dxa"/>
            <w:noWrap/>
            <w:vAlign w:val="center"/>
            <w:hideMark/>
          </w:tcPr>
          <w:p w:rsidRPr="009C275C" w:rsidR="009C275C" w:rsidP="009C275C" w:rsidRDefault="009C275C" w14:paraId="228B367D" w14:textId="77777777">
            <w:pPr>
              <w:spacing w:after="0" w:line="240" w:lineRule="auto"/>
              <w:jc w:val="center"/>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$ 14.057</w:t>
            </w:r>
          </w:p>
        </w:tc>
        <w:tc>
          <w:tcPr>
            <w:tcW w:w="563" w:type="dxa"/>
            <w:vAlign w:val="center"/>
            <w:hideMark/>
          </w:tcPr>
          <w:p w:rsidRPr="009C275C" w:rsidR="009C275C" w:rsidP="009C275C" w:rsidRDefault="009C275C" w14:paraId="51B6210A" w14:textId="77777777">
            <w:pPr>
              <w:spacing w:after="0" w:line="240" w:lineRule="auto"/>
              <w:jc w:val="center"/>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88,1%</w:t>
            </w:r>
          </w:p>
        </w:tc>
        <w:tc>
          <w:tcPr>
            <w:tcW w:w="1042" w:type="dxa"/>
            <w:noWrap/>
            <w:vAlign w:val="center"/>
            <w:hideMark/>
          </w:tcPr>
          <w:p w:rsidRPr="009C275C" w:rsidR="009C275C" w:rsidP="009C275C" w:rsidRDefault="009C275C" w14:paraId="531E6F59" w14:textId="77777777">
            <w:pPr>
              <w:spacing w:after="0" w:line="240" w:lineRule="auto"/>
              <w:jc w:val="center"/>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$ 13.971</w:t>
            </w:r>
          </w:p>
        </w:tc>
        <w:tc>
          <w:tcPr>
            <w:tcW w:w="639" w:type="dxa"/>
            <w:noWrap/>
            <w:vAlign w:val="center"/>
            <w:hideMark/>
          </w:tcPr>
          <w:p w:rsidRPr="009C275C" w:rsidR="009C275C" w:rsidP="009C275C" w:rsidRDefault="009C275C" w14:paraId="51A286B1" w14:textId="77777777">
            <w:pPr>
              <w:spacing w:after="0" w:line="240" w:lineRule="auto"/>
              <w:jc w:val="center"/>
              <w:rPr>
                <w:rFonts w:ascii="Verdana" w:hAnsi="Verdana" w:eastAsia="Times New Roman" w:cs="Times New Roman"/>
                <w:color w:val="000000" w:themeColor="text1"/>
                <w:sz w:val="12"/>
                <w:szCs w:val="12"/>
                <w:lang w:eastAsia="es-CO"/>
              </w:rPr>
            </w:pPr>
            <w:r w:rsidRPr="009C275C">
              <w:rPr>
                <w:rFonts w:ascii="Verdana" w:hAnsi="Verdana" w:eastAsia="Times New Roman" w:cs="Times New Roman"/>
                <w:color w:val="000000" w:themeColor="text1"/>
                <w:sz w:val="12"/>
                <w:szCs w:val="12"/>
                <w:lang w:eastAsia="es-CO"/>
              </w:rPr>
              <w:t>87,6%</w:t>
            </w:r>
          </w:p>
        </w:tc>
      </w:tr>
      <w:tr w:rsidRPr="009C275C" w:rsidR="009C275C" w14:paraId="73A1253E" w14:textId="77777777">
        <w:trPr>
          <w:trHeight w:val="312"/>
        </w:trPr>
        <w:tc>
          <w:tcPr>
            <w:tcW w:w="677" w:type="dxa"/>
            <w:vAlign w:val="center"/>
            <w:hideMark/>
          </w:tcPr>
          <w:p w:rsidRPr="009C275C" w:rsidR="009C275C" w:rsidP="009C275C" w:rsidRDefault="009C275C" w14:paraId="62067748" w14:textId="77777777">
            <w:pPr>
              <w:spacing w:after="0" w:line="240" w:lineRule="auto"/>
              <w:jc w:val="center"/>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SGC</w:t>
            </w:r>
          </w:p>
        </w:tc>
        <w:tc>
          <w:tcPr>
            <w:tcW w:w="981" w:type="dxa"/>
            <w:noWrap/>
            <w:vAlign w:val="center"/>
            <w:hideMark/>
          </w:tcPr>
          <w:p w:rsidRPr="009C275C" w:rsidR="009C275C" w:rsidP="009C275C" w:rsidRDefault="009C275C" w14:paraId="2D1AE4FE" w14:textId="77777777">
            <w:pPr>
              <w:spacing w:after="0" w:line="240" w:lineRule="auto"/>
              <w:jc w:val="center"/>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$ 100.000</w:t>
            </w:r>
          </w:p>
        </w:tc>
        <w:tc>
          <w:tcPr>
            <w:tcW w:w="1020" w:type="dxa"/>
            <w:noWrap/>
            <w:vAlign w:val="center"/>
            <w:hideMark/>
          </w:tcPr>
          <w:p w:rsidRPr="009C275C" w:rsidR="009C275C" w:rsidP="009C275C" w:rsidRDefault="009C275C" w14:paraId="7BCFA3F6" w14:textId="77777777">
            <w:pPr>
              <w:spacing w:after="0" w:line="240" w:lineRule="auto"/>
              <w:jc w:val="center"/>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$ 815.000</w:t>
            </w:r>
          </w:p>
        </w:tc>
        <w:tc>
          <w:tcPr>
            <w:tcW w:w="896" w:type="dxa"/>
            <w:noWrap/>
            <w:vAlign w:val="center"/>
            <w:hideMark/>
          </w:tcPr>
          <w:p w:rsidRPr="009C275C" w:rsidR="009C275C" w:rsidP="009C275C" w:rsidRDefault="009C275C" w14:paraId="67D1FD57" w14:textId="77777777">
            <w:pPr>
              <w:spacing w:after="0" w:line="240" w:lineRule="auto"/>
              <w:jc w:val="center"/>
              <w:rPr>
                <w:rFonts w:ascii="Verdana" w:hAnsi="Verdana" w:eastAsia="Times New Roman" w:cs="Times New Roman"/>
                <w:color w:val="000000"/>
                <w:sz w:val="12"/>
                <w:szCs w:val="12"/>
                <w:lang w:eastAsia="es-CO"/>
              </w:rPr>
            </w:pPr>
          </w:p>
        </w:tc>
        <w:tc>
          <w:tcPr>
            <w:tcW w:w="981" w:type="dxa"/>
            <w:noWrap/>
            <w:vAlign w:val="center"/>
            <w:hideMark/>
          </w:tcPr>
          <w:p w:rsidRPr="009C275C" w:rsidR="009C275C" w:rsidP="009C275C" w:rsidRDefault="009C275C" w14:paraId="7DF0DEE0" w14:textId="77777777">
            <w:pPr>
              <w:spacing w:after="0" w:line="240" w:lineRule="auto"/>
              <w:jc w:val="center"/>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$ 99.185</w:t>
            </w:r>
          </w:p>
        </w:tc>
        <w:tc>
          <w:tcPr>
            <w:tcW w:w="981" w:type="dxa"/>
            <w:vAlign w:val="center"/>
            <w:hideMark/>
          </w:tcPr>
          <w:p w:rsidRPr="009C275C" w:rsidR="009C275C" w:rsidP="009C275C" w:rsidRDefault="009C275C" w14:paraId="1CA32346" w14:textId="77777777">
            <w:pPr>
              <w:spacing w:after="0" w:line="240" w:lineRule="auto"/>
              <w:jc w:val="center"/>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w:t>
            </w:r>
          </w:p>
        </w:tc>
        <w:tc>
          <w:tcPr>
            <w:tcW w:w="1096" w:type="dxa"/>
            <w:noWrap/>
            <w:vAlign w:val="center"/>
            <w:hideMark/>
          </w:tcPr>
          <w:p w:rsidRPr="009C275C" w:rsidR="009C275C" w:rsidP="009C275C" w:rsidRDefault="009C275C" w14:paraId="398CFD7C" w14:textId="77777777">
            <w:pPr>
              <w:spacing w:after="0" w:line="240" w:lineRule="auto"/>
              <w:jc w:val="center"/>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$ 96.886</w:t>
            </w:r>
          </w:p>
        </w:tc>
        <w:tc>
          <w:tcPr>
            <w:tcW w:w="563" w:type="dxa"/>
            <w:vAlign w:val="center"/>
            <w:hideMark/>
          </w:tcPr>
          <w:p w:rsidRPr="009C275C" w:rsidR="009C275C" w:rsidP="009C275C" w:rsidRDefault="009C275C" w14:paraId="70E55BB4" w14:textId="77777777">
            <w:pPr>
              <w:spacing w:after="0" w:line="240" w:lineRule="auto"/>
              <w:jc w:val="center"/>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97,7%</w:t>
            </w:r>
          </w:p>
        </w:tc>
        <w:tc>
          <w:tcPr>
            <w:tcW w:w="1042" w:type="dxa"/>
            <w:noWrap/>
            <w:vAlign w:val="center"/>
            <w:hideMark/>
          </w:tcPr>
          <w:p w:rsidRPr="009C275C" w:rsidR="009C275C" w:rsidP="009C275C" w:rsidRDefault="009C275C" w14:paraId="29FC0A8B" w14:textId="77777777">
            <w:pPr>
              <w:spacing w:after="0" w:line="240" w:lineRule="auto"/>
              <w:jc w:val="center"/>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$ 65.278</w:t>
            </w:r>
          </w:p>
        </w:tc>
        <w:tc>
          <w:tcPr>
            <w:tcW w:w="639" w:type="dxa"/>
            <w:noWrap/>
            <w:vAlign w:val="center"/>
            <w:hideMark/>
          </w:tcPr>
          <w:p w:rsidRPr="009C275C" w:rsidR="009C275C" w:rsidP="009C275C" w:rsidRDefault="009C275C" w14:paraId="452D3D9A" w14:textId="77777777">
            <w:pPr>
              <w:spacing w:after="0" w:line="240" w:lineRule="auto"/>
              <w:jc w:val="center"/>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65,8%</w:t>
            </w:r>
          </w:p>
        </w:tc>
      </w:tr>
      <w:tr w:rsidRPr="009C275C" w:rsidR="009C275C" w14:paraId="2F69105F" w14:textId="77777777">
        <w:trPr>
          <w:trHeight w:val="312"/>
        </w:trPr>
        <w:tc>
          <w:tcPr>
            <w:tcW w:w="677" w:type="dxa"/>
            <w:vAlign w:val="center"/>
            <w:hideMark/>
          </w:tcPr>
          <w:p w:rsidRPr="009C275C" w:rsidR="009C275C" w:rsidP="009C275C" w:rsidRDefault="009C275C" w14:paraId="081EB5BC" w14:textId="77777777">
            <w:pPr>
              <w:spacing w:after="0" w:line="240" w:lineRule="auto"/>
              <w:jc w:val="center"/>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UPME</w:t>
            </w:r>
          </w:p>
        </w:tc>
        <w:tc>
          <w:tcPr>
            <w:tcW w:w="981" w:type="dxa"/>
            <w:noWrap/>
            <w:vAlign w:val="center"/>
            <w:hideMark/>
          </w:tcPr>
          <w:p w:rsidRPr="009C275C" w:rsidR="009C275C" w:rsidP="009C275C" w:rsidRDefault="009C275C" w14:paraId="1D2EAAAA" w14:textId="77777777">
            <w:pPr>
              <w:spacing w:after="0" w:line="240" w:lineRule="auto"/>
              <w:jc w:val="center"/>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$ 28.045</w:t>
            </w:r>
          </w:p>
        </w:tc>
        <w:tc>
          <w:tcPr>
            <w:tcW w:w="1020" w:type="dxa"/>
            <w:noWrap/>
            <w:vAlign w:val="center"/>
            <w:hideMark/>
          </w:tcPr>
          <w:p w:rsidRPr="009C275C" w:rsidR="009C275C" w:rsidP="009C275C" w:rsidRDefault="009C275C" w14:paraId="22560C88" w14:textId="77777777">
            <w:pPr>
              <w:spacing w:after="0" w:line="240" w:lineRule="auto"/>
              <w:jc w:val="center"/>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w:t>
            </w:r>
          </w:p>
        </w:tc>
        <w:tc>
          <w:tcPr>
            <w:tcW w:w="896" w:type="dxa"/>
            <w:noWrap/>
            <w:vAlign w:val="center"/>
            <w:hideMark/>
          </w:tcPr>
          <w:p w:rsidRPr="009C275C" w:rsidR="009C275C" w:rsidP="009C275C" w:rsidRDefault="009C275C" w14:paraId="5A2B8FE7" w14:textId="77777777">
            <w:pPr>
              <w:spacing w:after="0" w:line="240" w:lineRule="auto"/>
              <w:jc w:val="center"/>
              <w:rPr>
                <w:rFonts w:ascii="Verdana" w:hAnsi="Verdana" w:eastAsia="Times New Roman" w:cs="Times New Roman"/>
                <w:color w:val="000000"/>
                <w:sz w:val="12"/>
                <w:szCs w:val="12"/>
                <w:lang w:eastAsia="es-CO"/>
              </w:rPr>
            </w:pPr>
          </w:p>
        </w:tc>
        <w:tc>
          <w:tcPr>
            <w:tcW w:w="981" w:type="dxa"/>
            <w:noWrap/>
            <w:vAlign w:val="center"/>
            <w:hideMark/>
          </w:tcPr>
          <w:p w:rsidRPr="009C275C" w:rsidR="009C275C" w:rsidP="009C275C" w:rsidRDefault="009C275C" w14:paraId="543C6A3B" w14:textId="77777777">
            <w:pPr>
              <w:spacing w:after="0" w:line="240" w:lineRule="auto"/>
              <w:jc w:val="center"/>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$ 28.045</w:t>
            </w:r>
          </w:p>
        </w:tc>
        <w:tc>
          <w:tcPr>
            <w:tcW w:w="981" w:type="dxa"/>
            <w:vAlign w:val="center"/>
            <w:hideMark/>
          </w:tcPr>
          <w:p w:rsidRPr="009C275C" w:rsidR="009C275C" w:rsidP="009C275C" w:rsidRDefault="009C275C" w14:paraId="2CC4470E" w14:textId="77777777">
            <w:pPr>
              <w:spacing w:after="0" w:line="240" w:lineRule="auto"/>
              <w:jc w:val="center"/>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w:t>
            </w:r>
          </w:p>
        </w:tc>
        <w:tc>
          <w:tcPr>
            <w:tcW w:w="1096" w:type="dxa"/>
            <w:noWrap/>
            <w:vAlign w:val="center"/>
            <w:hideMark/>
          </w:tcPr>
          <w:p w:rsidRPr="009C275C" w:rsidR="009C275C" w:rsidP="009C275C" w:rsidRDefault="009C275C" w14:paraId="00E6B3F7" w14:textId="77777777">
            <w:pPr>
              <w:spacing w:after="0" w:line="240" w:lineRule="auto"/>
              <w:jc w:val="center"/>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$ 27.444</w:t>
            </w:r>
          </w:p>
        </w:tc>
        <w:tc>
          <w:tcPr>
            <w:tcW w:w="563" w:type="dxa"/>
            <w:vAlign w:val="center"/>
            <w:hideMark/>
          </w:tcPr>
          <w:p w:rsidRPr="009C275C" w:rsidR="009C275C" w:rsidP="009C275C" w:rsidRDefault="009C275C" w14:paraId="2D92AFF9" w14:textId="77777777">
            <w:pPr>
              <w:spacing w:after="0" w:line="240" w:lineRule="auto"/>
              <w:jc w:val="center"/>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97,9%</w:t>
            </w:r>
          </w:p>
        </w:tc>
        <w:tc>
          <w:tcPr>
            <w:tcW w:w="1042" w:type="dxa"/>
            <w:noWrap/>
            <w:vAlign w:val="center"/>
            <w:hideMark/>
          </w:tcPr>
          <w:p w:rsidRPr="009C275C" w:rsidR="009C275C" w:rsidP="009C275C" w:rsidRDefault="009C275C" w14:paraId="6F75A17F" w14:textId="77777777">
            <w:pPr>
              <w:spacing w:after="0" w:line="240" w:lineRule="auto"/>
              <w:jc w:val="center"/>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$ 27.081</w:t>
            </w:r>
          </w:p>
        </w:tc>
        <w:tc>
          <w:tcPr>
            <w:tcW w:w="639" w:type="dxa"/>
            <w:noWrap/>
            <w:vAlign w:val="center"/>
            <w:hideMark/>
          </w:tcPr>
          <w:p w:rsidRPr="009C275C" w:rsidR="009C275C" w:rsidP="009C275C" w:rsidRDefault="009C275C" w14:paraId="0EC179C4" w14:textId="77777777">
            <w:pPr>
              <w:spacing w:after="0" w:line="240" w:lineRule="auto"/>
              <w:jc w:val="center"/>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96,6%</w:t>
            </w:r>
          </w:p>
        </w:tc>
      </w:tr>
      <w:tr w:rsidRPr="009C275C" w:rsidR="009C275C" w14:paraId="6C8197F8" w14:textId="77777777">
        <w:trPr>
          <w:trHeight w:val="625"/>
        </w:trPr>
        <w:tc>
          <w:tcPr>
            <w:tcW w:w="677" w:type="dxa"/>
            <w:shd w:val="clear" w:color="auto" w:fill="BFBFBF" w:themeFill="background1" w:themeFillShade="BF"/>
            <w:vAlign w:val="center"/>
            <w:hideMark/>
          </w:tcPr>
          <w:p w:rsidRPr="009C275C" w:rsidR="009C275C" w:rsidP="009C275C" w:rsidRDefault="009C275C" w14:paraId="6CA5E0E1" w14:textId="77777777">
            <w:pPr>
              <w:spacing w:after="0" w:line="240" w:lineRule="auto"/>
              <w:jc w:val="center"/>
              <w:rPr>
                <w:rFonts w:ascii="Verdana" w:hAnsi="Verdana" w:eastAsia="Times New Roman" w:cs="Times New Roman"/>
                <w:b/>
                <w:bCs/>
                <w:color w:val="000000"/>
                <w:sz w:val="12"/>
                <w:szCs w:val="12"/>
                <w:lang w:eastAsia="es-CO"/>
              </w:rPr>
            </w:pPr>
            <w:r w:rsidRPr="009C275C">
              <w:rPr>
                <w:rFonts w:ascii="Verdana" w:hAnsi="Verdana" w:eastAsia="Times New Roman" w:cs="Times New Roman"/>
                <w:b/>
                <w:bCs/>
                <w:color w:val="000000"/>
                <w:sz w:val="12"/>
                <w:szCs w:val="12"/>
                <w:lang w:eastAsia="es-CO"/>
              </w:rPr>
              <w:t>Total, Sector</w:t>
            </w:r>
          </w:p>
        </w:tc>
        <w:tc>
          <w:tcPr>
            <w:tcW w:w="981" w:type="dxa"/>
            <w:shd w:val="clear" w:color="auto" w:fill="BFBFBF" w:themeFill="background1" w:themeFillShade="BF"/>
            <w:noWrap/>
            <w:vAlign w:val="center"/>
            <w:hideMark/>
          </w:tcPr>
          <w:p w:rsidRPr="009C275C" w:rsidR="009C275C" w:rsidP="009C275C" w:rsidRDefault="009C275C" w14:paraId="32B105CF" w14:textId="77777777">
            <w:pPr>
              <w:spacing w:after="0" w:line="240" w:lineRule="auto"/>
              <w:jc w:val="center"/>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$ 7.419.478</w:t>
            </w:r>
          </w:p>
        </w:tc>
        <w:tc>
          <w:tcPr>
            <w:tcW w:w="1020" w:type="dxa"/>
            <w:shd w:val="clear" w:color="auto" w:fill="BFBFBF" w:themeFill="background1" w:themeFillShade="BF"/>
            <w:noWrap/>
            <w:vAlign w:val="center"/>
            <w:hideMark/>
          </w:tcPr>
          <w:p w:rsidRPr="009C275C" w:rsidR="009C275C" w:rsidP="009C275C" w:rsidRDefault="009C275C" w14:paraId="4C38A998" w14:textId="77777777">
            <w:pPr>
              <w:spacing w:after="0" w:line="240" w:lineRule="auto"/>
              <w:jc w:val="center"/>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$ 465.430</w:t>
            </w:r>
          </w:p>
        </w:tc>
        <w:tc>
          <w:tcPr>
            <w:tcW w:w="896" w:type="dxa"/>
            <w:shd w:val="clear" w:color="auto" w:fill="BFBFBF" w:themeFill="background1" w:themeFillShade="BF"/>
            <w:noWrap/>
            <w:vAlign w:val="center"/>
            <w:hideMark/>
          </w:tcPr>
          <w:p w:rsidRPr="009C275C" w:rsidR="009C275C" w:rsidP="009C275C" w:rsidRDefault="009C275C" w14:paraId="34CF0C6D" w14:textId="77777777">
            <w:pPr>
              <w:spacing w:after="0" w:line="240" w:lineRule="auto"/>
              <w:jc w:val="center"/>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$ 122.210</w:t>
            </w:r>
          </w:p>
        </w:tc>
        <w:tc>
          <w:tcPr>
            <w:tcW w:w="981" w:type="dxa"/>
            <w:shd w:val="clear" w:color="auto" w:fill="BFBFBF" w:themeFill="background1" w:themeFillShade="BF"/>
            <w:noWrap/>
            <w:vAlign w:val="center"/>
            <w:hideMark/>
          </w:tcPr>
          <w:p w:rsidRPr="009C275C" w:rsidR="009C275C" w:rsidP="009C275C" w:rsidRDefault="009C275C" w14:paraId="061C9422" w14:textId="77777777">
            <w:pPr>
              <w:spacing w:after="0" w:line="240" w:lineRule="auto"/>
              <w:jc w:val="center"/>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$ 7.076.259</w:t>
            </w:r>
          </w:p>
        </w:tc>
        <w:tc>
          <w:tcPr>
            <w:tcW w:w="981" w:type="dxa"/>
            <w:shd w:val="clear" w:color="auto" w:fill="BFBFBF" w:themeFill="background1" w:themeFillShade="BF"/>
            <w:vAlign w:val="center"/>
            <w:hideMark/>
          </w:tcPr>
          <w:p w:rsidRPr="009C275C" w:rsidR="009C275C" w:rsidP="009C275C" w:rsidRDefault="009C275C" w14:paraId="116B8A5C" w14:textId="77777777">
            <w:pPr>
              <w:spacing w:after="0" w:line="240" w:lineRule="auto"/>
              <w:jc w:val="center"/>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w:t>
            </w:r>
          </w:p>
        </w:tc>
        <w:tc>
          <w:tcPr>
            <w:tcW w:w="1096" w:type="dxa"/>
            <w:shd w:val="clear" w:color="auto" w:fill="BFBFBF" w:themeFill="background1" w:themeFillShade="BF"/>
            <w:noWrap/>
            <w:vAlign w:val="center"/>
            <w:hideMark/>
          </w:tcPr>
          <w:p w:rsidRPr="009C275C" w:rsidR="009C275C" w:rsidP="009C275C" w:rsidRDefault="009C275C" w14:paraId="65A7B320" w14:textId="77777777">
            <w:pPr>
              <w:spacing w:after="0" w:line="240" w:lineRule="auto"/>
              <w:jc w:val="center"/>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$ 6.691.900</w:t>
            </w:r>
          </w:p>
        </w:tc>
        <w:tc>
          <w:tcPr>
            <w:tcW w:w="563" w:type="dxa"/>
            <w:shd w:val="clear" w:color="auto" w:fill="BFBFBF" w:themeFill="background1" w:themeFillShade="BF"/>
            <w:vAlign w:val="center"/>
            <w:hideMark/>
          </w:tcPr>
          <w:p w:rsidRPr="009C275C" w:rsidR="009C275C" w:rsidP="009C275C" w:rsidRDefault="009C275C" w14:paraId="6D8FCC4E" w14:textId="77777777">
            <w:pPr>
              <w:spacing w:after="0" w:line="240" w:lineRule="auto"/>
              <w:jc w:val="center"/>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94,6%</w:t>
            </w:r>
          </w:p>
        </w:tc>
        <w:tc>
          <w:tcPr>
            <w:tcW w:w="1042" w:type="dxa"/>
            <w:shd w:val="clear" w:color="auto" w:fill="BFBFBF" w:themeFill="background1" w:themeFillShade="BF"/>
            <w:noWrap/>
            <w:vAlign w:val="center"/>
            <w:hideMark/>
          </w:tcPr>
          <w:p w:rsidRPr="009C275C" w:rsidR="009C275C" w:rsidP="009C275C" w:rsidRDefault="009C275C" w14:paraId="409DCBF0" w14:textId="77777777">
            <w:pPr>
              <w:spacing w:after="0" w:line="240" w:lineRule="auto"/>
              <w:jc w:val="center"/>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$ 4.761.075</w:t>
            </w:r>
          </w:p>
        </w:tc>
        <w:tc>
          <w:tcPr>
            <w:tcW w:w="639" w:type="dxa"/>
            <w:shd w:val="clear" w:color="auto" w:fill="BFBFBF" w:themeFill="background1" w:themeFillShade="BF"/>
            <w:noWrap/>
            <w:vAlign w:val="center"/>
            <w:hideMark/>
          </w:tcPr>
          <w:p w:rsidRPr="009C275C" w:rsidR="009C275C" w:rsidP="009C275C" w:rsidRDefault="009C275C" w14:paraId="00A59CEB" w14:textId="77777777">
            <w:pPr>
              <w:spacing w:after="0" w:line="240" w:lineRule="auto"/>
              <w:jc w:val="center"/>
              <w:rPr>
                <w:rFonts w:ascii="Verdana" w:hAnsi="Verdana" w:eastAsia="Times New Roman" w:cs="Times New Roman"/>
                <w:color w:val="000000"/>
                <w:sz w:val="12"/>
                <w:szCs w:val="12"/>
                <w:lang w:eastAsia="es-CO"/>
              </w:rPr>
            </w:pPr>
            <w:r w:rsidRPr="009C275C">
              <w:rPr>
                <w:rFonts w:ascii="Verdana" w:hAnsi="Verdana" w:eastAsia="Times New Roman" w:cs="Times New Roman"/>
                <w:color w:val="000000"/>
                <w:sz w:val="12"/>
                <w:szCs w:val="12"/>
                <w:lang w:eastAsia="es-CO"/>
              </w:rPr>
              <w:t>67,3%</w:t>
            </w:r>
          </w:p>
        </w:tc>
      </w:tr>
    </w:tbl>
    <w:p w:rsidRPr="009C275C" w:rsidR="009C275C" w:rsidP="009C275C" w:rsidRDefault="009C275C" w14:paraId="42AFF291" w14:textId="77777777">
      <w:pPr>
        <w:pStyle w:val="Fuente"/>
        <w:rPr>
          <w:rFonts w:ascii="Verdana" w:hAnsi="Verdana"/>
        </w:rPr>
      </w:pPr>
      <w:r w:rsidRPr="009C275C">
        <w:rPr>
          <w:rFonts w:ascii="Verdana" w:hAnsi="Verdana"/>
        </w:rPr>
        <w:t>Fuente: Elaboración propia del Grupo de Programación y Gestión Estratégica de Proyectos con información del SIIF Nación del Min Hacienda. Corte a 31 de diciembre de 2025</w:t>
      </w:r>
    </w:p>
    <w:p w:rsidR="009C275C" w:rsidP="006A0A13" w:rsidRDefault="009C275C" w14:paraId="72F97239" w14:textId="77777777">
      <w:pPr>
        <w:pStyle w:val="Fuente"/>
        <w:spacing w:after="0" w:line="360" w:lineRule="auto"/>
        <w:jc w:val="both"/>
        <w:rPr>
          <w:rFonts w:ascii="Verdana" w:hAnsi="Verdana"/>
          <w:sz w:val="24"/>
          <w:szCs w:val="24"/>
        </w:rPr>
      </w:pPr>
    </w:p>
    <w:p w:rsidRPr="009C275C" w:rsidR="009C275C" w:rsidP="006A0A13" w:rsidRDefault="009C275C" w14:paraId="669FF4D5" w14:textId="77777777">
      <w:pPr>
        <w:pStyle w:val="Fuente"/>
        <w:spacing w:after="0" w:line="360" w:lineRule="auto"/>
        <w:jc w:val="both"/>
        <w:rPr>
          <w:rFonts w:ascii="Verdana" w:hAnsi="Verdana"/>
          <w:b/>
          <w:bCs/>
          <w:sz w:val="24"/>
          <w:szCs w:val="24"/>
        </w:rPr>
      </w:pPr>
      <w:r w:rsidRPr="009C275C">
        <w:rPr>
          <w:rFonts w:ascii="Verdana" w:hAnsi="Verdana"/>
          <w:b/>
          <w:bCs/>
          <w:sz w:val="24"/>
          <w:szCs w:val="24"/>
        </w:rPr>
        <w:t xml:space="preserve">Cierre Presupuestal 2026 a 30 de abril </w:t>
      </w:r>
    </w:p>
    <w:p w:rsidR="009C275C" w:rsidP="006A0A13" w:rsidRDefault="009C275C" w14:paraId="21808099" w14:textId="77777777">
      <w:pPr>
        <w:pStyle w:val="Fuente"/>
        <w:spacing w:after="0" w:line="360" w:lineRule="auto"/>
        <w:jc w:val="both"/>
        <w:rPr>
          <w:rFonts w:ascii="Verdana" w:hAnsi="Verdana"/>
          <w:sz w:val="24"/>
          <w:szCs w:val="24"/>
        </w:rPr>
      </w:pPr>
    </w:p>
    <w:p w:rsidRPr="009C275C" w:rsidR="009C275C" w:rsidP="006A0A13" w:rsidRDefault="009C275C" w14:paraId="59D232AA" w14:textId="77777777">
      <w:pPr>
        <w:pStyle w:val="Fuente"/>
        <w:spacing w:after="0" w:line="360" w:lineRule="auto"/>
        <w:jc w:val="both"/>
        <w:rPr>
          <w:rFonts w:ascii="Verdana" w:hAnsi="Verdana"/>
          <w:sz w:val="24"/>
          <w:szCs w:val="24"/>
        </w:rPr>
      </w:pPr>
      <w:r w:rsidRPr="009C275C">
        <w:rPr>
          <w:rFonts w:ascii="Verdana" w:hAnsi="Verdana"/>
          <w:sz w:val="24"/>
          <w:szCs w:val="24"/>
        </w:rPr>
        <w:t>Con corte al 30 de abril de 2026, el sector registra una apropiación vigente de $10.141.820 millones, compromisos por $4.837.129 millones, equivalentes al 47,7%.</w:t>
      </w:r>
    </w:p>
    <w:p w:rsidR="009C275C" w:rsidP="006A0A13" w:rsidRDefault="009C275C" w14:paraId="6FEE8FBA" w14:textId="77777777">
      <w:pPr>
        <w:pStyle w:val="Fuente"/>
        <w:spacing w:after="0" w:line="360" w:lineRule="auto"/>
        <w:jc w:val="both"/>
        <w:rPr>
          <w:rFonts w:ascii="Verdana" w:hAnsi="Verdana"/>
          <w:sz w:val="24"/>
          <w:szCs w:val="24"/>
        </w:rPr>
      </w:pPr>
    </w:p>
    <w:p w:rsidRPr="009C275C" w:rsidR="009C275C" w:rsidP="006A0A13" w:rsidRDefault="009C275C" w14:paraId="2E0CC8F5" w14:textId="77777777">
      <w:pPr>
        <w:pStyle w:val="Fuente"/>
        <w:spacing w:after="0" w:line="360" w:lineRule="auto"/>
        <w:jc w:val="both"/>
        <w:rPr>
          <w:rFonts w:ascii="Verdana" w:hAnsi="Verdana"/>
          <w:sz w:val="24"/>
          <w:szCs w:val="24"/>
        </w:rPr>
      </w:pPr>
      <w:r w:rsidRPr="009C275C">
        <w:rPr>
          <w:rFonts w:ascii="Verdana" w:hAnsi="Verdana"/>
          <w:sz w:val="24"/>
          <w:szCs w:val="24"/>
        </w:rPr>
        <w:t>Dado que se trata de un corte parcial de vigencia, los niveles observados responden al comportamiento esperado del inicio del ciclo presupuestal, etapa en la cual se concentran actividades de programación, estructuración técnica, contratación y alistamiento operativo.</w:t>
      </w:r>
    </w:p>
    <w:p w:rsidR="009C275C" w:rsidP="006A0A13" w:rsidRDefault="009C275C" w14:paraId="3B86388B" w14:textId="77777777">
      <w:pPr>
        <w:pStyle w:val="Fuente"/>
        <w:spacing w:after="0" w:line="360" w:lineRule="auto"/>
        <w:jc w:val="both"/>
        <w:rPr>
          <w:rFonts w:ascii="Verdana" w:hAnsi="Verdana"/>
          <w:sz w:val="24"/>
          <w:szCs w:val="24"/>
        </w:rPr>
      </w:pPr>
    </w:p>
    <w:p w:rsidRPr="009C275C" w:rsidR="009C275C" w:rsidP="006A0A13" w:rsidRDefault="009C275C" w14:paraId="273408A9" w14:textId="77777777">
      <w:pPr>
        <w:pStyle w:val="Fuente"/>
        <w:spacing w:after="0" w:line="360" w:lineRule="auto"/>
        <w:jc w:val="both"/>
        <w:rPr>
          <w:rFonts w:ascii="Verdana" w:hAnsi="Verdana"/>
          <w:sz w:val="24"/>
          <w:szCs w:val="24"/>
        </w:rPr>
      </w:pPr>
      <w:r w:rsidRPr="009C275C">
        <w:rPr>
          <w:rFonts w:ascii="Verdana" w:hAnsi="Verdana"/>
          <w:sz w:val="24"/>
          <w:szCs w:val="24"/>
        </w:rPr>
        <w:t>El resultado sectorial estuvo determinado principalmente por la participación del Ministerio de Minas y Energía (MME), entidad que concentra la mayor proporción de recursos de inversión del sector, con compromisos por $4.618.507 millones, lo que corresponde a una ejecución presupuestal del 49,0%.</w:t>
      </w:r>
    </w:p>
    <w:p w:rsidR="009C275C" w:rsidP="006A0A13" w:rsidRDefault="009C275C" w14:paraId="123CFEE8" w14:textId="77777777">
      <w:pPr>
        <w:pStyle w:val="Fuente"/>
        <w:spacing w:after="0" w:line="360" w:lineRule="auto"/>
        <w:jc w:val="both"/>
        <w:rPr>
          <w:rFonts w:ascii="Verdana" w:hAnsi="Verdana"/>
          <w:sz w:val="24"/>
          <w:szCs w:val="24"/>
        </w:rPr>
      </w:pPr>
    </w:p>
    <w:p w:rsidRPr="009C275C" w:rsidR="009C275C" w:rsidP="006A0A13" w:rsidRDefault="009C275C" w14:paraId="490BD702" w14:textId="0AD6C7E9">
      <w:pPr>
        <w:pStyle w:val="Fuente"/>
        <w:spacing w:after="0" w:line="360" w:lineRule="auto"/>
        <w:jc w:val="both"/>
        <w:rPr>
          <w:rFonts w:ascii="Verdana" w:hAnsi="Verdana"/>
          <w:sz w:val="24"/>
          <w:szCs w:val="24"/>
        </w:rPr>
      </w:pPr>
      <w:r w:rsidRPr="30CF4445" w:rsidR="3EF05203">
        <w:rPr>
          <w:rFonts w:ascii="Verdana" w:hAnsi="Verdana"/>
          <w:sz w:val="24"/>
          <w:szCs w:val="24"/>
        </w:rPr>
        <w:t xml:space="preserve">Entre las entidades adscritas se destacan los niveles de ejecución presupuestal alcanzados </w:t>
      </w:r>
      <w:r w:rsidRPr="30CF4445" w:rsidR="042CE9A4">
        <w:rPr>
          <w:rFonts w:ascii="Verdana" w:hAnsi="Verdana"/>
          <w:sz w:val="24"/>
          <w:szCs w:val="24"/>
        </w:rPr>
        <w:t xml:space="preserve">por </w:t>
      </w:r>
      <w:r w:rsidRPr="30CF4445" w:rsidR="3EF05203">
        <w:rPr>
          <w:rFonts w:ascii="Verdana" w:hAnsi="Verdana"/>
          <w:sz w:val="24"/>
          <w:szCs w:val="24"/>
        </w:rPr>
        <w:t>la ANH, que reportó compromisos por $47.021 millones, alcanzando una ejecución del 11,1%; la ANM, con compromisos por $50.193 millones, equivalentes al 55,5% de su apropiación; el IPSE, que registró compromisos por $45.650 millones, equivalentes a una ejecución del 91,3% de su apropiación; la CREG, con compromisos por $14.153  millones y una ejecución del 58,8%; y, finalmente, el SGC, que registró compromisos por $33.912 millones, equivalentes a una ejecución del 42,4% y finalmente</w:t>
      </w:r>
      <w:r w:rsidRPr="30CF4445" w:rsidR="28B570EB">
        <w:rPr>
          <w:rFonts w:ascii="Verdana" w:hAnsi="Verdana"/>
          <w:sz w:val="24"/>
          <w:szCs w:val="24"/>
        </w:rPr>
        <w:t>,</w:t>
      </w:r>
      <w:r w:rsidRPr="30CF4445" w:rsidR="3EF05203">
        <w:rPr>
          <w:rFonts w:ascii="Verdana" w:hAnsi="Verdana"/>
          <w:sz w:val="24"/>
          <w:szCs w:val="24"/>
        </w:rPr>
        <w:t xml:space="preserve">  la UPME, con compromisos por $28.293 millones, correspondientes a una ejecución del 66,0%.</w:t>
      </w:r>
    </w:p>
    <w:p w:rsidR="009C275C" w:rsidP="006A0A13" w:rsidRDefault="009C275C" w14:paraId="66444190" w14:textId="77777777">
      <w:pPr>
        <w:pStyle w:val="Fuente"/>
        <w:spacing w:after="0" w:line="360" w:lineRule="auto"/>
        <w:jc w:val="both"/>
        <w:rPr>
          <w:rFonts w:ascii="Verdana" w:hAnsi="Verdana"/>
          <w:sz w:val="24"/>
          <w:szCs w:val="24"/>
        </w:rPr>
      </w:pPr>
    </w:p>
    <w:p w:rsidRPr="009C275C" w:rsidR="009C275C" w:rsidP="006A0A13" w:rsidRDefault="7B8FDCB2" w14:paraId="63942959" w14:textId="77777777">
      <w:pPr>
        <w:pStyle w:val="Fuente"/>
        <w:spacing w:after="0" w:line="360" w:lineRule="auto"/>
        <w:jc w:val="both"/>
        <w:rPr>
          <w:rFonts w:ascii="Verdana" w:hAnsi="Verdana"/>
          <w:sz w:val="24"/>
          <w:szCs w:val="24"/>
        </w:rPr>
      </w:pPr>
      <w:r w:rsidRPr="180099B3">
        <w:rPr>
          <w:rFonts w:ascii="Verdana" w:hAnsi="Verdana"/>
          <w:sz w:val="24"/>
          <w:szCs w:val="24"/>
        </w:rPr>
        <w:t xml:space="preserve">En consecuencia, el comportamiento observado a abril de 2026 no resulta directamente comparable con los cierres anuales de vigencias anteriores, dado que corresponde a una medición parcial de la ejecución presupuestal. No obstante, los resultados permiten evidenciar avances en </w:t>
      </w:r>
      <w:r w:rsidRPr="180099B3">
        <w:rPr>
          <w:rFonts w:ascii="Verdana" w:hAnsi="Verdana"/>
          <w:sz w:val="24"/>
          <w:szCs w:val="24"/>
        </w:rPr>
        <w:t>la programación y compromiso de los recursos sectoriales, así como el desarrollo gradual de los proyectos de inversión previstos para la vigencia.</w:t>
      </w:r>
    </w:p>
    <w:p w:rsidR="180099B3" w:rsidP="006A0A13" w:rsidRDefault="180099B3" w14:paraId="460314B9" w14:textId="77777777">
      <w:pPr>
        <w:pStyle w:val="Fuente"/>
        <w:spacing w:after="0" w:line="360" w:lineRule="auto"/>
        <w:jc w:val="both"/>
        <w:rPr>
          <w:rFonts w:ascii="Verdana" w:hAnsi="Verdana"/>
          <w:sz w:val="24"/>
          <w:szCs w:val="24"/>
        </w:rPr>
      </w:pPr>
    </w:p>
    <w:p w:rsidR="009C275C" w:rsidP="006A0A13" w:rsidRDefault="009C275C" w14:paraId="7F3ECB6E" w14:textId="77777777">
      <w:pPr>
        <w:pStyle w:val="Fuente"/>
        <w:spacing w:after="0" w:line="360" w:lineRule="auto"/>
        <w:jc w:val="both"/>
        <w:rPr>
          <w:rFonts w:ascii="Verdana" w:hAnsi="Verdana"/>
          <w:sz w:val="24"/>
          <w:szCs w:val="24"/>
        </w:rPr>
      </w:pPr>
      <w:r w:rsidRPr="009C275C">
        <w:rPr>
          <w:rFonts w:ascii="Verdana" w:hAnsi="Verdana"/>
          <w:sz w:val="24"/>
          <w:szCs w:val="24"/>
        </w:rPr>
        <w:t>En términos generales, el sector presenta un avance acorde con la etapa inicial de ejecución presupuestal, manteniendo una dinámica favorable en la gestión y compromiso de los recursos asignados.</w:t>
      </w:r>
    </w:p>
    <w:p w:rsidRPr="009C275C" w:rsidR="009C275C" w:rsidP="006A0A13" w:rsidRDefault="009C275C" w14:paraId="270F2D14" w14:textId="77777777">
      <w:pPr>
        <w:pStyle w:val="Fuente"/>
        <w:spacing w:after="0" w:line="360" w:lineRule="auto"/>
        <w:jc w:val="both"/>
        <w:rPr>
          <w:rFonts w:ascii="Verdana" w:hAnsi="Verdana"/>
          <w:sz w:val="24"/>
          <w:szCs w:val="24"/>
        </w:rPr>
      </w:pPr>
    </w:p>
    <w:p w:rsidRPr="009C275C" w:rsidR="009C275C" w:rsidP="00770ECF" w:rsidRDefault="7B8FDCB2" w14:paraId="0C412452" w14:textId="27AF4918">
      <w:pPr>
        <w:spacing w:after="0" w:line="240" w:lineRule="auto"/>
        <w:jc w:val="center"/>
        <w:rPr>
          <w:rFonts w:ascii="Verdana" w:hAnsi="Verdana"/>
          <w:sz w:val="18"/>
          <w:szCs w:val="18"/>
        </w:rPr>
      </w:pPr>
      <w:r w:rsidRPr="180099B3">
        <w:rPr>
          <w:rFonts w:ascii="Verdana" w:hAnsi="Verdana"/>
          <w:sz w:val="18"/>
          <w:szCs w:val="18"/>
        </w:rPr>
        <w:t xml:space="preserve">Tabla </w:t>
      </w:r>
      <w:r w:rsidRPr="180099B3" w:rsidR="2471B690">
        <w:rPr>
          <w:rFonts w:ascii="Verdana" w:hAnsi="Verdana"/>
          <w:sz w:val="18"/>
          <w:szCs w:val="18"/>
        </w:rPr>
        <w:t xml:space="preserve">No. </w:t>
      </w:r>
      <w:r w:rsidRPr="180099B3" w:rsidR="1FBB3A1B">
        <w:rPr>
          <w:rFonts w:ascii="Verdana" w:hAnsi="Verdana"/>
          <w:sz w:val="18"/>
          <w:szCs w:val="18"/>
        </w:rPr>
        <w:t>4</w:t>
      </w:r>
      <w:r w:rsidR="00770ECF">
        <w:rPr>
          <w:rFonts w:ascii="Verdana" w:hAnsi="Verdana"/>
          <w:sz w:val="18"/>
          <w:szCs w:val="18"/>
        </w:rPr>
        <w:t>7</w:t>
      </w:r>
      <w:r w:rsidRPr="180099B3" w:rsidR="1FBB3A1B">
        <w:rPr>
          <w:rFonts w:ascii="Verdana" w:hAnsi="Verdana"/>
          <w:sz w:val="18"/>
          <w:szCs w:val="18"/>
        </w:rPr>
        <w:t>. Ejecución</w:t>
      </w:r>
      <w:r w:rsidRPr="180099B3">
        <w:rPr>
          <w:rFonts w:ascii="Verdana" w:hAnsi="Verdana"/>
          <w:sz w:val="18"/>
          <w:szCs w:val="18"/>
        </w:rPr>
        <w:t xml:space="preserve"> Presupuestal del Sector Minero Energético </w:t>
      </w:r>
    </w:p>
    <w:p w:rsidRPr="009C275C" w:rsidR="009C275C" w:rsidP="009C275C" w:rsidRDefault="7B8FDCB2" w14:paraId="3A1B1F47" w14:textId="77777777">
      <w:pPr>
        <w:spacing w:after="0" w:line="240" w:lineRule="auto"/>
        <w:jc w:val="center"/>
        <w:rPr>
          <w:rFonts w:ascii="Verdana" w:hAnsi="Verdana"/>
          <w:sz w:val="18"/>
          <w:szCs w:val="18"/>
        </w:rPr>
      </w:pPr>
      <w:r w:rsidRPr="180099B3">
        <w:rPr>
          <w:rFonts w:ascii="Verdana" w:hAnsi="Verdana"/>
          <w:sz w:val="18"/>
          <w:szCs w:val="18"/>
        </w:rPr>
        <w:t>con corte a 30 de abril de 2026</w:t>
      </w:r>
    </w:p>
    <w:tbl>
      <w:tblPr>
        <w:tblW w:w="868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666"/>
        <w:gridCol w:w="967"/>
        <w:gridCol w:w="1201"/>
        <w:gridCol w:w="795"/>
        <w:gridCol w:w="968"/>
        <w:gridCol w:w="968"/>
        <w:gridCol w:w="1082"/>
        <w:gridCol w:w="554"/>
        <w:gridCol w:w="1028"/>
        <w:gridCol w:w="599"/>
      </w:tblGrid>
      <w:tr w:rsidRPr="009C275C" w:rsidR="009C275C" w:rsidTr="009C275C" w14:paraId="6AE9DF17" w14:textId="77777777">
        <w:trPr>
          <w:trHeight w:val="300"/>
        </w:trPr>
        <w:tc>
          <w:tcPr>
            <w:tcW w:w="632" w:type="dxa"/>
            <w:vMerge w:val="restart"/>
            <w:shd w:val="clear" w:color="auto" w:fill="A6A6A6" w:themeFill="background1" w:themeFillShade="A6"/>
            <w:vAlign w:val="center"/>
            <w:hideMark/>
          </w:tcPr>
          <w:p w:rsidRPr="009C275C" w:rsidR="009C275C" w:rsidP="009C275C" w:rsidRDefault="009C275C" w14:paraId="3D8BB731" w14:textId="77777777">
            <w:pPr>
              <w:spacing w:after="0" w:line="240" w:lineRule="auto"/>
              <w:jc w:val="center"/>
              <w:rPr>
                <w:rFonts w:ascii="Verdana" w:hAnsi="Verdana" w:eastAsia="Times New Roman" w:cs="Times New Roman"/>
                <w:b/>
                <w:bCs/>
                <w:color w:val="000000"/>
                <w:sz w:val="16"/>
                <w:szCs w:val="16"/>
                <w:lang w:eastAsia="es-CO"/>
              </w:rPr>
            </w:pPr>
            <w:r w:rsidRPr="009C275C">
              <w:rPr>
                <w:rFonts w:ascii="Verdana" w:hAnsi="Verdana" w:eastAsia="Times New Roman" w:cs="Times New Roman"/>
                <w:b/>
                <w:bCs/>
                <w:color w:val="000000"/>
                <w:sz w:val="16"/>
                <w:szCs w:val="16"/>
                <w:lang w:eastAsia="es-CO"/>
              </w:rPr>
              <w:t>Entidad</w:t>
            </w:r>
          </w:p>
        </w:tc>
        <w:tc>
          <w:tcPr>
            <w:tcW w:w="914" w:type="dxa"/>
            <w:vMerge w:val="restart"/>
            <w:shd w:val="clear" w:color="auto" w:fill="A6A6A6" w:themeFill="background1" w:themeFillShade="A6"/>
            <w:vAlign w:val="center"/>
            <w:hideMark/>
          </w:tcPr>
          <w:p w:rsidRPr="009C275C" w:rsidR="009C275C" w:rsidP="009C275C" w:rsidRDefault="009C275C" w14:paraId="33FFA8D2" w14:textId="77777777">
            <w:pPr>
              <w:spacing w:after="0" w:line="240" w:lineRule="auto"/>
              <w:jc w:val="center"/>
              <w:rPr>
                <w:rFonts w:ascii="Verdana" w:hAnsi="Verdana" w:eastAsia="Times New Roman" w:cs="Times New Roman"/>
                <w:b/>
                <w:bCs/>
                <w:color w:val="000000"/>
                <w:sz w:val="16"/>
                <w:szCs w:val="16"/>
                <w:lang w:eastAsia="es-CO"/>
              </w:rPr>
            </w:pPr>
            <w:r w:rsidRPr="009C275C">
              <w:rPr>
                <w:rFonts w:ascii="Verdana" w:hAnsi="Verdana" w:eastAsia="Times New Roman" w:cs="Times New Roman"/>
                <w:b/>
                <w:bCs/>
                <w:color w:val="000000"/>
                <w:sz w:val="16"/>
                <w:szCs w:val="16"/>
                <w:lang w:eastAsia="es-CO"/>
              </w:rPr>
              <w:t>Apropiación Inicial 2026</w:t>
            </w:r>
          </w:p>
        </w:tc>
        <w:tc>
          <w:tcPr>
            <w:tcW w:w="1134" w:type="dxa"/>
            <w:vMerge w:val="restart"/>
            <w:shd w:val="clear" w:color="auto" w:fill="A6A6A6" w:themeFill="background1" w:themeFillShade="A6"/>
            <w:vAlign w:val="center"/>
            <w:hideMark/>
          </w:tcPr>
          <w:p w:rsidRPr="009C275C" w:rsidR="009C275C" w:rsidP="009C275C" w:rsidRDefault="009C275C" w14:paraId="71FC47D8" w14:textId="77777777">
            <w:pPr>
              <w:spacing w:after="0" w:line="240" w:lineRule="auto"/>
              <w:jc w:val="center"/>
              <w:rPr>
                <w:rFonts w:ascii="Verdana" w:hAnsi="Verdana" w:eastAsia="Times New Roman" w:cs="Times New Roman"/>
                <w:b/>
                <w:bCs/>
                <w:color w:val="000000"/>
                <w:sz w:val="16"/>
                <w:szCs w:val="16"/>
                <w:lang w:eastAsia="es-CO"/>
              </w:rPr>
            </w:pPr>
            <w:r w:rsidRPr="009C275C">
              <w:rPr>
                <w:rFonts w:ascii="Verdana" w:hAnsi="Verdana" w:eastAsia="Times New Roman" w:cs="Times New Roman"/>
                <w:b/>
                <w:bCs/>
                <w:color w:val="000000"/>
                <w:sz w:val="16"/>
                <w:szCs w:val="16"/>
                <w:lang w:eastAsia="es-CO"/>
              </w:rPr>
              <w:t>Traslados Presupuestales por Reducción</w:t>
            </w:r>
          </w:p>
        </w:tc>
        <w:tc>
          <w:tcPr>
            <w:tcW w:w="753" w:type="dxa"/>
            <w:vMerge w:val="restart"/>
            <w:shd w:val="clear" w:color="auto" w:fill="A6A6A6" w:themeFill="background1" w:themeFillShade="A6"/>
            <w:vAlign w:val="center"/>
            <w:hideMark/>
          </w:tcPr>
          <w:p w:rsidRPr="009C275C" w:rsidR="009C275C" w:rsidP="009C275C" w:rsidRDefault="009C275C" w14:paraId="765D1536" w14:textId="77777777">
            <w:pPr>
              <w:spacing w:after="0" w:line="240" w:lineRule="auto"/>
              <w:jc w:val="center"/>
              <w:rPr>
                <w:rFonts w:ascii="Verdana" w:hAnsi="Verdana" w:eastAsia="Times New Roman" w:cs="Times New Roman"/>
                <w:b/>
                <w:bCs/>
                <w:color w:val="000000"/>
                <w:sz w:val="16"/>
                <w:szCs w:val="16"/>
                <w:lang w:eastAsia="es-CO"/>
              </w:rPr>
            </w:pPr>
            <w:r w:rsidRPr="009C275C">
              <w:rPr>
                <w:rFonts w:ascii="Verdana" w:hAnsi="Verdana" w:eastAsia="Times New Roman" w:cs="Times New Roman"/>
                <w:b/>
                <w:bCs/>
                <w:color w:val="000000"/>
                <w:sz w:val="16"/>
                <w:szCs w:val="16"/>
                <w:lang w:eastAsia="es-CO"/>
              </w:rPr>
              <w:t>Total adiciones</w:t>
            </w:r>
          </w:p>
        </w:tc>
        <w:tc>
          <w:tcPr>
            <w:tcW w:w="1050" w:type="dxa"/>
            <w:shd w:val="clear" w:color="auto" w:fill="A6A6A6" w:themeFill="background1" w:themeFillShade="A6"/>
            <w:vAlign w:val="center"/>
            <w:hideMark/>
          </w:tcPr>
          <w:p w:rsidRPr="009C275C" w:rsidR="009C275C" w:rsidP="009C275C" w:rsidRDefault="009C275C" w14:paraId="6C03C09C" w14:textId="77777777">
            <w:pPr>
              <w:spacing w:after="0" w:line="240" w:lineRule="auto"/>
              <w:jc w:val="center"/>
              <w:rPr>
                <w:rFonts w:ascii="Verdana" w:hAnsi="Verdana" w:eastAsia="Times New Roman" w:cs="Times New Roman"/>
                <w:b/>
                <w:bCs/>
                <w:color w:val="000000"/>
                <w:sz w:val="16"/>
                <w:szCs w:val="16"/>
                <w:lang w:eastAsia="es-CO"/>
              </w:rPr>
            </w:pPr>
            <w:r w:rsidRPr="009C275C">
              <w:rPr>
                <w:rFonts w:ascii="Verdana" w:hAnsi="Verdana" w:eastAsia="Times New Roman" w:cs="Times New Roman"/>
                <w:b/>
                <w:bCs/>
                <w:color w:val="000000"/>
                <w:sz w:val="16"/>
                <w:szCs w:val="16"/>
                <w:lang w:eastAsia="es-CO"/>
              </w:rPr>
              <w:t>Apropiación</w:t>
            </w:r>
          </w:p>
        </w:tc>
        <w:tc>
          <w:tcPr>
            <w:tcW w:w="914" w:type="dxa"/>
            <w:vMerge w:val="restart"/>
            <w:shd w:val="clear" w:color="auto" w:fill="A6A6A6" w:themeFill="background1" w:themeFillShade="A6"/>
            <w:vAlign w:val="center"/>
            <w:hideMark/>
          </w:tcPr>
          <w:p w:rsidRPr="009C275C" w:rsidR="009C275C" w:rsidP="009C275C" w:rsidRDefault="009C275C" w14:paraId="67011495" w14:textId="77777777">
            <w:pPr>
              <w:spacing w:after="0" w:line="240" w:lineRule="auto"/>
              <w:jc w:val="center"/>
              <w:rPr>
                <w:rFonts w:ascii="Verdana" w:hAnsi="Verdana" w:eastAsia="Times New Roman" w:cs="Times New Roman"/>
                <w:b/>
                <w:bCs/>
                <w:color w:val="000000"/>
                <w:sz w:val="16"/>
                <w:szCs w:val="16"/>
                <w:lang w:eastAsia="es-CO"/>
              </w:rPr>
            </w:pPr>
            <w:r w:rsidRPr="009C275C">
              <w:rPr>
                <w:rFonts w:ascii="Verdana" w:hAnsi="Verdana" w:eastAsia="Times New Roman" w:cs="Times New Roman"/>
                <w:b/>
                <w:bCs/>
                <w:color w:val="000000"/>
                <w:sz w:val="16"/>
                <w:szCs w:val="16"/>
                <w:lang w:eastAsia="es-CO"/>
              </w:rPr>
              <w:t>Apropiación Bloqueada 2026</w:t>
            </w:r>
          </w:p>
        </w:tc>
        <w:tc>
          <w:tcPr>
            <w:tcW w:w="1022" w:type="dxa"/>
            <w:vMerge w:val="restart"/>
            <w:shd w:val="clear" w:color="auto" w:fill="A6A6A6" w:themeFill="background1" w:themeFillShade="A6"/>
            <w:vAlign w:val="center"/>
            <w:hideMark/>
          </w:tcPr>
          <w:p w:rsidRPr="009C275C" w:rsidR="009C275C" w:rsidP="009C275C" w:rsidRDefault="009C275C" w14:paraId="2F7F9855" w14:textId="77777777">
            <w:pPr>
              <w:spacing w:after="0" w:line="240" w:lineRule="auto"/>
              <w:jc w:val="center"/>
              <w:rPr>
                <w:rFonts w:ascii="Verdana" w:hAnsi="Verdana" w:eastAsia="Times New Roman" w:cs="Times New Roman"/>
                <w:b/>
                <w:bCs/>
                <w:color w:val="000000"/>
                <w:sz w:val="16"/>
                <w:szCs w:val="16"/>
                <w:lang w:eastAsia="es-CO"/>
              </w:rPr>
            </w:pPr>
            <w:r w:rsidRPr="009C275C">
              <w:rPr>
                <w:rFonts w:ascii="Verdana" w:hAnsi="Verdana" w:eastAsia="Times New Roman" w:cs="Times New Roman"/>
                <w:b/>
                <w:bCs/>
                <w:color w:val="000000"/>
                <w:sz w:val="16"/>
                <w:szCs w:val="16"/>
                <w:lang w:eastAsia="es-CO"/>
              </w:rPr>
              <w:t>Compromisos</w:t>
            </w:r>
          </w:p>
        </w:tc>
        <w:tc>
          <w:tcPr>
            <w:tcW w:w="600" w:type="dxa"/>
            <w:vMerge w:val="restart"/>
            <w:shd w:val="clear" w:color="auto" w:fill="A6A6A6" w:themeFill="background1" w:themeFillShade="A6"/>
            <w:vAlign w:val="center"/>
            <w:hideMark/>
          </w:tcPr>
          <w:p w:rsidRPr="009C275C" w:rsidR="009C275C" w:rsidP="009C275C" w:rsidRDefault="009C275C" w14:paraId="4D03C68D" w14:textId="77777777">
            <w:pPr>
              <w:spacing w:after="0" w:line="240" w:lineRule="auto"/>
              <w:jc w:val="center"/>
              <w:rPr>
                <w:rFonts w:ascii="Verdana" w:hAnsi="Verdana" w:eastAsia="Times New Roman" w:cs="Times New Roman"/>
                <w:b/>
                <w:bCs/>
                <w:color w:val="000000"/>
                <w:sz w:val="16"/>
                <w:szCs w:val="16"/>
                <w:lang w:eastAsia="es-CO"/>
              </w:rPr>
            </w:pPr>
            <w:r w:rsidRPr="009C275C">
              <w:rPr>
                <w:rFonts w:ascii="Verdana" w:hAnsi="Verdana" w:eastAsia="Times New Roman" w:cs="Times New Roman"/>
                <w:b/>
                <w:bCs/>
                <w:color w:val="000000"/>
                <w:sz w:val="16"/>
                <w:szCs w:val="16"/>
                <w:lang w:eastAsia="es-CO"/>
              </w:rPr>
              <w:t>% Comp</w:t>
            </w:r>
          </w:p>
        </w:tc>
        <w:tc>
          <w:tcPr>
            <w:tcW w:w="972" w:type="dxa"/>
            <w:vMerge w:val="restart"/>
            <w:shd w:val="clear" w:color="auto" w:fill="A6A6A6" w:themeFill="background1" w:themeFillShade="A6"/>
            <w:vAlign w:val="center"/>
            <w:hideMark/>
          </w:tcPr>
          <w:p w:rsidRPr="009C275C" w:rsidR="009C275C" w:rsidP="009C275C" w:rsidRDefault="009C275C" w14:paraId="24E4E89D" w14:textId="77777777">
            <w:pPr>
              <w:spacing w:after="0" w:line="240" w:lineRule="auto"/>
              <w:jc w:val="center"/>
              <w:rPr>
                <w:rFonts w:ascii="Verdana" w:hAnsi="Verdana" w:eastAsia="Times New Roman" w:cs="Times New Roman"/>
                <w:b/>
                <w:bCs/>
                <w:color w:val="000000"/>
                <w:sz w:val="16"/>
                <w:szCs w:val="16"/>
                <w:lang w:eastAsia="es-CO"/>
              </w:rPr>
            </w:pPr>
            <w:r w:rsidRPr="009C275C">
              <w:rPr>
                <w:rFonts w:ascii="Verdana" w:hAnsi="Verdana" w:eastAsia="Times New Roman" w:cs="Times New Roman"/>
                <w:b/>
                <w:bCs/>
                <w:color w:val="000000"/>
                <w:sz w:val="16"/>
                <w:szCs w:val="16"/>
                <w:lang w:eastAsia="es-CO"/>
              </w:rPr>
              <w:t>Obligaciones</w:t>
            </w:r>
          </w:p>
        </w:tc>
        <w:tc>
          <w:tcPr>
            <w:tcW w:w="696" w:type="dxa"/>
            <w:vMerge w:val="restart"/>
            <w:shd w:val="clear" w:color="auto" w:fill="A6A6A6" w:themeFill="background1" w:themeFillShade="A6"/>
            <w:vAlign w:val="center"/>
            <w:hideMark/>
          </w:tcPr>
          <w:p w:rsidRPr="009C275C" w:rsidR="009C275C" w:rsidP="009C275C" w:rsidRDefault="009C275C" w14:paraId="7CBC9D42" w14:textId="77777777">
            <w:pPr>
              <w:spacing w:after="0" w:line="240" w:lineRule="auto"/>
              <w:jc w:val="center"/>
              <w:rPr>
                <w:rFonts w:ascii="Verdana" w:hAnsi="Verdana" w:eastAsia="Times New Roman" w:cs="Times New Roman"/>
                <w:b/>
                <w:bCs/>
                <w:color w:val="000000"/>
                <w:sz w:val="16"/>
                <w:szCs w:val="16"/>
                <w:lang w:eastAsia="es-CO"/>
              </w:rPr>
            </w:pPr>
            <w:r w:rsidRPr="009C275C">
              <w:rPr>
                <w:rFonts w:ascii="Verdana" w:hAnsi="Verdana" w:eastAsia="Times New Roman" w:cs="Times New Roman"/>
                <w:b/>
                <w:bCs/>
                <w:color w:val="000000"/>
                <w:sz w:val="16"/>
                <w:szCs w:val="16"/>
                <w:lang w:eastAsia="es-CO"/>
              </w:rPr>
              <w:t>% Oblig.</w:t>
            </w:r>
          </w:p>
        </w:tc>
      </w:tr>
      <w:tr w:rsidRPr="009C275C" w:rsidR="009C275C" w:rsidTr="009C275C" w14:paraId="0E0472FC" w14:textId="77777777">
        <w:trPr>
          <w:trHeight w:val="311"/>
        </w:trPr>
        <w:tc>
          <w:tcPr>
            <w:tcW w:w="632" w:type="dxa"/>
            <w:vMerge/>
            <w:vAlign w:val="center"/>
            <w:hideMark/>
          </w:tcPr>
          <w:p w:rsidRPr="009C275C" w:rsidR="009C275C" w:rsidP="009C275C" w:rsidRDefault="009C275C" w14:paraId="292067C6" w14:textId="77777777">
            <w:pPr>
              <w:spacing w:after="0" w:line="240" w:lineRule="auto"/>
              <w:rPr>
                <w:rFonts w:ascii="Verdana" w:hAnsi="Verdana" w:eastAsia="Times New Roman" w:cs="Times New Roman"/>
                <w:b/>
                <w:bCs/>
                <w:color w:val="000000"/>
                <w:sz w:val="16"/>
                <w:szCs w:val="16"/>
                <w:lang w:eastAsia="es-CO"/>
              </w:rPr>
            </w:pPr>
          </w:p>
        </w:tc>
        <w:tc>
          <w:tcPr>
            <w:tcW w:w="914" w:type="dxa"/>
            <w:vMerge/>
            <w:vAlign w:val="center"/>
            <w:hideMark/>
          </w:tcPr>
          <w:p w:rsidRPr="009C275C" w:rsidR="009C275C" w:rsidP="009C275C" w:rsidRDefault="009C275C" w14:paraId="5B39D87E" w14:textId="77777777">
            <w:pPr>
              <w:spacing w:after="0" w:line="240" w:lineRule="auto"/>
              <w:rPr>
                <w:rFonts w:ascii="Verdana" w:hAnsi="Verdana" w:eastAsia="Times New Roman" w:cs="Times New Roman"/>
                <w:b/>
                <w:bCs/>
                <w:color w:val="000000"/>
                <w:sz w:val="16"/>
                <w:szCs w:val="16"/>
                <w:lang w:eastAsia="es-CO"/>
              </w:rPr>
            </w:pPr>
          </w:p>
        </w:tc>
        <w:tc>
          <w:tcPr>
            <w:tcW w:w="1134" w:type="dxa"/>
            <w:vMerge/>
            <w:vAlign w:val="center"/>
            <w:hideMark/>
          </w:tcPr>
          <w:p w:rsidRPr="009C275C" w:rsidR="009C275C" w:rsidP="009C275C" w:rsidRDefault="009C275C" w14:paraId="55333124" w14:textId="77777777">
            <w:pPr>
              <w:spacing w:after="0" w:line="240" w:lineRule="auto"/>
              <w:rPr>
                <w:rFonts w:ascii="Verdana" w:hAnsi="Verdana" w:eastAsia="Times New Roman" w:cs="Times New Roman"/>
                <w:b/>
                <w:bCs/>
                <w:color w:val="000000"/>
                <w:sz w:val="16"/>
                <w:szCs w:val="16"/>
                <w:lang w:eastAsia="es-CO"/>
              </w:rPr>
            </w:pPr>
          </w:p>
        </w:tc>
        <w:tc>
          <w:tcPr>
            <w:tcW w:w="753" w:type="dxa"/>
            <w:vMerge/>
            <w:vAlign w:val="center"/>
            <w:hideMark/>
          </w:tcPr>
          <w:p w:rsidRPr="009C275C" w:rsidR="009C275C" w:rsidP="009C275C" w:rsidRDefault="009C275C" w14:paraId="27F103FA" w14:textId="77777777">
            <w:pPr>
              <w:spacing w:after="0" w:line="240" w:lineRule="auto"/>
              <w:rPr>
                <w:rFonts w:ascii="Verdana" w:hAnsi="Verdana" w:eastAsia="Times New Roman" w:cs="Times New Roman"/>
                <w:b/>
                <w:bCs/>
                <w:color w:val="000000"/>
                <w:sz w:val="16"/>
                <w:szCs w:val="16"/>
                <w:lang w:eastAsia="es-CO"/>
              </w:rPr>
            </w:pPr>
          </w:p>
        </w:tc>
        <w:tc>
          <w:tcPr>
            <w:tcW w:w="1050" w:type="dxa"/>
            <w:shd w:val="clear" w:color="auto" w:fill="A6A6A6" w:themeFill="background1" w:themeFillShade="A6"/>
            <w:vAlign w:val="center"/>
            <w:hideMark/>
          </w:tcPr>
          <w:p w:rsidRPr="009C275C" w:rsidR="009C275C" w:rsidP="009C275C" w:rsidRDefault="009C275C" w14:paraId="643255C0" w14:textId="77777777">
            <w:pPr>
              <w:spacing w:after="0" w:line="240" w:lineRule="auto"/>
              <w:jc w:val="center"/>
              <w:rPr>
                <w:rFonts w:ascii="Verdana" w:hAnsi="Verdana" w:eastAsia="Times New Roman" w:cs="Times New Roman"/>
                <w:b/>
                <w:bCs/>
                <w:color w:val="000000"/>
                <w:sz w:val="16"/>
                <w:szCs w:val="16"/>
                <w:lang w:eastAsia="es-CO"/>
              </w:rPr>
            </w:pPr>
            <w:r w:rsidRPr="009C275C">
              <w:rPr>
                <w:rFonts w:ascii="Verdana" w:hAnsi="Verdana" w:eastAsia="Times New Roman" w:cs="Times New Roman"/>
                <w:b/>
                <w:bCs/>
                <w:color w:val="000000"/>
                <w:sz w:val="16"/>
                <w:szCs w:val="16"/>
                <w:lang w:eastAsia="es-CO"/>
              </w:rPr>
              <w:t>Vigente 2026</w:t>
            </w:r>
          </w:p>
        </w:tc>
        <w:tc>
          <w:tcPr>
            <w:tcW w:w="914" w:type="dxa"/>
            <w:vMerge/>
            <w:vAlign w:val="center"/>
            <w:hideMark/>
          </w:tcPr>
          <w:p w:rsidRPr="009C275C" w:rsidR="009C275C" w:rsidP="009C275C" w:rsidRDefault="009C275C" w14:paraId="7A108EF9" w14:textId="77777777">
            <w:pPr>
              <w:spacing w:after="0" w:line="240" w:lineRule="auto"/>
              <w:rPr>
                <w:rFonts w:ascii="Verdana" w:hAnsi="Verdana" w:eastAsia="Times New Roman" w:cs="Times New Roman"/>
                <w:b/>
                <w:bCs/>
                <w:color w:val="000000"/>
                <w:sz w:val="16"/>
                <w:szCs w:val="16"/>
                <w:lang w:eastAsia="es-CO"/>
              </w:rPr>
            </w:pPr>
          </w:p>
        </w:tc>
        <w:tc>
          <w:tcPr>
            <w:tcW w:w="1022" w:type="dxa"/>
            <w:vMerge/>
            <w:vAlign w:val="center"/>
            <w:hideMark/>
          </w:tcPr>
          <w:p w:rsidRPr="009C275C" w:rsidR="009C275C" w:rsidP="009C275C" w:rsidRDefault="009C275C" w14:paraId="6849D9B2" w14:textId="77777777">
            <w:pPr>
              <w:spacing w:after="0" w:line="240" w:lineRule="auto"/>
              <w:rPr>
                <w:rFonts w:ascii="Verdana" w:hAnsi="Verdana" w:eastAsia="Times New Roman" w:cs="Times New Roman"/>
                <w:b/>
                <w:bCs/>
                <w:color w:val="000000"/>
                <w:sz w:val="16"/>
                <w:szCs w:val="16"/>
                <w:lang w:eastAsia="es-CO"/>
              </w:rPr>
            </w:pPr>
          </w:p>
        </w:tc>
        <w:tc>
          <w:tcPr>
            <w:tcW w:w="600" w:type="dxa"/>
            <w:vMerge/>
            <w:vAlign w:val="center"/>
            <w:hideMark/>
          </w:tcPr>
          <w:p w:rsidRPr="009C275C" w:rsidR="009C275C" w:rsidP="009C275C" w:rsidRDefault="009C275C" w14:paraId="74316996" w14:textId="77777777">
            <w:pPr>
              <w:spacing w:after="0" w:line="240" w:lineRule="auto"/>
              <w:rPr>
                <w:rFonts w:ascii="Verdana" w:hAnsi="Verdana" w:eastAsia="Times New Roman" w:cs="Times New Roman"/>
                <w:b/>
                <w:bCs/>
                <w:color w:val="000000"/>
                <w:sz w:val="16"/>
                <w:szCs w:val="16"/>
                <w:lang w:eastAsia="es-CO"/>
              </w:rPr>
            </w:pPr>
          </w:p>
        </w:tc>
        <w:tc>
          <w:tcPr>
            <w:tcW w:w="972" w:type="dxa"/>
            <w:vMerge/>
            <w:vAlign w:val="center"/>
            <w:hideMark/>
          </w:tcPr>
          <w:p w:rsidRPr="009C275C" w:rsidR="009C275C" w:rsidP="009C275C" w:rsidRDefault="009C275C" w14:paraId="26AC9D39" w14:textId="77777777">
            <w:pPr>
              <w:spacing w:after="0" w:line="240" w:lineRule="auto"/>
              <w:rPr>
                <w:rFonts w:ascii="Verdana" w:hAnsi="Verdana" w:eastAsia="Times New Roman" w:cs="Times New Roman"/>
                <w:b/>
                <w:bCs/>
                <w:color w:val="000000"/>
                <w:sz w:val="16"/>
                <w:szCs w:val="16"/>
                <w:lang w:eastAsia="es-CO"/>
              </w:rPr>
            </w:pPr>
          </w:p>
        </w:tc>
        <w:tc>
          <w:tcPr>
            <w:tcW w:w="696" w:type="dxa"/>
            <w:vMerge/>
            <w:vAlign w:val="center"/>
            <w:hideMark/>
          </w:tcPr>
          <w:p w:rsidRPr="009C275C" w:rsidR="009C275C" w:rsidP="009C275C" w:rsidRDefault="009C275C" w14:paraId="471865C1" w14:textId="77777777">
            <w:pPr>
              <w:spacing w:after="0" w:line="240" w:lineRule="auto"/>
              <w:rPr>
                <w:rFonts w:ascii="Verdana" w:hAnsi="Verdana" w:eastAsia="Times New Roman" w:cs="Times New Roman"/>
                <w:b/>
                <w:bCs/>
                <w:color w:val="000000"/>
                <w:sz w:val="16"/>
                <w:szCs w:val="16"/>
                <w:lang w:eastAsia="es-CO"/>
              </w:rPr>
            </w:pPr>
          </w:p>
        </w:tc>
      </w:tr>
      <w:tr w:rsidRPr="009C275C" w:rsidR="009C275C" w14:paraId="4A9A1B01" w14:textId="77777777">
        <w:trPr>
          <w:trHeight w:val="311"/>
        </w:trPr>
        <w:tc>
          <w:tcPr>
            <w:tcW w:w="632" w:type="dxa"/>
            <w:vAlign w:val="center"/>
            <w:hideMark/>
          </w:tcPr>
          <w:p w:rsidRPr="009C275C" w:rsidR="009C275C" w:rsidP="009C275C" w:rsidRDefault="009C275C" w14:paraId="5BBBE72A" w14:textId="77777777">
            <w:pPr>
              <w:spacing w:after="0" w:line="240" w:lineRule="auto"/>
              <w:jc w:val="center"/>
              <w:rPr>
                <w:rFonts w:ascii="Verdana" w:hAnsi="Verdana" w:eastAsia="Times New Roman" w:cs="Times New Roman"/>
                <w:sz w:val="16"/>
                <w:szCs w:val="16"/>
                <w:lang w:eastAsia="es-CO"/>
              </w:rPr>
            </w:pPr>
            <w:r w:rsidRPr="009C275C">
              <w:rPr>
                <w:rFonts w:ascii="Verdana" w:hAnsi="Verdana" w:eastAsia="Times New Roman" w:cs="Times New Roman"/>
                <w:sz w:val="16"/>
                <w:szCs w:val="16"/>
                <w:lang w:eastAsia="es-CO"/>
              </w:rPr>
              <w:t>MME</w:t>
            </w:r>
          </w:p>
        </w:tc>
        <w:tc>
          <w:tcPr>
            <w:tcW w:w="914" w:type="dxa"/>
            <w:noWrap/>
            <w:vAlign w:val="center"/>
            <w:hideMark/>
          </w:tcPr>
          <w:p w:rsidRPr="009C275C" w:rsidR="009C275C" w:rsidP="009C275C" w:rsidRDefault="009C275C" w14:paraId="52A02A3F" w14:textId="77777777">
            <w:pPr>
              <w:spacing w:after="0" w:line="240" w:lineRule="auto"/>
              <w:jc w:val="right"/>
              <w:rPr>
                <w:rFonts w:ascii="Verdana" w:hAnsi="Verdana" w:eastAsia="Times New Roman" w:cs="Times New Roman"/>
                <w:color w:val="000000" w:themeColor="text1"/>
                <w:sz w:val="16"/>
                <w:szCs w:val="16"/>
                <w:lang w:eastAsia="es-CO"/>
              </w:rPr>
            </w:pPr>
            <w:r w:rsidRPr="009C275C">
              <w:rPr>
                <w:rFonts w:ascii="Verdana" w:hAnsi="Verdana" w:eastAsia="Times New Roman" w:cs="Times New Roman"/>
                <w:color w:val="000000" w:themeColor="text1"/>
                <w:sz w:val="16"/>
                <w:szCs w:val="16"/>
                <w:lang w:eastAsia="es-CO"/>
              </w:rPr>
              <w:t>$ 9.430.689</w:t>
            </w:r>
          </w:p>
        </w:tc>
        <w:tc>
          <w:tcPr>
            <w:tcW w:w="1134" w:type="dxa"/>
            <w:noWrap/>
            <w:vAlign w:val="center"/>
            <w:hideMark/>
          </w:tcPr>
          <w:p w:rsidRPr="009C275C" w:rsidR="009C275C" w:rsidP="009C275C" w:rsidRDefault="009C275C" w14:paraId="6581939E" w14:textId="77777777">
            <w:pPr>
              <w:spacing w:after="0" w:line="240" w:lineRule="auto"/>
              <w:jc w:val="right"/>
              <w:rPr>
                <w:rFonts w:ascii="Verdana" w:hAnsi="Verdana" w:eastAsia="Times New Roman" w:cs="Times New Roman"/>
                <w:color w:val="000000" w:themeColor="text1"/>
                <w:sz w:val="16"/>
                <w:szCs w:val="16"/>
                <w:lang w:eastAsia="es-CO"/>
              </w:rPr>
            </w:pPr>
            <w:r w:rsidRPr="009C275C">
              <w:rPr>
                <w:rFonts w:ascii="Verdana" w:hAnsi="Verdana" w:eastAsia="Times New Roman" w:cs="Times New Roman"/>
                <w:color w:val="000000" w:themeColor="text1"/>
                <w:sz w:val="16"/>
                <w:szCs w:val="16"/>
                <w:lang w:eastAsia="es-CO"/>
              </w:rPr>
              <w:t xml:space="preserve"> $                   - </w:t>
            </w:r>
          </w:p>
        </w:tc>
        <w:tc>
          <w:tcPr>
            <w:tcW w:w="753" w:type="dxa"/>
            <w:vAlign w:val="center"/>
            <w:hideMark/>
          </w:tcPr>
          <w:p w:rsidRPr="009C275C" w:rsidR="009C275C" w:rsidP="009C275C" w:rsidRDefault="009C275C" w14:paraId="37090158" w14:textId="77777777">
            <w:pPr>
              <w:spacing w:after="0" w:line="240" w:lineRule="auto"/>
              <w:jc w:val="right"/>
              <w:rPr>
                <w:rFonts w:ascii="Verdana" w:hAnsi="Verdana" w:eastAsia="Times New Roman" w:cs="Times New Roman"/>
                <w:color w:val="000000" w:themeColor="text1"/>
                <w:sz w:val="16"/>
                <w:szCs w:val="16"/>
                <w:lang w:eastAsia="es-CO"/>
              </w:rPr>
            </w:pPr>
            <w:r w:rsidRPr="009C275C">
              <w:rPr>
                <w:rFonts w:ascii="Verdana" w:hAnsi="Verdana" w:eastAsia="Times New Roman" w:cs="Times New Roman"/>
                <w:color w:val="000000" w:themeColor="text1"/>
                <w:sz w:val="16"/>
                <w:szCs w:val="16"/>
                <w:lang w:eastAsia="es-CO"/>
              </w:rPr>
              <w:t xml:space="preserve"> $                   - </w:t>
            </w:r>
          </w:p>
        </w:tc>
        <w:tc>
          <w:tcPr>
            <w:tcW w:w="1050" w:type="dxa"/>
            <w:noWrap/>
            <w:vAlign w:val="center"/>
            <w:hideMark/>
          </w:tcPr>
          <w:p w:rsidRPr="009C275C" w:rsidR="009C275C" w:rsidP="009C275C" w:rsidRDefault="009C275C" w14:paraId="6F856ADA" w14:textId="77777777">
            <w:pPr>
              <w:spacing w:after="0" w:line="240" w:lineRule="auto"/>
              <w:jc w:val="right"/>
              <w:rPr>
                <w:rFonts w:ascii="Verdana" w:hAnsi="Verdana" w:eastAsia="Times New Roman" w:cs="Times New Roman"/>
                <w:color w:val="000000" w:themeColor="text1"/>
                <w:sz w:val="16"/>
                <w:szCs w:val="16"/>
                <w:lang w:eastAsia="es-CO"/>
              </w:rPr>
            </w:pPr>
            <w:r w:rsidRPr="009C275C">
              <w:rPr>
                <w:rFonts w:ascii="Verdana" w:hAnsi="Verdana" w:eastAsia="Times New Roman" w:cs="Times New Roman"/>
                <w:color w:val="000000" w:themeColor="text1"/>
                <w:sz w:val="16"/>
                <w:szCs w:val="16"/>
                <w:lang w:eastAsia="es-CO"/>
              </w:rPr>
              <w:t>$ 9.430.689</w:t>
            </w:r>
          </w:p>
        </w:tc>
        <w:tc>
          <w:tcPr>
            <w:tcW w:w="914" w:type="dxa"/>
            <w:noWrap/>
            <w:vAlign w:val="center"/>
            <w:hideMark/>
          </w:tcPr>
          <w:p w:rsidRPr="009C275C" w:rsidR="009C275C" w:rsidP="009C275C" w:rsidRDefault="009C275C" w14:paraId="6C611DE3" w14:textId="77777777">
            <w:pPr>
              <w:spacing w:after="0" w:line="240" w:lineRule="auto"/>
              <w:jc w:val="right"/>
              <w:rPr>
                <w:rFonts w:ascii="Verdana" w:hAnsi="Verdana" w:eastAsia="Times New Roman" w:cs="Times New Roman"/>
                <w:color w:val="000000" w:themeColor="text1"/>
                <w:sz w:val="16"/>
                <w:szCs w:val="16"/>
                <w:lang w:eastAsia="es-CO"/>
              </w:rPr>
            </w:pPr>
            <w:r w:rsidRPr="009C275C">
              <w:rPr>
                <w:rFonts w:ascii="Verdana" w:hAnsi="Verdana" w:eastAsia="Times New Roman" w:cs="Times New Roman"/>
                <w:color w:val="000000" w:themeColor="text1"/>
                <w:sz w:val="16"/>
                <w:szCs w:val="16"/>
                <w:lang w:eastAsia="es-CO"/>
              </w:rPr>
              <w:t xml:space="preserve"> $                   - </w:t>
            </w:r>
          </w:p>
        </w:tc>
        <w:tc>
          <w:tcPr>
            <w:tcW w:w="1022" w:type="dxa"/>
            <w:noWrap/>
            <w:vAlign w:val="center"/>
            <w:hideMark/>
          </w:tcPr>
          <w:p w:rsidRPr="009C275C" w:rsidR="009C275C" w:rsidP="009C275C" w:rsidRDefault="009C275C" w14:paraId="64C46E7F" w14:textId="77777777">
            <w:pPr>
              <w:spacing w:after="0" w:line="240" w:lineRule="auto"/>
              <w:jc w:val="right"/>
              <w:rPr>
                <w:rFonts w:ascii="Verdana" w:hAnsi="Verdana" w:eastAsia="Times New Roman" w:cs="Times New Roman"/>
                <w:color w:val="000000" w:themeColor="text1"/>
                <w:sz w:val="16"/>
                <w:szCs w:val="16"/>
                <w:lang w:eastAsia="es-CO"/>
              </w:rPr>
            </w:pPr>
            <w:r w:rsidRPr="009C275C">
              <w:rPr>
                <w:rFonts w:ascii="Verdana" w:hAnsi="Verdana" w:eastAsia="Times New Roman" w:cs="Times New Roman"/>
                <w:color w:val="000000" w:themeColor="text1"/>
                <w:sz w:val="16"/>
                <w:szCs w:val="16"/>
                <w:lang w:eastAsia="es-CO"/>
              </w:rPr>
              <w:t>$ 4.618.507</w:t>
            </w:r>
          </w:p>
        </w:tc>
        <w:tc>
          <w:tcPr>
            <w:tcW w:w="600" w:type="dxa"/>
            <w:vAlign w:val="center"/>
            <w:hideMark/>
          </w:tcPr>
          <w:p w:rsidRPr="009C275C" w:rsidR="009C275C" w:rsidP="009C275C" w:rsidRDefault="009C275C" w14:paraId="5ECFE0AA" w14:textId="77777777">
            <w:pPr>
              <w:spacing w:after="0" w:line="240" w:lineRule="auto"/>
              <w:jc w:val="right"/>
              <w:rPr>
                <w:rFonts w:ascii="Verdana" w:hAnsi="Verdana" w:eastAsia="Times New Roman" w:cs="Times New Roman"/>
                <w:color w:val="000000" w:themeColor="text1"/>
                <w:sz w:val="16"/>
                <w:szCs w:val="16"/>
                <w:lang w:eastAsia="es-CO"/>
              </w:rPr>
            </w:pPr>
            <w:r w:rsidRPr="009C275C">
              <w:rPr>
                <w:rFonts w:ascii="Verdana" w:hAnsi="Verdana" w:eastAsia="Times New Roman" w:cs="Times New Roman"/>
                <w:color w:val="000000" w:themeColor="text1"/>
                <w:sz w:val="16"/>
                <w:szCs w:val="16"/>
                <w:lang w:eastAsia="es-CO"/>
              </w:rPr>
              <w:t>49,0%</w:t>
            </w:r>
          </w:p>
        </w:tc>
        <w:tc>
          <w:tcPr>
            <w:tcW w:w="972" w:type="dxa"/>
            <w:noWrap/>
            <w:vAlign w:val="center"/>
            <w:hideMark/>
          </w:tcPr>
          <w:p w:rsidRPr="009C275C" w:rsidR="009C275C" w:rsidP="009C275C" w:rsidRDefault="009C275C" w14:paraId="67EAD47D" w14:textId="77777777">
            <w:pPr>
              <w:spacing w:after="0" w:line="240" w:lineRule="auto"/>
              <w:jc w:val="right"/>
              <w:rPr>
                <w:rFonts w:ascii="Verdana" w:hAnsi="Verdana" w:eastAsia="Times New Roman" w:cs="Times New Roman"/>
                <w:color w:val="000000" w:themeColor="text1"/>
                <w:sz w:val="16"/>
                <w:szCs w:val="16"/>
                <w:lang w:eastAsia="es-CO"/>
              </w:rPr>
            </w:pPr>
            <w:r w:rsidRPr="009C275C">
              <w:rPr>
                <w:rFonts w:ascii="Verdana" w:hAnsi="Verdana" w:eastAsia="Times New Roman" w:cs="Times New Roman"/>
                <w:color w:val="000000" w:themeColor="text1"/>
                <w:sz w:val="16"/>
                <w:szCs w:val="16"/>
                <w:lang w:eastAsia="es-CO"/>
              </w:rPr>
              <w:t xml:space="preserve">$ 2.481.803 </w:t>
            </w:r>
          </w:p>
        </w:tc>
        <w:tc>
          <w:tcPr>
            <w:tcW w:w="696" w:type="dxa"/>
            <w:noWrap/>
            <w:vAlign w:val="center"/>
            <w:hideMark/>
          </w:tcPr>
          <w:p w:rsidRPr="009C275C" w:rsidR="009C275C" w:rsidP="009C275C" w:rsidRDefault="009C275C" w14:paraId="36E6AD7B" w14:textId="77777777">
            <w:pPr>
              <w:spacing w:after="0" w:line="240" w:lineRule="auto"/>
              <w:jc w:val="right"/>
              <w:rPr>
                <w:rFonts w:ascii="Verdana" w:hAnsi="Verdana" w:eastAsia="Times New Roman" w:cs="Times New Roman"/>
                <w:color w:val="000000" w:themeColor="text1"/>
                <w:sz w:val="16"/>
                <w:szCs w:val="16"/>
                <w:lang w:eastAsia="es-CO"/>
              </w:rPr>
            </w:pPr>
            <w:r w:rsidRPr="009C275C">
              <w:rPr>
                <w:rFonts w:ascii="Verdana" w:hAnsi="Verdana" w:eastAsia="Times New Roman" w:cs="Times New Roman"/>
                <w:color w:val="000000" w:themeColor="text1"/>
                <w:sz w:val="16"/>
                <w:szCs w:val="16"/>
                <w:lang w:eastAsia="es-CO"/>
              </w:rPr>
              <w:t>26,3,%</w:t>
            </w:r>
          </w:p>
        </w:tc>
      </w:tr>
      <w:tr w:rsidRPr="009C275C" w:rsidR="009C275C" w14:paraId="3A08BAFD" w14:textId="77777777">
        <w:trPr>
          <w:trHeight w:val="311"/>
        </w:trPr>
        <w:tc>
          <w:tcPr>
            <w:tcW w:w="632" w:type="dxa"/>
            <w:vAlign w:val="center"/>
            <w:hideMark/>
          </w:tcPr>
          <w:p w:rsidRPr="009C275C" w:rsidR="009C275C" w:rsidP="009C275C" w:rsidRDefault="009C275C" w14:paraId="150ACE9B" w14:textId="77777777">
            <w:pPr>
              <w:spacing w:after="0" w:line="240" w:lineRule="auto"/>
              <w:jc w:val="center"/>
              <w:rPr>
                <w:rFonts w:ascii="Verdana" w:hAnsi="Verdana" w:eastAsia="Times New Roman" w:cs="Times New Roman"/>
                <w:sz w:val="16"/>
                <w:szCs w:val="16"/>
                <w:lang w:eastAsia="es-CO"/>
              </w:rPr>
            </w:pPr>
            <w:r w:rsidRPr="009C275C">
              <w:rPr>
                <w:rFonts w:ascii="Verdana" w:hAnsi="Verdana" w:eastAsia="Times New Roman" w:cs="Times New Roman"/>
                <w:sz w:val="16"/>
                <w:szCs w:val="16"/>
                <w:lang w:eastAsia="es-CO"/>
              </w:rPr>
              <w:t>ANH</w:t>
            </w:r>
          </w:p>
        </w:tc>
        <w:tc>
          <w:tcPr>
            <w:tcW w:w="914" w:type="dxa"/>
            <w:shd w:val="clear" w:color="auto" w:fill="FFFFFF" w:themeFill="background1"/>
            <w:noWrap/>
            <w:vAlign w:val="center"/>
            <w:hideMark/>
          </w:tcPr>
          <w:p w:rsidRPr="009C275C" w:rsidR="009C275C" w:rsidP="009C275C" w:rsidRDefault="009C275C" w14:paraId="5AA4D099" w14:textId="77777777">
            <w:pPr>
              <w:spacing w:after="0" w:line="240" w:lineRule="auto"/>
              <w:jc w:val="right"/>
              <w:rPr>
                <w:rFonts w:ascii="Verdana" w:hAnsi="Verdana" w:eastAsia="Times New Roman" w:cs="Times New Roman"/>
                <w:color w:val="000000"/>
                <w:sz w:val="16"/>
                <w:szCs w:val="16"/>
                <w:lang w:eastAsia="es-CO"/>
              </w:rPr>
            </w:pPr>
            <w:r w:rsidRPr="009C275C">
              <w:rPr>
                <w:rFonts w:ascii="Verdana" w:hAnsi="Verdana" w:eastAsia="Times New Roman" w:cs="Times New Roman"/>
                <w:color w:val="000000" w:themeColor="text1"/>
                <w:sz w:val="16"/>
                <w:szCs w:val="16"/>
                <w:lang w:eastAsia="es-CO"/>
              </w:rPr>
              <w:t>$ 423.761</w:t>
            </w:r>
          </w:p>
        </w:tc>
        <w:tc>
          <w:tcPr>
            <w:tcW w:w="1134" w:type="dxa"/>
            <w:shd w:val="clear" w:color="auto" w:fill="FFFFFF" w:themeFill="background1"/>
            <w:noWrap/>
            <w:vAlign w:val="center"/>
            <w:hideMark/>
          </w:tcPr>
          <w:p w:rsidRPr="009C275C" w:rsidR="009C275C" w:rsidP="009C275C" w:rsidRDefault="009C275C" w14:paraId="7FE35193" w14:textId="77777777">
            <w:pPr>
              <w:spacing w:after="0" w:line="240" w:lineRule="auto"/>
              <w:jc w:val="right"/>
              <w:rPr>
                <w:rFonts w:ascii="Verdana" w:hAnsi="Verdana" w:eastAsia="Times New Roman" w:cs="Times New Roman"/>
                <w:color w:val="000000"/>
                <w:sz w:val="16"/>
                <w:szCs w:val="16"/>
                <w:lang w:eastAsia="es-CO"/>
              </w:rPr>
            </w:pPr>
            <w:r w:rsidRPr="009C275C">
              <w:rPr>
                <w:rFonts w:ascii="Verdana" w:hAnsi="Verdana" w:eastAsia="Times New Roman" w:cs="Times New Roman"/>
                <w:color w:val="000000"/>
                <w:sz w:val="16"/>
                <w:szCs w:val="16"/>
                <w:lang w:eastAsia="es-CO"/>
              </w:rPr>
              <w:t xml:space="preserve"> $                   - </w:t>
            </w:r>
          </w:p>
        </w:tc>
        <w:tc>
          <w:tcPr>
            <w:tcW w:w="753" w:type="dxa"/>
            <w:shd w:val="clear" w:color="auto" w:fill="FFFFFF" w:themeFill="background1"/>
            <w:vAlign w:val="center"/>
            <w:hideMark/>
          </w:tcPr>
          <w:p w:rsidRPr="009C275C" w:rsidR="009C275C" w:rsidP="009C275C" w:rsidRDefault="009C275C" w14:paraId="4EBD65FE" w14:textId="77777777">
            <w:pPr>
              <w:spacing w:after="0" w:line="240" w:lineRule="auto"/>
              <w:jc w:val="right"/>
              <w:rPr>
                <w:rFonts w:ascii="Verdana" w:hAnsi="Verdana" w:eastAsia="Times New Roman" w:cs="Times New Roman"/>
                <w:color w:val="000000"/>
                <w:sz w:val="16"/>
                <w:szCs w:val="16"/>
                <w:lang w:eastAsia="es-CO"/>
              </w:rPr>
            </w:pPr>
            <w:r w:rsidRPr="009C275C">
              <w:rPr>
                <w:rFonts w:ascii="Verdana" w:hAnsi="Verdana" w:eastAsia="Times New Roman" w:cs="Times New Roman"/>
                <w:color w:val="000000"/>
                <w:sz w:val="16"/>
                <w:szCs w:val="16"/>
                <w:lang w:eastAsia="es-CO"/>
              </w:rPr>
              <w:t xml:space="preserve"> $                   - </w:t>
            </w:r>
          </w:p>
        </w:tc>
        <w:tc>
          <w:tcPr>
            <w:tcW w:w="1050" w:type="dxa"/>
            <w:shd w:val="clear" w:color="auto" w:fill="FFFFFF" w:themeFill="background1"/>
            <w:noWrap/>
            <w:vAlign w:val="center"/>
            <w:hideMark/>
          </w:tcPr>
          <w:p w:rsidRPr="009C275C" w:rsidR="009C275C" w:rsidP="009C275C" w:rsidRDefault="009C275C" w14:paraId="52FEA933" w14:textId="77777777">
            <w:pPr>
              <w:spacing w:after="0" w:line="240" w:lineRule="auto"/>
              <w:jc w:val="right"/>
              <w:rPr>
                <w:rFonts w:ascii="Verdana" w:hAnsi="Verdana" w:eastAsia="Times New Roman" w:cs="Times New Roman"/>
                <w:color w:val="000000"/>
                <w:sz w:val="16"/>
                <w:szCs w:val="16"/>
                <w:lang w:eastAsia="es-CO"/>
              </w:rPr>
            </w:pPr>
            <w:r w:rsidRPr="009C275C">
              <w:rPr>
                <w:rFonts w:ascii="Verdana" w:hAnsi="Verdana" w:eastAsia="Times New Roman" w:cs="Times New Roman"/>
                <w:color w:val="000000" w:themeColor="text1"/>
                <w:sz w:val="16"/>
                <w:szCs w:val="16"/>
                <w:lang w:eastAsia="es-CO"/>
              </w:rPr>
              <w:t>$423.761</w:t>
            </w:r>
          </w:p>
        </w:tc>
        <w:tc>
          <w:tcPr>
            <w:tcW w:w="914" w:type="dxa"/>
            <w:shd w:val="clear" w:color="auto" w:fill="FFFFFF" w:themeFill="background1"/>
            <w:noWrap/>
            <w:vAlign w:val="center"/>
            <w:hideMark/>
          </w:tcPr>
          <w:p w:rsidRPr="009C275C" w:rsidR="009C275C" w:rsidP="009C275C" w:rsidRDefault="009C275C" w14:paraId="0EADE0E6" w14:textId="77777777">
            <w:pPr>
              <w:spacing w:after="0" w:line="240" w:lineRule="auto"/>
              <w:jc w:val="right"/>
              <w:rPr>
                <w:rFonts w:ascii="Verdana" w:hAnsi="Verdana" w:eastAsia="Times New Roman" w:cs="Times New Roman"/>
                <w:color w:val="000000"/>
                <w:sz w:val="16"/>
                <w:szCs w:val="16"/>
                <w:lang w:eastAsia="es-CO"/>
              </w:rPr>
            </w:pPr>
            <w:r w:rsidRPr="009C275C">
              <w:rPr>
                <w:rFonts w:ascii="Verdana" w:hAnsi="Verdana" w:eastAsia="Times New Roman" w:cs="Times New Roman"/>
                <w:color w:val="000000"/>
                <w:sz w:val="16"/>
                <w:szCs w:val="16"/>
                <w:lang w:eastAsia="es-CO"/>
              </w:rPr>
              <w:t xml:space="preserve"> $                   - </w:t>
            </w:r>
          </w:p>
        </w:tc>
        <w:tc>
          <w:tcPr>
            <w:tcW w:w="1022" w:type="dxa"/>
            <w:shd w:val="clear" w:color="auto" w:fill="FFFFFF" w:themeFill="background1"/>
            <w:noWrap/>
            <w:vAlign w:val="center"/>
            <w:hideMark/>
          </w:tcPr>
          <w:p w:rsidRPr="009C275C" w:rsidR="009C275C" w:rsidP="009C275C" w:rsidRDefault="009C275C" w14:paraId="3F998317" w14:textId="77777777">
            <w:pPr>
              <w:spacing w:after="0" w:line="240" w:lineRule="auto"/>
              <w:jc w:val="right"/>
              <w:rPr>
                <w:rFonts w:ascii="Verdana" w:hAnsi="Verdana" w:eastAsia="Times New Roman" w:cs="Times New Roman"/>
                <w:color w:val="000000"/>
                <w:sz w:val="16"/>
                <w:szCs w:val="16"/>
                <w:lang w:eastAsia="es-CO"/>
              </w:rPr>
            </w:pPr>
            <w:r w:rsidRPr="009C275C">
              <w:rPr>
                <w:rFonts w:ascii="Verdana" w:hAnsi="Verdana" w:eastAsia="Times New Roman" w:cs="Times New Roman"/>
                <w:color w:val="000000" w:themeColor="text1"/>
                <w:sz w:val="16"/>
                <w:szCs w:val="16"/>
                <w:lang w:eastAsia="es-CO"/>
              </w:rPr>
              <w:t>$ 47.021</w:t>
            </w:r>
          </w:p>
        </w:tc>
        <w:tc>
          <w:tcPr>
            <w:tcW w:w="600" w:type="dxa"/>
            <w:vAlign w:val="center"/>
            <w:hideMark/>
          </w:tcPr>
          <w:p w:rsidRPr="009C275C" w:rsidR="009C275C" w:rsidP="009C275C" w:rsidRDefault="009C275C" w14:paraId="7F46D148" w14:textId="77777777">
            <w:pPr>
              <w:spacing w:after="0" w:line="240" w:lineRule="auto"/>
              <w:jc w:val="right"/>
              <w:rPr>
                <w:rFonts w:ascii="Verdana" w:hAnsi="Verdana" w:eastAsia="Times New Roman" w:cs="Times New Roman"/>
                <w:color w:val="000000"/>
                <w:sz w:val="16"/>
                <w:szCs w:val="16"/>
                <w:lang w:eastAsia="es-CO"/>
              </w:rPr>
            </w:pPr>
            <w:r w:rsidRPr="009C275C">
              <w:rPr>
                <w:rFonts w:ascii="Verdana" w:hAnsi="Verdana" w:eastAsia="Times New Roman" w:cs="Times New Roman"/>
                <w:color w:val="000000" w:themeColor="text1"/>
                <w:sz w:val="16"/>
                <w:szCs w:val="16"/>
                <w:lang w:eastAsia="es-CO"/>
              </w:rPr>
              <w:t>11,1%</w:t>
            </w:r>
          </w:p>
        </w:tc>
        <w:tc>
          <w:tcPr>
            <w:tcW w:w="972" w:type="dxa"/>
            <w:noWrap/>
            <w:vAlign w:val="center"/>
            <w:hideMark/>
          </w:tcPr>
          <w:p w:rsidRPr="009C275C" w:rsidR="009C275C" w:rsidP="009C275C" w:rsidRDefault="009C275C" w14:paraId="5AD7C5BE" w14:textId="77777777">
            <w:pPr>
              <w:spacing w:after="0" w:line="240" w:lineRule="auto"/>
              <w:jc w:val="right"/>
              <w:rPr>
                <w:rFonts w:ascii="Verdana" w:hAnsi="Verdana" w:eastAsia="Times New Roman" w:cs="Times New Roman"/>
                <w:color w:val="000000"/>
                <w:sz w:val="16"/>
                <w:szCs w:val="16"/>
                <w:lang w:eastAsia="es-CO"/>
              </w:rPr>
            </w:pPr>
            <w:r w:rsidRPr="009C275C">
              <w:rPr>
                <w:rFonts w:ascii="Verdana" w:hAnsi="Verdana" w:eastAsia="Times New Roman" w:cs="Times New Roman"/>
                <w:color w:val="000000" w:themeColor="text1"/>
                <w:sz w:val="16"/>
                <w:szCs w:val="16"/>
                <w:lang w:eastAsia="es-CO"/>
              </w:rPr>
              <w:t xml:space="preserve">$ 1.813 </w:t>
            </w:r>
          </w:p>
        </w:tc>
        <w:tc>
          <w:tcPr>
            <w:tcW w:w="696" w:type="dxa"/>
            <w:noWrap/>
            <w:vAlign w:val="center"/>
            <w:hideMark/>
          </w:tcPr>
          <w:p w:rsidRPr="009C275C" w:rsidR="009C275C" w:rsidP="009C275C" w:rsidRDefault="009C275C" w14:paraId="22C9FD57" w14:textId="77777777">
            <w:pPr>
              <w:spacing w:after="0" w:line="240" w:lineRule="auto"/>
              <w:jc w:val="right"/>
              <w:rPr>
                <w:rFonts w:ascii="Verdana" w:hAnsi="Verdana" w:eastAsia="Times New Roman" w:cs="Times New Roman"/>
                <w:color w:val="000000"/>
                <w:sz w:val="16"/>
                <w:szCs w:val="16"/>
                <w:lang w:eastAsia="es-CO"/>
              </w:rPr>
            </w:pPr>
            <w:r w:rsidRPr="009C275C">
              <w:rPr>
                <w:rFonts w:ascii="Verdana" w:hAnsi="Verdana" w:eastAsia="Times New Roman" w:cs="Times New Roman"/>
                <w:color w:val="000000" w:themeColor="text1"/>
                <w:sz w:val="16"/>
                <w:szCs w:val="16"/>
                <w:lang w:eastAsia="es-CO"/>
              </w:rPr>
              <w:t>0,4%</w:t>
            </w:r>
          </w:p>
        </w:tc>
      </w:tr>
      <w:tr w:rsidRPr="009C275C" w:rsidR="009C275C" w14:paraId="416FFF92" w14:textId="77777777">
        <w:trPr>
          <w:trHeight w:val="311"/>
        </w:trPr>
        <w:tc>
          <w:tcPr>
            <w:tcW w:w="632" w:type="dxa"/>
            <w:vAlign w:val="center"/>
            <w:hideMark/>
          </w:tcPr>
          <w:p w:rsidRPr="009C275C" w:rsidR="009C275C" w:rsidP="009C275C" w:rsidRDefault="009C275C" w14:paraId="7BFA4137" w14:textId="77777777">
            <w:pPr>
              <w:spacing w:after="0" w:line="240" w:lineRule="auto"/>
              <w:jc w:val="center"/>
              <w:rPr>
                <w:rFonts w:ascii="Verdana" w:hAnsi="Verdana" w:eastAsia="Times New Roman" w:cs="Times New Roman"/>
                <w:sz w:val="16"/>
                <w:szCs w:val="16"/>
                <w:lang w:eastAsia="es-CO"/>
              </w:rPr>
            </w:pPr>
            <w:r w:rsidRPr="009C275C">
              <w:rPr>
                <w:rFonts w:ascii="Verdana" w:hAnsi="Verdana" w:eastAsia="Times New Roman" w:cs="Times New Roman"/>
                <w:sz w:val="16"/>
                <w:szCs w:val="16"/>
                <w:lang w:eastAsia="es-CO"/>
              </w:rPr>
              <w:t>ANM</w:t>
            </w:r>
          </w:p>
        </w:tc>
        <w:tc>
          <w:tcPr>
            <w:tcW w:w="914" w:type="dxa"/>
            <w:shd w:val="clear" w:color="auto" w:fill="FFFFFF" w:themeFill="background1"/>
            <w:noWrap/>
            <w:vAlign w:val="center"/>
            <w:hideMark/>
          </w:tcPr>
          <w:p w:rsidRPr="009C275C" w:rsidR="009C275C" w:rsidP="009C275C" w:rsidRDefault="009C275C" w14:paraId="4AA4DBDB" w14:textId="77777777">
            <w:pPr>
              <w:spacing w:after="0" w:line="240" w:lineRule="auto"/>
              <w:jc w:val="right"/>
              <w:rPr>
                <w:rFonts w:ascii="Verdana" w:hAnsi="Verdana" w:eastAsia="Times New Roman" w:cs="Times New Roman"/>
                <w:color w:val="000000" w:themeColor="text1"/>
                <w:sz w:val="16"/>
                <w:szCs w:val="16"/>
                <w:lang w:eastAsia="es-CO"/>
              </w:rPr>
            </w:pPr>
            <w:r w:rsidRPr="009C275C">
              <w:rPr>
                <w:rFonts w:ascii="Verdana" w:hAnsi="Verdana" w:eastAsia="Times New Roman" w:cs="Times New Roman"/>
                <w:color w:val="000000" w:themeColor="text1"/>
                <w:sz w:val="16"/>
                <w:szCs w:val="16"/>
                <w:lang w:eastAsia="es-CO"/>
              </w:rPr>
              <w:t>$ 90.423</w:t>
            </w:r>
          </w:p>
        </w:tc>
        <w:tc>
          <w:tcPr>
            <w:tcW w:w="1134" w:type="dxa"/>
            <w:shd w:val="clear" w:color="auto" w:fill="FFFFFF" w:themeFill="background1"/>
            <w:noWrap/>
            <w:vAlign w:val="center"/>
            <w:hideMark/>
          </w:tcPr>
          <w:p w:rsidRPr="009C275C" w:rsidR="009C275C" w:rsidP="009C275C" w:rsidRDefault="009C275C" w14:paraId="31934A95" w14:textId="77777777">
            <w:pPr>
              <w:spacing w:after="0" w:line="240" w:lineRule="auto"/>
              <w:jc w:val="right"/>
              <w:rPr>
                <w:rFonts w:ascii="Verdana" w:hAnsi="Verdana" w:eastAsia="Times New Roman" w:cs="Times New Roman"/>
                <w:color w:val="000000" w:themeColor="text1"/>
                <w:sz w:val="16"/>
                <w:szCs w:val="16"/>
                <w:lang w:eastAsia="es-CO"/>
              </w:rPr>
            </w:pPr>
            <w:r w:rsidRPr="009C275C">
              <w:rPr>
                <w:rFonts w:ascii="Verdana" w:hAnsi="Verdana" w:eastAsia="Times New Roman" w:cs="Times New Roman"/>
                <w:color w:val="000000" w:themeColor="text1"/>
                <w:sz w:val="16"/>
                <w:szCs w:val="16"/>
                <w:lang w:eastAsia="es-CO"/>
              </w:rPr>
              <w:t xml:space="preserve"> $                   - </w:t>
            </w:r>
          </w:p>
        </w:tc>
        <w:tc>
          <w:tcPr>
            <w:tcW w:w="753" w:type="dxa"/>
            <w:shd w:val="clear" w:color="auto" w:fill="FFFFFF" w:themeFill="background1"/>
            <w:vAlign w:val="center"/>
            <w:hideMark/>
          </w:tcPr>
          <w:p w:rsidRPr="009C275C" w:rsidR="009C275C" w:rsidP="009C275C" w:rsidRDefault="009C275C" w14:paraId="7AA110CA" w14:textId="77777777">
            <w:pPr>
              <w:spacing w:after="0" w:line="240" w:lineRule="auto"/>
              <w:jc w:val="right"/>
              <w:rPr>
                <w:rFonts w:ascii="Verdana" w:hAnsi="Verdana" w:eastAsia="Times New Roman" w:cs="Times New Roman"/>
                <w:color w:val="000000" w:themeColor="text1"/>
                <w:sz w:val="16"/>
                <w:szCs w:val="16"/>
                <w:lang w:eastAsia="es-CO"/>
              </w:rPr>
            </w:pPr>
            <w:r w:rsidRPr="009C275C">
              <w:rPr>
                <w:rFonts w:ascii="Verdana" w:hAnsi="Verdana" w:eastAsia="Times New Roman" w:cs="Times New Roman"/>
                <w:color w:val="000000" w:themeColor="text1"/>
                <w:sz w:val="16"/>
                <w:szCs w:val="16"/>
                <w:lang w:eastAsia="es-CO"/>
              </w:rPr>
              <w:t xml:space="preserve"> $                   - </w:t>
            </w:r>
          </w:p>
        </w:tc>
        <w:tc>
          <w:tcPr>
            <w:tcW w:w="1050" w:type="dxa"/>
            <w:shd w:val="clear" w:color="auto" w:fill="FFFFFF" w:themeFill="background1"/>
            <w:noWrap/>
            <w:vAlign w:val="center"/>
            <w:hideMark/>
          </w:tcPr>
          <w:p w:rsidRPr="009C275C" w:rsidR="009C275C" w:rsidP="009C275C" w:rsidRDefault="009C275C" w14:paraId="100E0D59" w14:textId="77777777">
            <w:pPr>
              <w:spacing w:after="0" w:line="240" w:lineRule="auto"/>
              <w:jc w:val="right"/>
              <w:rPr>
                <w:rFonts w:ascii="Verdana" w:hAnsi="Verdana" w:eastAsia="Times New Roman" w:cs="Times New Roman"/>
                <w:color w:val="000000" w:themeColor="text1"/>
                <w:sz w:val="16"/>
                <w:szCs w:val="16"/>
                <w:lang w:eastAsia="es-CO"/>
              </w:rPr>
            </w:pPr>
            <w:r w:rsidRPr="009C275C">
              <w:rPr>
                <w:rFonts w:ascii="Verdana" w:hAnsi="Verdana" w:eastAsia="Times New Roman" w:cs="Times New Roman"/>
                <w:color w:val="000000" w:themeColor="text1"/>
                <w:sz w:val="16"/>
                <w:szCs w:val="16"/>
                <w:lang w:eastAsia="es-CO"/>
              </w:rPr>
              <w:t>$ 90.423</w:t>
            </w:r>
          </w:p>
        </w:tc>
        <w:tc>
          <w:tcPr>
            <w:tcW w:w="914" w:type="dxa"/>
            <w:shd w:val="clear" w:color="auto" w:fill="FFFFFF" w:themeFill="background1"/>
            <w:noWrap/>
            <w:vAlign w:val="center"/>
            <w:hideMark/>
          </w:tcPr>
          <w:p w:rsidRPr="009C275C" w:rsidR="009C275C" w:rsidP="009C275C" w:rsidRDefault="009C275C" w14:paraId="0622BB78" w14:textId="77777777">
            <w:pPr>
              <w:spacing w:after="0" w:line="240" w:lineRule="auto"/>
              <w:jc w:val="right"/>
              <w:rPr>
                <w:rFonts w:ascii="Verdana" w:hAnsi="Verdana" w:eastAsia="Times New Roman" w:cs="Times New Roman"/>
                <w:color w:val="000000" w:themeColor="text1"/>
                <w:sz w:val="16"/>
                <w:szCs w:val="16"/>
                <w:lang w:eastAsia="es-CO"/>
              </w:rPr>
            </w:pPr>
            <w:r w:rsidRPr="009C275C">
              <w:rPr>
                <w:rFonts w:ascii="Verdana" w:hAnsi="Verdana" w:eastAsia="Times New Roman" w:cs="Times New Roman"/>
                <w:color w:val="000000" w:themeColor="text1"/>
                <w:sz w:val="16"/>
                <w:szCs w:val="16"/>
                <w:lang w:eastAsia="es-CO"/>
              </w:rPr>
              <w:t xml:space="preserve"> $                   - </w:t>
            </w:r>
          </w:p>
        </w:tc>
        <w:tc>
          <w:tcPr>
            <w:tcW w:w="1022" w:type="dxa"/>
            <w:shd w:val="clear" w:color="auto" w:fill="FFFFFF" w:themeFill="background1"/>
            <w:noWrap/>
            <w:vAlign w:val="center"/>
            <w:hideMark/>
          </w:tcPr>
          <w:p w:rsidRPr="009C275C" w:rsidR="009C275C" w:rsidP="009C275C" w:rsidRDefault="009C275C" w14:paraId="7D7E9D8B" w14:textId="77777777">
            <w:pPr>
              <w:spacing w:after="0" w:line="240" w:lineRule="auto"/>
              <w:jc w:val="right"/>
              <w:rPr>
                <w:rFonts w:ascii="Verdana" w:hAnsi="Verdana" w:eastAsia="Times New Roman" w:cs="Times New Roman"/>
                <w:color w:val="000000" w:themeColor="text1"/>
                <w:sz w:val="16"/>
                <w:szCs w:val="16"/>
                <w:lang w:eastAsia="es-CO"/>
              </w:rPr>
            </w:pPr>
            <w:r w:rsidRPr="009C275C">
              <w:rPr>
                <w:rFonts w:ascii="Verdana" w:hAnsi="Verdana" w:eastAsia="Times New Roman" w:cs="Times New Roman"/>
                <w:color w:val="000000" w:themeColor="text1"/>
                <w:sz w:val="16"/>
                <w:szCs w:val="16"/>
                <w:lang w:eastAsia="es-CO"/>
              </w:rPr>
              <w:t>$ 50.193</w:t>
            </w:r>
          </w:p>
        </w:tc>
        <w:tc>
          <w:tcPr>
            <w:tcW w:w="600" w:type="dxa"/>
            <w:vAlign w:val="center"/>
            <w:hideMark/>
          </w:tcPr>
          <w:p w:rsidRPr="009C275C" w:rsidR="009C275C" w:rsidP="009C275C" w:rsidRDefault="009C275C" w14:paraId="7D6ECB1D" w14:textId="77777777">
            <w:pPr>
              <w:spacing w:after="0" w:line="240" w:lineRule="auto"/>
              <w:jc w:val="right"/>
              <w:rPr>
                <w:rFonts w:ascii="Verdana" w:hAnsi="Verdana" w:eastAsia="Times New Roman" w:cs="Times New Roman"/>
                <w:color w:val="000000" w:themeColor="text1"/>
                <w:sz w:val="16"/>
                <w:szCs w:val="16"/>
                <w:lang w:eastAsia="es-CO"/>
              </w:rPr>
            </w:pPr>
            <w:r w:rsidRPr="009C275C">
              <w:rPr>
                <w:rFonts w:ascii="Verdana" w:hAnsi="Verdana" w:eastAsia="Times New Roman" w:cs="Times New Roman"/>
                <w:color w:val="000000" w:themeColor="text1"/>
                <w:sz w:val="16"/>
                <w:szCs w:val="16"/>
                <w:lang w:eastAsia="es-CO"/>
              </w:rPr>
              <w:t>55,5%</w:t>
            </w:r>
          </w:p>
        </w:tc>
        <w:tc>
          <w:tcPr>
            <w:tcW w:w="972" w:type="dxa"/>
            <w:noWrap/>
            <w:vAlign w:val="center"/>
            <w:hideMark/>
          </w:tcPr>
          <w:p w:rsidRPr="009C275C" w:rsidR="009C275C" w:rsidP="009C275C" w:rsidRDefault="009C275C" w14:paraId="1E730DD9" w14:textId="77777777">
            <w:pPr>
              <w:spacing w:after="0" w:line="240" w:lineRule="auto"/>
              <w:jc w:val="right"/>
              <w:rPr>
                <w:rFonts w:ascii="Verdana" w:hAnsi="Verdana" w:eastAsia="Times New Roman" w:cs="Times New Roman"/>
                <w:color w:val="000000" w:themeColor="text1"/>
                <w:sz w:val="16"/>
                <w:szCs w:val="16"/>
                <w:lang w:eastAsia="es-CO"/>
              </w:rPr>
            </w:pPr>
            <w:r w:rsidRPr="009C275C">
              <w:rPr>
                <w:rFonts w:ascii="Verdana" w:hAnsi="Verdana" w:eastAsia="Times New Roman" w:cs="Times New Roman"/>
                <w:color w:val="000000" w:themeColor="text1"/>
                <w:sz w:val="16"/>
                <w:szCs w:val="16"/>
                <w:lang w:eastAsia="es-CO"/>
              </w:rPr>
              <w:t xml:space="preserve">$ 9.415 </w:t>
            </w:r>
          </w:p>
        </w:tc>
        <w:tc>
          <w:tcPr>
            <w:tcW w:w="696" w:type="dxa"/>
            <w:noWrap/>
            <w:vAlign w:val="center"/>
            <w:hideMark/>
          </w:tcPr>
          <w:p w:rsidRPr="009C275C" w:rsidR="009C275C" w:rsidP="009C275C" w:rsidRDefault="009C275C" w14:paraId="3EE7107A" w14:textId="77777777">
            <w:pPr>
              <w:spacing w:after="0" w:line="240" w:lineRule="auto"/>
              <w:jc w:val="right"/>
              <w:rPr>
                <w:rFonts w:ascii="Verdana" w:hAnsi="Verdana" w:eastAsia="Times New Roman" w:cs="Times New Roman"/>
                <w:color w:val="000000" w:themeColor="text1"/>
                <w:sz w:val="16"/>
                <w:szCs w:val="16"/>
                <w:lang w:eastAsia="es-CO"/>
              </w:rPr>
            </w:pPr>
            <w:r w:rsidRPr="009C275C">
              <w:rPr>
                <w:rFonts w:ascii="Verdana" w:hAnsi="Verdana" w:eastAsia="Times New Roman" w:cs="Times New Roman"/>
                <w:color w:val="000000" w:themeColor="text1"/>
                <w:sz w:val="16"/>
                <w:szCs w:val="16"/>
                <w:lang w:eastAsia="es-CO"/>
              </w:rPr>
              <w:t>10,4%</w:t>
            </w:r>
          </w:p>
        </w:tc>
      </w:tr>
      <w:tr w:rsidRPr="009C275C" w:rsidR="009C275C" w14:paraId="5C6B9D26" w14:textId="77777777">
        <w:trPr>
          <w:trHeight w:val="311"/>
        </w:trPr>
        <w:tc>
          <w:tcPr>
            <w:tcW w:w="632" w:type="dxa"/>
            <w:vAlign w:val="center"/>
            <w:hideMark/>
          </w:tcPr>
          <w:p w:rsidRPr="009C275C" w:rsidR="009C275C" w:rsidP="009C275C" w:rsidRDefault="009C275C" w14:paraId="00AC696C" w14:textId="77777777">
            <w:pPr>
              <w:spacing w:after="0" w:line="240" w:lineRule="auto"/>
              <w:jc w:val="center"/>
              <w:rPr>
                <w:rFonts w:ascii="Verdana" w:hAnsi="Verdana" w:eastAsia="Times New Roman" w:cs="Times New Roman"/>
                <w:sz w:val="16"/>
                <w:szCs w:val="16"/>
                <w:lang w:eastAsia="es-CO"/>
              </w:rPr>
            </w:pPr>
            <w:r w:rsidRPr="009C275C">
              <w:rPr>
                <w:rFonts w:ascii="Verdana" w:hAnsi="Verdana" w:eastAsia="Times New Roman" w:cs="Times New Roman"/>
                <w:sz w:val="16"/>
                <w:szCs w:val="16"/>
                <w:lang w:eastAsia="es-CO"/>
              </w:rPr>
              <w:t>IPSE</w:t>
            </w:r>
          </w:p>
        </w:tc>
        <w:tc>
          <w:tcPr>
            <w:tcW w:w="914" w:type="dxa"/>
            <w:noWrap/>
            <w:vAlign w:val="center"/>
            <w:hideMark/>
          </w:tcPr>
          <w:p w:rsidRPr="009C275C" w:rsidR="009C275C" w:rsidP="009C275C" w:rsidRDefault="009C275C" w14:paraId="7154FE7E" w14:textId="77777777">
            <w:pPr>
              <w:spacing w:after="0" w:line="240" w:lineRule="auto"/>
              <w:jc w:val="right"/>
              <w:rPr>
                <w:rFonts w:ascii="Verdana" w:hAnsi="Verdana" w:eastAsia="Times New Roman" w:cs="Times New Roman"/>
                <w:color w:val="000000" w:themeColor="text1"/>
                <w:sz w:val="16"/>
                <w:szCs w:val="16"/>
                <w:lang w:eastAsia="es-CO"/>
              </w:rPr>
            </w:pPr>
            <w:r w:rsidRPr="009C275C">
              <w:rPr>
                <w:rFonts w:ascii="Verdana" w:hAnsi="Verdana" w:eastAsia="Times New Roman" w:cs="Times New Roman"/>
                <w:color w:val="000000" w:themeColor="text1"/>
                <w:sz w:val="16"/>
                <w:szCs w:val="16"/>
                <w:lang w:eastAsia="es-CO"/>
              </w:rPr>
              <w:t>$ 50.000</w:t>
            </w:r>
          </w:p>
        </w:tc>
        <w:tc>
          <w:tcPr>
            <w:tcW w:w="1134" w:type="dxa"/>
            <w:noWrap/>
            <w:vAlign w:val="center"/>
            <w:hideMark/>
          </w:tcPr>
          <w:p w:rsidRPr="009C275C" w:rsidR="009C275C" w:rsidP="009C275C" w:rsidRDefault="009C275C" w14:paraId="64B412B2" w14:textId="77777777">
            <w:pPr>
              <w:spacing w:after="0" w:line="240" w:lineRule="auto"/>
              <w:jc w:val="right"/>
              <w:rPr>
                <w:rFonts w:ascii="Verdana" w:hAnsi="Verdana" w:eastAsia="Times New Roman" w:cs="Times New Roman"/>
                <w:color w:val="000000" w:themeColor="text1"/>
                <w:sz w:val="16"/>
                <w:szCs w:val="16"/>
                <w:lang w:eastAsia="es-CO"/>
              </w:rPr>
            </w:pPr>
            <w:r w:rsidRPr="009C275C">
              <w:rPr>
                <w:rFonts w:ascii="Verdana" w:hAnsi="Verdana" w:eastAsia="Times New Roman" w:cs="Times New Roman"/>
                <w:color w:val="000000" w:themeColor="text1"/>
                <w:sz w:val="16"/>
                <w:szCs w:val="16"/>
                <w:lang w:eastAsia="es-CO"/>
              </w:rPr>
              <w:t xml:space="preserve"> $                   - </w:t>
            </w:r>
          </w:p>
        </w:tc>
        <w:tc>
          <w:tcPr>
            <w:tcW w:w="753" w:type="dxa"/>
            <w:vAlign w:val="center"/>
            <w:hideMark/>
          </w:tcPr>
          <w:p w:rsidRPr="009C275C" w:rsidR="009C275C" w:rsidP="009C275C" w:rsidRDefault="009C275C" w14:paraId="6B3E23D5" w14:textId="77777777">
            <w:pPr>
              <w:spacing w:after="0" w:line="240" w:lineRule="auto"/>
              <w:jc w:val="right"/>
              <w:rPr>
                <w:rFonts w:ascii="Verdana" w:hAnsi="Verdana" w:eastAsia="Times New Roman" w:cs="Times New Roman"/>
                <w:color w:val="000000" w:themeColor="text1"/>
                <w:sz w:val="16"/>
                <w:szCs w:val="16"/>
                <w:lang w:eastAsia="es-CO"/>
              </w:rPr>
            </w:pPr>
            <w:r w:rsidRPr="009C275C">
              <w:rPr>
                <w:rFonts w:ascii="Verdana" w:hAnsi="Verdana" w:eastAsia="Times New Roman" w:cs="Times New Roman"/>
                <w:color w:val="000000" w:themeColor="text1"/>
                <w:sz w:val="16"/>
                <w:szCs w:val="16"/>
                <w:lang w:eastAsia="es-CO"/>
              </w:rPr>
              <w:t xml:space="preserve"> $                   - </w:t>
            </w:r>
          </w:p>
        </w:tc>
        <w:tc>
          <w:tcPr>
            <w:tcW w:w="1050" w:type="dxa"/>
            <w:noWrap/>
            <w:vAlign w:val="center"/>
            <w:hideMark/>
          </w:tcPr>
          <w:p w:rsidRPr="009C275C" w:rsidR="009C275C" w:rsidP="009C275C" w:rsidRDefault="009C275C" w14:paraId="49F1952B" w14:textId="77777777">
            <w:pPr>
              <w:spacing w:after="0" w:line="240" w:lineRule="auto"/>
              <w:jc w:val="right"/>
              <w:rPr>
                <w:rFonts w:ascii="Verdana" w:hAnsi="Verdana" w:eastAsia="Times New Roman" w:cs="Times New Roman"/>
                <w:color w:val="000000" w:themeColor="text1"/>
                <w:sz w:val="16"/>
                <w:szCs w:val="16"/>
                <w:lang w:eastAsia="es-CO"/>
              </w:rPr>
            </w:pPr>
            <w:r w:rsidRPr="009C275C">
              <w:rPr>
                <w:rFonts w:ascii="Verdana" w:hAnsi="Verdana" w:eastAsia="Times New Roman" w:cs="Times New Roman"/>
                <w:color w:val="000000" w:themeColor="text1"/>
                <w:sz w:val="16"/>
                <w:szCs w:val="16"/>
                <w:lang w:eastAsia="es-CO"/>
              </w:rPr>
              <w:t>$ 50.000</w:t>
            </w:r>
          </w:p>
        </w:tc>
        <w:tc>
          <w:tcPr>
            <w:tcW w:w="914" w:type="dxa"/>
            <w:noWrap/>
            <w:vAlign w:val="center"/>
            <w:hideMark/>
          </w:tcPr>
          <w:p w:rsidRPr="009C275C" w:rsidR="009C275C" w:rsidP="009C275C" w:rsidRDefault="009C275C" w14:paraId="53F476F3" w14:textId="77777777">
            <w:pPr>
              <w:spacing w:after="0" w:line="240" w:lineRule="auto"/>
              <w:jc w:val="right"/>
              <w:rPr>
                <w:rFonts w:ascii="Verdana" w:hAnsi="Verdana" w:eastAsia="Times New Roman" w:cs="Times New Roman"/>
                <w:color w:val="000000" w:themeColor="text1"/>
                <w:sz w:val="16"/>
                <w:szCs w:val="16"/>
                <w:lang w:eastAsia="es-CO"/>
              </w:rPr>
            </w:pPr>
            <w:r w:rsidRPr="009C275C">
              <w:rPr>
                <w:rFonts w:ascii="Verdana" w:hAnsi="Verdana" w:eastAsia="Times New Roman" w:cs="Times New Roman"/>
                <w:color w:val="000000" w:themeColor="text1"/>
                <w:sz w:val="16"/>
                <w:szCs w:val="16"/>
                <w:lang w:eastAsia="es-CO"/>
              </w:rPr>
              <w:t>$ 750</w:t>
            </w:r>
          </w:p>
        </w:tc>
        <w:tc>
          <w:tcPr>
            <w:tcW w:w="1022" w:type="dxa"/>
            <w:noWrap/>
            <w:vAlign w:val="center"/>
            <w:hideMark/>
          </w:tcPr>
          <w:p w:rsidRPr="009C275C" w:rsidR="009C275C" w:rsidP="009C275C" w:rsidRDefault="009C275C" w14:paraId="64842A6E" w14:textId="77777777">
            <w:pPr>
              <w:spacing w:after="0" w:line="240" w:lineRule="auto"/>
              <w:jc w:val="right"/>
              <w:rPr>
                <w:rFonts w:ascii="Verdana" w:hAnsi="Verdana" w:eastAsia="Times New Roman" w:cs="Times New Roman"/>
                <w:color w:val="000000" w:themeColor="text1"/>
                <w:sz w:val="16"/>
                <w:szCs w:val="16"/>
                <w:lang w:eastAsia="es-CO"/>
              </w:rPr>
            </w:pPr>
            <w:r w:rsidRPr="009C275C">
              <w:rPr>
                <w:rFonts w:ascii="Verdana" w:hAnsi="Verdana" w:eastAsia="Times New Roman" w:cs="Times New Roman"/>
                <w:color w:val="000000" w:themeColor="text1"/>
                <w:sz w:val="16"/>
                <w:szCs w:val="16"/>
                <w:lang w:eastAsia="es-CO"/>
              </w:rPr>
              <w:t>$ 45.650</w:t>
            </w:r>
          </w:p>
        </w:tc>
        <w:tc>
          <w:tcPr>
            <w:tcW w:w="600" w:type="dxa"/>
            <w:vAlign w:val="center"/>
            <w:hideMark/>
          </w:tcPr>
          <w:p w:rsidRPr="009C275C" w:rsidR="009C275C" w:rsidP="009C275C" w:rsidRDefault="009C275C" w14:paraId="3D5CBC37" w14:textId="77777777">
            <w:pPr>
              <w:spacing w:after="0" w:line="240" w:lineRule="auto"/>
              <w:jc w:val="right"/>
              <w:rPr>
                <w:rFonts w:ascii="Verdana" w:hAnsi="Verdana" w:eastAsia="Times New Roman" w:cs="Times New Roman"/>
                <w:color w:val="000000" w:themeColor="text1"/>
                <w:sz w:val="16"/>
                <w:szCs w:val="16"/>
                <w:lang w:eastAsia="es-CO"/>
              </w:rPr>
            </w:pPr>
            <w:r w:rsidRPr="009C275C">
              <w:rPr>
                <w:rFonts w:ascii="Verdana" w:hAnsi="Verdana" w:eastAsia="Times New Roman" w:cs="Times New Roman"/>
                <w:color w:val="000000" w:themeColor="text1"/>
                <w:sz w:val="16"/>
                <w:szCs w:val="16"/>
                <w:lang w:eastAsia="es-CO"/>
              </w:rPr>
              <w:t>91,3%</w:t>
            </w:r>
          </w:p>
        </w:tc>
        <w:tc>
          <w:tcPr>
            <w:tcW w:w="972" w:type="dxa"/>
            <w:noWrap/>
            <w:vAlign w:val="center"/>
            <w:hideMark/>
          </w:tcPr>
          <w:p w:rsidRPr="009C275C" w:rsidR="009C275C" w:rsidP="009C275C" w:rsidRDefault="009C275C" w14:paraId="29AD664B" w14:textId="77777777">
            <w:pPr>
              <w:spacing w:after="0" w:line="240" w:lineRule="auto"/>
              <w:jc w:val="right"/>
              <w:rPr>
                <w:rFonts w:ascii="Verdana" w:hAnsi="Verdana" w:eastAsia="Times New Roman" w:cs="Times New Roman"/>
                <w:color w:val="000000" w:themeColor="text1"/>
                <w:sz w:val="16"/>
                <w:szCs w:val="16"/>
                <w:lang w:eastAsia="es-CO"/>
              </w:rPr>
            </w:pPr>
            <w:r w:rsidRPr="009C275C">
              <w:rPr>
                <w:rFonts w:ascii="Verdana" w:hAnsi="Verdana" w:eastAsia="Times New Roman" w:cs="Times New Roman"/>
                <w:color w:val="000000" w:themeColor="text1"/>
                <w:sz w:val="16"/>
                <w:szCs w:val="16"/>
                <w:lang w:eastAsia="es-CO"/>
              </w:rPr>
              <w:t xml:space="preserve">$ 1.931 </w:t>
            </w:r>
          </w:p>
        </w:tc>
        <w:tc>
          <w:tcPr>
            <w:tcW w:w="696" w:type="dxa"/>
            <w:noWrap/>
            <w:vAlign w:val="center"/>
            <w:hideMark/>
          </w:tcPr>
          <w:p w:rsidRPr="009C275C" w:rsidR="009C275C" w:rsidP="009C275C" w:rsidRDefault="009C275C" w14:paraId="7C3A1CB1" w14:textId="77777777">
            <w:pPr>
              <w:spacing w:after="0" w:line="240" w:lineRule="auto"/>
              <w:jc w:val="right"/>
              <w:rPr>
                <w:rFonts w:ascii="Verdana" w:hAnsi="Verdana" w:eastAsia="Times New Roman" w:cs="Times New Roman"/>
                <w:color w:val="000000" w:themeColor="text1"/>
                <w:sz w:val="16"/>
                <w:szCs w:val="16"/>
                <w:lang w:eastAsia="es-CO"/>
              </w:rPr>
            </w:pPr>
            <w:r w:rsidRPr="009C275C">
              <w:rPr>
                <w:rFonts w:ascii="Verdana" w:hAnsi="Verdana" w:eastAsia="Times New Roman" w:cs="Times New Roman"/>
                <w:color w:val="000000" w:themeColor="text1"/>
                <w:sz w:val="16"/>
                <w:szCs w:val="16"/>
                <w:lang w:eastAsia="es-CO"/>
              </w:rPr>
              <w:t>3,9%</w:t>
            </w:r>
          </w:p>
        </w:tc>
      </w:tr>
      <w:tr w:rsidRPr="009C275C" w:rsidR="009C275C" w14:paraId="0D910D97" w14:textId="77777777">
        <w:trPr>
          <w:trHeight w:val="311"/>
        </w:trPr>
        <w:tc>
          <w:tcPr>
            <w:tcW w:w="632" w:type="dxa"/>
            <w:vAlign w:val="center"/>
            <w:hideMark/>
          </w:tcPr>
          <w:p w:rsidRPr="009C275C" w:rsidR="009C275C" w:rsidP="009C275C" w:rsidRDefault="009C275C" w14:paraId="2778958B" w14:textId="77777777">
            <w:pPr>
              <w:spacing w:after="0" w:line="240" w:lineRule="auto"/>
              <w:jc w:val="center"/>
              <w:rPr>
                <w:rFonts w:ascii="Verdana" w:hAnsi="Verdana" w:eastAsia="Times New Roman" w:cs="Times New Roman"/>
                <w:sz w:val="16"/>
                <w:szCs w:val="16"/>
                <w:lang w:eastAsia="es-CO"/>
              </w:rPr>
            </w:pPr>
            <w:r w:rsidRPr="009C275C">
              <w:rPr>
                <w:rFonts w:ascii="Verdana" w:hAnsi="Verdana" w:eastAsia="Times New Roman" w:cs="Times New Roman"/>
                <w:sz w:val="16"/>
                <w:szCs w:val="16"/>
                <w:lang w:eastAsia="es-CO"/>
              </w:rPr>
              <w:t>CREG</w:t>
            </w:r>
          </w:p>
        </w:tc>
        <w:tc>
          <w:tcPr>
            <w:tcW w:w="914" w:type="dxa"/>
            <w:noWrap/>
            <w:vAlign w:val="center"/>
            <w:hideMark/>
          </w:tcPr>
          <w:p w:rsidRPr="009C275C" w:rsidR="009C275C" w:rsidP="009C275C" w:rsidRDefault="009C275C" w14:paraId="580DCE0F" w14:textId="77777777">
            <w:pPr>
              <w:spacing w:after="0" w:line="240" w:lineRule="auto"/>
              <w:jc w:val="right"/>
              <w:rPr>
                <w:rFonts w:ascii="Verdana" w:hAnsi="Verdana" w:eastAsia="Times New Roman" w:cs="Times New Roman"/>
                <w:color w:val="000000" w:themeColor="text1"/>
                <w:sz w:val="16"/>
                <w:szCs w:val="16"/>
                <w:lang w:eastAsia="es-CO"/>
              </w:rPr>
            </w:pPr>
            <w:r w:rsidRPr="009C275C">
              <w:rPr>
                <w:rFonts w:ascii="Verdana" w:hAnsi="Verdana" w:eastAsia="Times New Roman" w:cs="Times New Roman"/>
                <w:color w:val="000000" w:themeColor="text1"/>
                <w:sz w:val="16"/>
                <w:szCs w:val="16"/>
                <w:lang w:eastAsia="es-CO"/>
              </w:rPr>
              <w:t>$ 24.053</w:t>
            </w:r>
          </w:p>
        </w:tc>
        <w:tc>
          <w:tcPr>
            <w:tcW w:w="1134" w:type="dxa"/>
            <w:noWrap/>
            <w:vAlign w:val="center"/>
            <w:hideMark/>
          </w:tcPr>
          <w:p w:rsidRPr="009C275C" w:rsidR="009C275C" w:rsidP="009C275C" w:rsidRDefault="009C275C" w14:paraId="24A70A1D" w14:textId="77777777">
            <w:pPr>
              <w:spacing w:after="0" w:line="240" w:lineRule="auto"/>
              <w:jc w:val="right"/>
              <w:rPr>
                <w:rFonts w:ascii="Verdana" w:hAnsi="Verdana" w:eastAsia="Times New Roman" w:cs="Times New Roman"/>
                <w:color w:val="000000" w:themeColor="text1"/>
                <w:sz w:val="16"/>
                <w:szCs w:val="16"/>
                <w:lang w:eastAsia="es-CO"/>
              </w:rPr>
            </w:pPr>
            <w:r w:rsidRPr="009C275C">
              <w:rPr>
                <w:rFonts w:ascii="Verdana" w:hAnsi="Verdana" w:eastAsia="Times New Roman" w:cs="Times New Roman"/>
                <w:color w:val="000000" w:themeColor="text1"/>
                <w:sz w:val="16"/>
                <w:szCs w:val="16"/>
                <w:lang w:eastAsia="es-CO"/>
              </w:rPr>
              <w:t xml:space="preserve"> $                   - </w:t>
            </w:r>
          </w:p>
        </w:tc>
        <w:tc>
          <w:tcPr>
            <w:tcW w:w="753" w:type="dxa"/>
            <w:vAlign w:val="center"/>
            <w:hideMark/>
          </w:tcPr>
          <w:p w:rsidRPr="009C275C" w:rsidR="009C275C" w:rsidP="009C275C" w:rsidRDefault="009C275C" w14:paraId="373BCD42" w14:textId="77777777">
            <w:pPr>
              <w:spacing w:after="0" w:line="240" w:lineRule="auto"/>
              <w:jc w:val="right"/>
              <w:rPr>
                <w:rFonts w:ascii="Verdana" w:hAnsi="Verdana" w:eastAsia="Times New Roman" w:cs="Times New Roman"/>
                <w:color w:val="000000" w:themeColor="text1"/>
                <w:sz w:val="16"/>
                <w:szCs w:val="16"/>
                <w:lang w:eastAsia="es-CO"/>
              </w:rPr>
            </w:pPr>
            <w:r w:rsidRPr="009C275C">
              <w:rPr>
                <w:rFonts w:ascii="Verdana" w:hAnsi="Verdana" w:eastAsia="Times New Roman" w:cs="Times New Roman"/>
                <w:color w:val="000000" w:themeColor="text1"/>
                <w:sz w:val="16"/>
                <w:szCs w:val="16"/>
                <w:lang w:eastAsia="es-CO"/>
              </w:rPr>
              <w:t xml:space="preserve"> $                   - </w:t>
            </w:r>
          </w:p>
        </w:tc>
        <w:tc>
          <w:tcPr>
            <w:tcW w:w="1050" w:type="dxa"/>
            <w:noWrap/>
            <w:vAlign w:val="center"/>
            <w:hideMark/>
          </w:tcPr>
          <w:p w:rsidRPr="009C275C" w:rsidR="009C275C" w:rsidP="009C275C" w:rsidRDefault="009C275C" w14:paraId="0C3E24D6" w14:textId="77777777">
            <w:pPr>
              <w:spacing w:after="0" w:line="240" w:lineRule="auto"/>
              <w:jc w:val="right"/>
              <w:rPr>
                <w:rFonts w:ascii="Verdana" w:hAnsi="Verdana" w:eastAsia="Times New Roman" w:cs="Times New Roman"/>
                <w:color w:val="000000" w:themeColor="text1"/>
                <w:sz w:val="16"/>
                <w:szCs w:val="16"/>
                <w:lang w:eastAsia="es-CO"/>
              </w:rPr>
            </w:pPr>
            <w:r w:rsidRPr="009C275C">
              <w:rPr>
                <w:rFonts w:ascii="Verdana" w:hAnsi="Verdana" w:eastAsia="Times New Roman" w:cs="Times New Roman"/>
                <w:color w:val="000000" w:themeColor="text1"/>
                <w:sz w:val="16"/>
                <w:szCs w:val="16"/>
                <w:lang w:eastAsia="es-CO"/>
              </w:rPr>
              <w:t>$ 24.053</w:t>
            </w:r>
          </w:p>
        </w:tc>
        <w:tc>
          <w:tcPr>
            <w:tcW w:w="914" w:type="dxa"/>
            <w:noWrap/>
            <w:vAlign w:val="center"/>
            <w:hideMark/>
          </w:tcPr>
          <w:p w:rsidRPr="009C275C" w:rsidR="009C275C" w:rsidP="009C275C" w:rsidRDefault="009C275C" w14:paraId="4717E0A3" w14:textId="77777777">
            <w:pPr>
              <w:spacing w:after="0" w:line="240" w:lineRule="auto"/>
              <w:jc w:val="right"/>
              <w:rPr>
                <w:rFonts w:ascii="Verdana" w:hAnsi="Verdana" w:eastAsia="Times New Roman" w:cs="Times New Roman"/>
                <w:color w:val="000000" w:themeColor="text1"/>
                <w:sz w:val="16"/>
                <w:szCs w:val="16"/>
                <w:lang w:eastAsia="es-CO"/>
              </w:rPr>
            </w:pPr>
            <w:r w:rsidRPr="009C275C">
              <w:rPr>
                <w:rFonts w:ascii="Verdana" w:hAnsi="Verdana" w:eastAsia="Times New Roman" w:cs="Times New Roman"/>
                <w:color w:val="000000" w:themeColor="text1"/>
                <w:sz w:val="16"/>
                <w:szCs w:val="16"/>
                <w:lang w:eastAsia="es-CO"/>
              </w:rPr>
              <w:t xml:space="preserve"> $                   - </w:t>
            </w:r>
          </w:p>
        </w:tc>
        <w:tc>
          <w:tcPr>
            <w:tcW w:w="1022" w:type="dxa"/>
            <w:noWrap/>
            <w:vAlign w:val="center"/>
            <w:hideMark/>
          </w:tcPr>
          <w:p w:rsidRPr="009C275C" w:rsidR="009C275C" w:rsidP="009C275C" w:rsidRDefault="009C275C" w14:paraId="7A119E36" w14:textId="77777777">
            <w:pPr>
              <w:spacing w:after="0" w:line="240" w:lineRule="auto"/>
              <w:jc w:val="right"/>
              <w:rPr>
                <w:rFonts w:ascii="Verdana" w:hAnsi="Verdana" w:eastAsia="Times New Roman" w:cs="Times New Roman"/>
                <w:color w:val="000000" w:themeColor="text1"/>
                <w:sz w:val="16"/>
                <w:szCs w:val="16"/>
                <w:lang w:eastAsia="es-CO"/>
              </w:rPr>
            </w:pPr>
            <w:r w:rsidRPr="009C275C">
              <w:rPr>
                <w:rFonts w:ascii="Verdana" w:hAnsi="Verdana" w:eastAsia="Times New Roman" w:cs="Times New Roman"/>
                <w:color w:val="000000" w:themeColor="text1"/>
                <w:sz w:val="16"/>
                <w:szCs w:val="16"/>
                <w:lang w:eastAsia="es-CO"/>
              </w:rPr>
              <w:t>$ 14.153</w:t>
            </w:r>
          </w:p>
        </w:tc>
        <w:tc>
          <w:tcPr>
            <w:tcW w:w="600" w:type="dxa"/>
            <w:vAlign w:val="center"/>
            <w:hideMark/>
          </w:tcPr>
          <w:p w:rsidRPr="009C275C" w:rsidR="009C275C" w:rsidP="009C275C" w:rsidRDefault="009C275C" w14:paraId="10EF6505" w14:textId="77777777">
            <w:pPr>
              <w:spacing w:after="0" w:line="240" w:lineRule="auto"/>
              <w:jc w:val="right"/>
              <w:rPr>
                <w:rFonts w:ascii="Verdana" w:hAnsi="Verdana" w:eastAsia="Times New Roman" w:cs="Times New Roman"/>
                <w:color w:val="000000" w:themeColor="text1"/>
                <w:sz w:val="16"/>
                <w:szCs w:val="16"/>
                <w:lang w:eastAsia="es-CO"/>
              </w:rPr>
            </w:pPr>
            <w:r w:rsidRPr="009C275C">
              <w:rPr>
                <w:rFonts w:ascii="Verdana" w:hAnsi="Verdana" w:eastAsia="Times New Roman" w:cs="Times New Roman"/>
                <w:color w:val="000000" w:themeColor="text1"/>
                <w:sz w:val="16"/>
                <w:szCs w:val="16"/>
                <w:lang w:eastAsia="es-CO"/>
              </w:rPr>
              <w:t>58,8%</w:t>
            </w:r>
          </w:p>
        </w:tc>
        <w:tc>
          <w:tcPr>
            <w:tcW w:w="972" w:type="dxa"/>
            <w:noWrap/>
            <w:vAlign w:val="center"/>
            <w:hideMark/>
          </w:tcPr>
          <w:p w:rsidRPr="009C275C" w:rsidR="009C275C" w:rsidP="009C275C" w:rsidRDefault="009C275C" w14:paraId="4B033DC4" w14:textId="77777777">
            <w:pPr>
              <w:spacing w:after="0" w:line="240" w:lineRule="auto"/>
              <w:jc w:val="right"/>
              <w:rPr>
                <w:rFonts w:ascii="Verdana" w:hAnsi="Verdana" w:eastAsia="Times New Roman" w:cs="Times New Roman"/>
                <w:color w:val="000000" w:themeColor="text1"/>
                <w:sz w:val="16"/>
                <w:szCs w:val="16"/>
                <w:lang w:eastAsia="es-CO"/>
              </w:rPr>
            </w:pPr>
            <w:r w:rsidRPr="009C275C">
              <w:rPr>
                <w:rFonts w:ascii="Verdana" w:hAnsi="Verdana" w:eastAsia="Times New Roman" w:cs="Times New Roman"/>
                <w:color w:val="000000" w:themeColor="text1"/>
                <w:sz w:val="16"/>
                <w:szCs w:val="16"/>
                <w:lang w:eastAsia="es-CO"/>
              </w:rPr>
              <w:t xml:space="preserve">$ 2.609 </w:t>
            </w:r>
          </w:p>
        </w:tc>
        <w:tc>
          <w:tcPr>
            <w:tcW w:w="696" w:type="dxa"/>
            <w:noWrap/>
            <w:vAlign w:val="center"/>
            <w:hideMark/>
          </w:tcPr>
          <w:p w:rsidRPr="009C275C" w:rsidR="009C275C" w:rsidP="009C275C" w:rsidRDefault="009C275C" w14:paraId="566576F2" w14:textId="77777777">
            <w:pPr>
              <w:spacing w:after="0" w:line="240" w:lineRule="auto"/>
              <w:jc w:val="right"/>
              <w:rPr>
                <w:rFonts w:ascii="Verdana" w:hAnsi="Verdana" w:eastAsia="Times New Roman" w:cs="Times New Roman"/>
                <w:color w:val="000000" w:themeColor="text1"/>
                <w:sz w:val="16"/>
                <w:szCs w:val="16"/>
                <w:lang w:eastAsia="es-CO"/>
              </w:rPr>
            </w:pPr>
            <w:r w:rsidRPr="009C275C">
              <w:rPr>
                <w:rFonts w:ascii="Verdana" w:hAnsi="Verdana" w:eastAsia="Times New Roman" w:cs="Times New Roman"/>
                <w:color w:val="000000" w:themeColor="text1"/>
                <w:sz w:val="16"/>
                <w:szCs w:val="16"/>
                <w:lang w:eastAsia="es-CO"/>
              </w:rPr>
              <w:t>10,8%</w:t>
            </w:r>
          </w:p>
        </w:tc>
      </w:tr>
      <w:tr w:rsidRPr="009C275C" w:rsidR="009C275C" w14:paraId="6BA652E8" w14:textId="77777777">
        <w:trPr>
          <w:trHeight w:val="311"/>
        </w:trPr>
        <w:tc>
          <w:tcPr>
            <w:tcW w:w="632" w:type="dxa"/>
            <w:vAlign w:val="center"/>
            <w:hideMark/>
          </w:tcPr>
          <w:p w:rsidRPr="009C275C" w:rsidR="009C275C" w:rsidP="009C275C" w:rsidRDefault="009C275C" w14:paraId="10C30E02" w14:textId="77777777">
            <w:pPr>
              <w:spacing w:after="0" w:line="240" w:lineRule="auto"/>
              <w:jc w:val="center"/>
              <w:rPr>
                <w:rFonts w:ascii="Verdana" w:hAnsi="Verdana" w:eastAsia="Times New Roman" w:cs="Times New Roman"/>
                <w:sz w:val="16"/>
                <w:szCs w:val="16"/>
                <w:lang w:eastAsia="es-CO"/>
              </w:rPr>
            </w:pPr>
            <w:r w:rsidRPr="009C275C">
              <w:rPr>
                <w:rFonts w:ascii="Verdana" w:hAnsi="Verdana" w:eastAsia="Times New Roman" w:cs="Times New Roman"/>
                <w:sz w:val="16"/>
                <w:szCs w:val="16"/>
                <w:lang w:eastAsia="es-CO"/>
              </w:rPr>
              <w:t>SGC</w:t>
            </w:r>
          </w:p>
        </w:tc>
        <w:tc>
          <w:tcPr>
            <w:tcW w:w="914" w:type="dxa"/>
            <w:noWrap/>
            <w:vAlign w:val="center"/>
            <w:hideMark/>
          </w:tcPr>
          <w:p w:rsidRPr="009C275C" w:rsidR="009C275C" w:rsidP="009C275C" w:rsidRDefault="009C275C" w14:paraId="25FD2664" w14:textId="77777777">
            <w:pPr>
              <w:spacing w:after="0" w:line="240" w:lineRule="auto"/>
              <w:jc w:val="right"/>
              <w:rPr>
                <w:rFonts w:ascii="Verdana" w:hAnsi="Verdana" w:eastAsia="Times New Roman" w:cs="Times New Roman"/>
                <w:color w:val="000000"/>
                <w:sz w:val="16"/>
                <w:szCs w:val="16"/>
                <w:lang w:eastAsia="es-CO"/>
              </w:rPr>
            </w:pPr>
            <w:r w:rsidRPr="009C275C">
              <w:rPr>
                <w:rFonts w:ascii="Verdana" w:hAnsi="Verdana" w:eastAsia="Times New Roman" w:cs="Times New Roman"/>
                <w:color w:val="000000"/>
                <w:sz w:val="16"/>
                <w:szCs w:val="16"/>
                <w:lang w:eastAsia="es-CO"/>
              </w:rPr>
              <w:t>$ 80.000</w:t>
            </w:r>
          </w:p>
        </w:tc>
        <w:tc>
          <w:tcPr>
            <w:tcW w:w="1134" w:type="dxa"/>
            <w:noWrap/>
            <w:vAlign w:val="center"/>
            <w:hideMark/>
          </w:tcPr>
          <w:p w:rsidRPr="009C275C" w:rsidR="009C275C" w:rsidP="009C275C" w:rsidRDefault="009C275C" w14:paraId="7BB67EA0" w14:textId="77777777">
            <w:pPr>
              <w:spacing w:after="0" w:line="240" w:lineRule="auto"/>
              <w:jc w:val="right"/>
              <w:rPr>
                <w:rFonts w:ascii="Verdana" w:hAnsi="Verdana" w:eastAsia="Times New Roman" w:cs="Times New Roman"/>
                <w:color w:val="000000"/>
                <w:sz w:val="16"/>
                <w:szCs w:val="16"/>
                <w:lang w:eastAsia="es-CO"/>
              </w:rPr>
            </w:pPr>
            <w:r w:rsidRPr="009C275C">
              <w:rPr>
                <w:rFonts w:ascii="Verdana" w:hAnsi="Verdana" w:eastAsia="Times New Roman" w:cs="Times New Roman"/>
                <w:color w:val="000000"/>
                <w:sz w:val="16"/>
                <w:szCs w:val="16"/>
                <w:lang w:eastAsia="es-CO"/>
              </w:rPr>
              <w:t xml:space="preserve"> $                   - </w:t>
            </w:r>
          </w:p>
        </w:tc>
        <w:tc>
          <w:tcPr>
            <w:tcW w:w="753" w:type="dxa"/>
            <w:vAlign w:val="center"/>
            <w:hideMark/>
          </w:tcPr>
          <w:p w:rsidRPr="009C275C" w:rsidR="009C275C" w:rsidP="009C275C" w:rsidRDefault="009C275C" w14:paraId="2324B816" w14:textId="77777777">
            <w:pPr>
              <w:spacing w:after="0" w:line="240" w:lineRule="auto"/>
              <w:jc w:val="right"/>
              <w:rPr>
                <w:rFonts w:ascii="Verdana" w:hAnsi="Verdana" w:eastAsia="Times New Roman" w:cs="Times New Roman"/>
                <w:color w:val="000000"/>
                <w:sz w:val="16"/>
                <w:szCs w:val="16"/>
                <w:lang w:eastAsia="es-CO"/>
              </w:rPr>
            </w:pPr>
            <w:r w:rsidRPr="009C275C">
              <w:rPr>
                <w:rFonts w:ascii="Verdana" w:hAnsi="Verdana" w:eastAsia="Times New Roman" w:cs="Times New Roman"/>
                <w:color w:val="000000"/>
                <w:sz w:val="16"/>
                <w:szCs w:val="16"/>
                <w:lang w:eastAsia="es-CO"/>
              </w:rPr>
              <w:t xml:space="preserve"> $                   - </w:t>
            </w:r>
          </w:p>
        </w:tc>
        <w:tc>
          <w:tcPr>
            <w:tcW w:w="1050" w:type="dxa"/>
            <w:noWrap/>
            <w:vAlign w:val="center"/>
            <w:hideMark/>
          </w:tcPr>
          <w:p w:rsidRPr="009C275C" w:rsidR="009C275C" w:rsidP="009C275C" w:rsidRDefault="009C275C" w14:paraId="52B6F67D" w14:textId="77777777">
            <w:pPr>
              <w:spacing w:after="0" w:line="240" w:lineRule="auto"/>
              <w:jc w:val="right"/>
              <w:rPr>
                <w:rFonts w:ascii="Verdana" w:hAnsi="Verdana" w:eastAsia="Times New Roman" w:cs="Times New Roman"/>
                <w:color w:val="000000"/>
                <w:sz w:val="16"/>
                <w:szCs w:val="16"/>
                <w:lang w:eastAsia="es-CO"/>
              </w:rPr>
            </w:pPr>
            <w:r w:rsidRPr="009C275C">
              <w:rPr>
                <w:rFonts w:ascii="Verdana" w:hAnsi="Verdana" w:eastAsia="Times New Roman" w:cs="Times New Roman"/>
                <w:color w:val="000000"/>
                <w:sz w:val="16"/>
                <w:szCs w:val="16"/>
                <w:lang w:eastAsia="es-CO"/>
              </w:rPr>
              <w:t>$ 80.000</w:t>
            </w:r>
          </w:p>
        </w:tc>
        <w:tc>
          <w:tcPr>
            <w:tcW w:w="914" w:type="dxa"/>
            <w:noWrap/>
            <w:vAlign w:val="center"/>
            <w:hideMark/>
          </w:tcPr>
          <w:p w:rsidRPr="009C275C" w:rsidR="009C275C" w:rsidP="009C275C" w:rsidRDefault="009C275C" w14:paraId="501AF2B9" w14:textId="77777777">
            <w:pPr>
              <w:spacing w:after="0" w:line="240" w:lineRule="auto"/>
              <w:jc w:val="right"/>
              <w:rPr>
                <w:rFonts w:ascii="Verdana" w:hAnsi="Verdana" w:eastAsia="Times New Roman" w:cs="Times New Roman"/>
                <w:color w:val="000000"/>
                <w:sz w:val="16"/>
                <w:szCs w:val="16"/>
                <w:lang w:eastAsia="es-CO"/>
              </w:rPr>
            </w:pPr>
            <w:r w:rsidRPr="009C275C">
              <w:rPr>
                <w:rFonts w:ascii="Verdana" w:hAnsi="Verdana" w:eastAsia="Times New Roman" w:cs="Times New Roman"/>
                <w:color w:val="000000"/>
                <w:sz w:val="16"/>
                <w:szCs w:val="16"/>
                <w:lang w:eastAsia="es-CO"/>
              </w:rPr>
              <w:t xml:space="preserve"> $                   - </w:t>
            </w:r>
          </w:p>
        </w:tc>
        <w:tc>
          <w:tcPr>
            <w:tcW w:w="1022" w:type="dxa"/>
            <w:noWrap/>
            <w:vAlign w:val="center"/>
            <w:hideMark/>
          </w:tcPr>
          <w:p w:rsidRPr="009C275C" w:rsidR="009C275C" w:rsidP="009C275C" w:rsidRDefault="009C275C" w14:paraId="34DE90D4" w14:textId="77777777">
            <w:pPr>
              <w:spacing w:after="0" w:line="240" w:lineRule="auto"/>
              <w:jc w:val="right"/>
              <w:rPr>
                <w:rFonts w:ascii="Verdana" w:hAnsi="Verdana" w:eastAsia="Times New Roman" w:cs="Times New Roman"/>
                <w:color w:val="000000"/>
                <w:sz w:val="16"/>
                <w:szCs w:val="16"/>
                <w:lang w:eastAsia="es-CO"/>
              </w:rPr>
            </w:pPr>
            <w:r w:rsidRPr="009C275C">
              <w:rPr>
                <w:rFonts w:ascii="Verdana" w:hAnsi="Verdana" w:eastAsia="Times New Roman" w:cs="Times New Roman"/>
                <w:color w:val="000000"/>
                <w:sz w:val="16"/>
                <w:szCs w:val="16"/>
                <w:lang w:eastAsia="es-CO"/>
              </w:rPr>
              <w:t>$ 33.912</w:t>
            </w:r>
          </w:p>
        </w:tc>
        <w:tc>
          <w:tcPr>
            <w:tcW w:w="600" w:type="dxa"/>
            <w:vAlign w:val="center"/>
            <w:hideMark/>
          </w:tcPr>
          <w:p w:rsidRPr="009C275C" w:rsidR="009C275C" w:rsidP="009C275C" w:rsidRDefault="009C275C" w14:paraId="5966E4E3" w14:textId="77777777">
            <w:pPr>
              <w:spacing w:after="0" w:line="240" w:lineRule="auto"/>
              <w:jc w:val="right"/>
              <w:rPr>
                <w:rFonts w:ascii="Verdana" w:hAnsi="Verdana" w:eastAsia="Times New Roman" w:cs="Times New Roman"/>
                <w:color w:val="000000"/>
                <w:sz w:val="16"/>
                <w:szCs w:val="16"/>
                <w:lang w:eastAsia="es-CO"/>
              </w:rPr>
            </w:pPr>
            <w:r w:rsidRPr="009C275C">
              <w:rPr>
                <w:rFonts w:ascii="Verdana" w:hAnsi="Verdana" w:eastAsia="Times New Roman" w:cs="Times New Roman"/>
                <w:color w:val="000000"/>
                <w:sz w:val="16"/>
                <w:szCs w:val="16"/>
                <w:lang w:eastAsia="es-CO"/>
              </w:rPr>
              <w:t>42,4%</w:t>
            </w:r>
          </w:p>
        </w:tc>
        <w:tc>
          <w:tcPr>
            <w:tcW w:w="972" w:type="dxa"/>
            <w:noWrap/>
            <w:vAlign w:val="center"/>
            <w:hideMark/>
          </w:tcPr>
          <w:p w:rsidRPr="009C275C" w:rsidR="009C275C" w:rsidP="009C275C" w:rsidRDefault="009C275C" w14:paraId="5B67CA6E" w14:textId="77777777">
            <w:pPr>
              <w:spacing w:after="0" w:line="240" w:lineRule="auto"/>
              <w:jc w:val="right"/>
              <w:rPr>
                <w:rFonts w:ascii="Verdana" w:hAnsi="Verdana" w:eastAsia="Times New Roman" w:cs="Times New Roman"/>
                <w:color w:val="000000"/>
                <w:sz w:val="16"/>
                <w:szCs w:val="16"/>
                <w:lang w:eastAsia="es-CO"/>
              </w:rPr>
            </w:pPr>
            <w:r w:rsidRPr="009C275C">
              <w:rPr>
                <w:rFonts w:ascii="Verdana" w:hAnsi="Verdana" w:eastAsia="Times New Roman" w:cs="Times New Roman"/>
                <w:color w:val="000000"/>
                <w:sz w:val="16"/>
                <w:szCs w:val="16"/>
                <w:lang w:eastAsia="es-CO"/>
              </w:rPr>
              <w:t xml:space="preserve">$ 9.608 </w:t>
            </w:r>
          </w:p>
        </w:tc>
        <w:tc>
          <w:tcPr>
            <w:tcW w:w="696" w:type="dxa"/>
            <w:noWrap/>
            <w:vAlign w:val="center"/>
            <w:hideMark/>
          </w:tcPr>
          <w:p w:rsidRPr="009C275C" w:rsidR="009C275C" w:rsidP="009C275C" w:rsidRDefault="009C275C" w14:paraId="37CDC25E" w14:textId="77777777">
            <w:pPr>
              <w:spacing w:after="0" w:line="240" w:lineRule="auto"/>
              <w:jc w:val="right"/>
              <w:rPr>
                <w:rFonts w:ascii="Verdana" w:hAnsi="Verdana" w:eastAsia="Times New Roman" w:cs="Times New Roman"/>
                <w:color w:val="000000"/>
                <w:sz w:val="16"/>
                <w:szCs w:val="16"/>
                <w:lang w:eastAsia="es-CO"/>
              </w:rPr>
            </w:pPr>
            <w:r w:rsidRPr="009C275C">
              <w:rPr>
                <w:rFonts w:ascii="Verdana" w:hAnsi="Verdana" w:eastAsia="Times New Roman" w:cs="Times New Roman"/>
                <w:color w:val="000000"/>
                <w:sz w:val="16"/>
                <w:szCs w:val="16"/>
                <w:lang w:eastAsia="es-CO"/>
              </w:rPr>
              <w:t>12,0%</w:t>
            </w:r>
          </w:p>
        </w:tc>
      </w:tr>
      <w:tr w:rsidRPr="009C275C" w:rsidR="009C275C" w14:paraId="1575B685" w14:textId="77777777">
        <w:trPr>
          <w:trHeight w:val="311"/>
        </w:trPr>
        <w:tc>
          <w:tcPr>
            <w:tcW w:w="632" w:type="dxa"/>
            <w:vAlign w:val="center"/>
            <w:hideMark/>
          </w:tcPr>
          <w:p w:rsidRPr="009C275C" w:rsidR="009C275C" w:rsidP="009C275C" w:rsidRDefault="009C275C" w14:paraId="66C7886A" w14:textId="77777777">
            <w:pPr>
              <w:spacing w:after="0" w:line="240" w:lineRule="auto"/>
              <w:jc w:val="center"/>
              <w:rPr>
                <w:rFonts w:ascii="Verdana" w:hAnsi="Verdana" w:eastAsia="Times New Roman" w:cs="Times New Roman"/>
                <w:sz w:val="16"/>
                <w:szCs w:val="16"/>
                <w:lang w:eastAsia="es-CO"/>
              </w:rPr>
            </w:pPr>
            <w:r w:rsidRPr="009C275C">
              <w:rPr>
                <w:rFonts w:ascii="Verdana" w:hAnsi="Verdana" w:eastAsia="Times New Roman" w:cs="Times New Roman"/>
                <w:sz w:val="16"/>
                <w:szCs w:val="16"/>
                <w:lang w:eastAsia="es-CO"/>
              </w:rPr>
              <w:t>UPME</w:t>
            </w:r>
          </w:p>
        </w:tc>
        <w:tc>
          <w:tcPr>
            <w:tcW w:w="914" w:type="dxa"/>
            <w:noWrap/>
            <w:vAlign w:val="center"/>
            <w:hideMark/>
          </w:tcPr>
          <w:p w:rsidRPr="009C275C" w:rsidR="009C275C" w:rsidP="009C275C" w:rsidRDefault="009C275C" w14:paraId="0FC92759" w14:textId="77777777">
            <w:pPr>
              <w:spacing w:after="0" w:line="240" w:lineRule="auto"/>
              <w:jc w:val="right"/>
              <w:rPr>
                <w:rFonts w:ascii="Verdana" w:hAnsi="Verdana" w:eastAsia="Times New Roman" w:cs="Times New Roman"/>
                <w:color w:val="000000"/>
                <w:sz w:val="16"/>
                <w:szCs w:val="16"/>
                <w:lang w:eastAsia="es-CO"/>
              </w:rPr>
            </w:pPr>
            <w:r w:rsidRPr="009C275C">
              <w:rPr>
                <w:rFonts w:ascii="Verdana" w:hAnsi="Verdana" w:eastAsia="Times New Roman" w:cs="Times New Roman"/>
                <w:color w:val="000000"/>
                <w:sz w:val="16"/>
                <w:szCs w:val="16"/>
                <w:lang w:eastAsia="es-CO"/>
              </w:rPr>
              <w:t>$ 42.894</w:t>
            </w:r>
          </w:p>
        </w:tc>
        <w:tc>
          <w:tcPr>
            <w:tcW w:w="1134" w:type="dxa"/>
            <w:noWrap/>
            <w:vAlign w:val="center"/>
            <w:hideMark/>
          </w:tcPr>
          <w:p w:rsidRPr="009C275C" w:rsidR="009C275C" w:rsidP="009C275C" w:rsidRDefault="009C275C" w14:paraId="32F736D5" w14:textId="77777777">
            <w:pPr>
              <w:spacing w:after="0" w:line="240" w:lineRule="auto"/>
              <w:jc w:val="right"/>
              <w:rPr>
                <w:rFonts w:ascii="Verdana" w:hAnsi="Verdana" w:eastAsia="Times New Roman" w:cs="Times New Roman"/>
                <w:color w:val="000000"/>
                <w:sz w:val="16"/>
                <w:szCs w:val="16"/>
                <w:lang w:eastAsia="es-CO"/>
              </w:rPr>
            </w:pPr>
            <w:r w:rsidRPr="009C275C">
              <w:rPr>
                <w:rFonts w:ascii="Verdana" w:hAnsi="Verdana" w:eastAsia="Times New Roman" w:cs="Times New Roman"/>
                <w:color w:val="000000"/>
                <w:sz w:val="16"/>
                <w:szCs w:val="16"/>
                <w:lang w:eastAsia="es-CO"/>
              </w:rPr>
              <w:t xml:space="preserve"> $                   - </w:t>
            </w:r>
          </w:p>
        </w:tc>
        <w:tc>
          <w:tcPr>
            <w:tcW w:w="753" w:type="dxa"/>
            <w:vAlign w:val="center"/>
            <w:hideMark/>
          </w:tcPr>
          <w:p w:rsidRPr="009C275C" w:rsidR="009C275C" w:rsidP="009C275C" w:rsidRDefault="009C275C" w14:paraId="50FF5761" w14:textId="77777777">
            <w:pPr>
              <w:spacing w:after="0" w:line="240" w:lineRule="auto"/>
              <w:jc w:val="right"/>
              <w:rPr>
                <w:rFonts w:ascii="Verdana" w:hAnsi="Verdana" w:eastAsia="Times New Roman" w:cs="Times New Roman"/>
                <w:color w:val="000000"/>
                <w:sz w:val="16"/>
                <w:szCs w:val="16"/>
                <w:lang w:eastAsia="es-CO"/>
              </w:rPr>
            </w:pPr>
            <w:r w:rsidRPr="009C275C">
              <w:rPr>
                <w:rFonts w:ascii="Verdana" w:hAnsi="Verdana" w:eastAsia="Times New Roman" w:cs="Times New Roman"/>
                <w:color w:val="000000"/>
                <w:sz w:val="16"/>
                <w:szCs w:val="16"/>
                <w:lang w:eastAsia="es-CO"/>
              </w:rPr>
              <w:t xml:space="preserve"> $                   - </w:t>
            </w:r>
          </w:p>
        </w:tc>
        <w:tc>
          <w:tcPr>
            <w:tcW w:w="1050" w:type="dxa"/>
            <w:noWrap/>
            <w:vAlign w:val="center"/>
            <w:hideMark/>
          </w:tcPr>
          <w:p w:rsidRPr="009C275C" w:rsidR="009C275C" w:rsidP="009C275C" w:rsidRDefault="009C275C" w14:paraId="6EC80172" w14:textId="77777777">
            <w:pPr>
              <w:spacing w:after="0" w:line="240" w:lineRule="auto"/>
              <w:jc w:val="right"/>
              <w:rPr>
                <w:rFonts w:ascii="Verdana" w:hAnsi="Verdana" w:eastAsia="Times New Roman" w:cs="Times New Roman"/>
                <w:color w:val="000000"/>
                <w:sz w:val="16"/>
                <w:szCs w:val="16"/>
                <w:lang w:eastAsia="es-CO"/>
              </w:rPr>
            </w:pPr>
            <w:r w:rsidRPr="009C275C">
              <w:rPr>
                <w:rFonts w:ascii="Verdana" w:hAnsi="Verdana" w:eastAsia="Times New Roman" w:cs="Times New Roman"/>
                <w:color w:val="000000"/>
                <w:sz w:val="16"/>
                <w:szCs w:val="16"/>
                <w:lang w:eastAsia="es-CO"/>
              </w:rPr>
              <w:t>$ 42.894</w:t>
            </w:r>
          </w:p>
        </w:tc>
        <w:tc>
          <w:tcPr>
            <w:tcW w:w="914" w:type="dxa"/>
            <w:noWrap/>
            <w:vAlign w:val="center"/>
            <w:hideMark/>
          </w:tcPr>
          <w:p w:rsidRPr="009C275C" w:rsidR="009C275C" w:rsidP="009C275C" w:rsidRDefault="009C275C" w14:paraId="09EC711F" w14:textId="77777777">
            <w:pPr>
              <w:spacing w:after="0" w:line="240" w:lineRule="auto"/>
              <w:jc w:val="right"/>
              <w:rPr>
                <w:rFonts w:ascii="Verdana" w:hAnsi="Verdana" w:eastAsia="Times New Roman" w:cs="Times New Roman"/>
                <w:color w:val="000000"/>
                <w:sz w:val="16"/>
                <w:szCs w:val="16"/>
                <w:lang w:eastAsia="es-CO"/>
              </w:rPr>
            </w:pPr>
            <w:r w:rsidRPr="009C275C">
              <w:rPr>
                <w:rFonts w:ascii="Verdana" w:hAnsi="Verdana" w:eastAsia="Times New Roman" w:cs="Times New Roman"/>
                <w:color w:val="000000"/>
                <w:sz w:val="16"/>
                <w:szCs w:val="16"/>
                <w:lang w:eastAsia="es-CO"/>
              </w:rPr>
              <w:t xml:space="preserve"> $                   - </w:t>
            </w:r>
          </w:p>
        </w:tc>
        <w:tc>
          <w:tcPr>
            <w:tcW w:w="1022" w:type="dxa"/>
            <w:noWrap/>
            <w:vAlign w:val="center"/>
            <w:hideMark/>
          </w:tcPr>
          <w:p w:rsidRPr="009C275C" w:rsidR="009C275C" w:rsidP="009C275C" w:rsidRDefault="009C275C" w14:paraId="4EBC6BBB" w14:textId="77777777">
            <w:pPr>
              <w:spacing w:after="0" w:line="240" w:lineRule="auto"/>
              <w:jc w:val="right"/>
              <w:rPr>
                <w:rFonts w:ascii="Verdana" w:hAnsi="Verdana" w:eastAsia="Times New Roman" w:cs="Times New Roman"/>
                <w:color w:val="000000"/>
                <w:sz w:val="16"/>
                <w:szCs w:val="16"/>
                <w:lang w:eastAsia="es-CO"/>
              </w:rPr>
            </w:pPr>
            <w:r w:rsidRPr="009C275C">
              <w:rPr>
                <w:rFonts w:ascii="Verdana" w:hAnsi="Verdana" w:eastAsia="Times New Roman" w:cs="Times New Roman"/>
                <w:color w:val="000000"/>
                <w:sz w:val="16"/>
                <w:szCs w:val="16"/>
                <w:lang w:eastAsia="es-CO"/>
              </w:rPr>
              <w:t>$ 28.293</w:t>
            </w:r>
          </w:p>
        </w:tc>
        <w:tc>
          <w:tcPr>
            <w:tcW w:w="600" w:type="dxa"/>
            <w:vAlign w:val="center"/>
            <w:hideMark/>
          </w:tcPr>
          <w:p w:rsidRPr="009C275C" w:rsidR="009C275C" w:rsidP="009C275C" w:rsidRDefault="009C275C" w14:paraId="2D7DCAFD" w14:textId="77777777">
            <w:pPr>
              <w:spacing w:after="0" w:line="240" w:lineRule="auto"/>
              <w:jc w:val="right"/>
              <w:rPr>
                <w:rFonts w:ascii="Verdana" w:hAnsi="Verdana" w:eastAsia="Times New Roman" w:cs="Times New Roman"/>
                <w:color w:val="000000"/>
                <w:sz w:val="16"/>
                <w:szCs w:val="16"/>
                <w:lang w:eastAsia="es-CO"/>
              </w:rPr>
            </w:pPr>
            <w:r w:rsidRPr="009C275C">
              <w:rPr>
                <w:rFonts w:ascii="Verdana" w:hAnsi="Verdana" w:eastAsia="Times New Roman" w:cs="Times New Roman"/>
                <w:color w:val="000000"/>
                <w:sz w:val="16"/>
                <w:szCs w:val="16"/>
                <w:lang w:eastAsia="es-CO"/>
              </w:rPr>
              <w:t>66,0%</w:t>
            </w:r>
          </w:p>
        </w:tc>
        <w:tc>
          <w:tcPr>
            <w:tcW w:w="972" w:type="dxa"/>
            <w:noWrap/>
            <w:vAlign w:val="center"/>
            <w:hideMark/>
          </w:tcPr>
          <w:p w:rsidRPr="009C275C" w:rsidR="009C275C" w:rsidP="009C275C" w:rsidRDefault="009C275C" w14:paraId="4DE10E85" w14:textId="77777777">
            <w:pPr>
              <w:spacing w:after="0" w:line="240" w:lineRule="auto"/>
              <w:jc w:val="right"/>
              <w:rPr>
                <w:rFonts w:ascii="Verdana" w:hAnsi="Verdana" w:eastAsia="Times New Roman" w:cs="Times New Roman"/>
                <w:color w:val="000000"/>
                <w:sz w:val="16"/>
                <w:szCs w:val="16"/>
                <w:lang w:eastAsia="es-CO"/>
              </w:rPr>
            </w:pPr>
            <w:r w:rsidRPr="009C275C">
              <w:rPr>
                <w:rFonts w:ascii="Verdana" w:hAnsi="Verdana" w:eastAsia="Times New Roman" w:cs="Times New Roman"/>
                <w:color w:val="000000"/>
                <w:sz w:val="16"/>
                <w:szCs w:val="16"/>
                <w:lang w:eastAsia="es-CO"/>
              </w:rPr>
              <w:t xml:space="preserve">$ 5.557 </w:t>
            </w:r>
          </w:p>
        </w:tc>
        <w:tc>
          <w:tcPr>
            <w:tcW w:w="696" w:type="dxa"/>
            <w:noWrap/>
            <w:vAlign w:val="center"/>
            <w:hideMark/>
          </w:tcPr>
          <w:p w:rsidRPr="009C275C" w:rsidR="009C275C" w:rsidP="009C275C" w:rsidRDefault="009C275C" w14:paraId="4DF6F083" w14:textId="77777777">
            <w:pPr>
              <w:spacing w:after="0" w:line="240" w:lineRule="auto"/>
              <w:jc w:val="right"/>
              <w:rPr>
                <w:rFonts w:ascii="Verdana" w:hAnsi="Verdana" w:eastAsia="Times New Roman" w:cs="Times New Roman"/>
                <w:color w:val="000000"/>
                <w:sz w:val="16"/>
                <w:szCs w:val="16"/>
                <w:lang w:eastAsia="es-CO"/>
              </w:rPr>
            </w:pPr>
            <w:r w:rsidRPr="009C275C">
              <w:rPr>
                <w:rFonts w:ascii="Verdana" w:hAnsi="Verdana" w:eastAsia="Times New Roman" w:cs="Times New Roman"/>
                <w:color w:val="000000"/>
                <w:sz w:val="16"/>
                <w:szCs w:val="16"/>
                <w:lang w:eastAsia="es-CO"/>
              </w:rPr>
              <w:t>13,0%</w:t>
            </w:r>
          </w:p>
        </w:tc>
      </w:tr>
      <w:tr w:rsidRPr="009C275C" w:rsidR="009C275C" w14:paraId="05A2E380" w14:textId="77777777">
        <w:trPr>
          <w:trHeight w:val="311"/>
        </w:trPr>
        <w:tc>
          <w:tcPr>
            <w:tcW w:w="632" w:type="dxa"/>
            <w:shd w:val="clear" w:color="auto" w:fill="BFBFBF" w:themeFill="background1" w:themeFillShade="BF"/>
            <w:vAlign w:val="center"/>
            <w:hideMark/>
          </w:tcPr>
          <w:p w:rsidRPr="009C275C" w:rsidR="009C275C" w:rsidP="009C275C" w:rsidRDefault="009C275C" w14:paraId="5FE7D97E" w14:textId="77777777">
            <w:pPr>
              <w:spacing w:after="0" w:line="240" w:lineRule="auto"/>
              <w:jc w:val="center"/>
              <w:rPr>
                <w:rFonts w:ascii="Verdana" w:hAnsi="Verdana" w:eastAsia="Times New Roman" w:cs="Times New Roman"/>
                <w:b/>
                <w:bCs/>
                <w:color w:val="000000"/>
                <w:sz w:val="16"/>
                <w:szCs w:val="16"/>
                <w:lang w:eastAsia="es-CO"/>
              </w:rPr>
            </w:pPr>
            <w:r w:rsidRPr="009C275C">
              <w:rPr>
                <w:rFonts w:ascii="Verdana" w:hAnsi="Verdana" w:eastAsia="Times New Roman" w:cs="Times New Roman"/>
                <w:b/>
                <w:bCs/>
                <w:color w:val="000000"/>
                <w:sz w:val="16"/>
                <w:szCs w:val="16"/>
                <w:lang w:eastAsia="es-CO"/>
              </w:rPr>
              <w:t>Total</w:t>
            </w:r>
          </w:p>
          <w:p w:rsidRPr="009C275C" w:rsidR="009C275C" w:rsidP="009C275C" w:rsidRDefault="009C275C" w14:paraId="5C8F940F" w14:textId="77777777">
            <w:pPr>
              <w:spacing w:after="0" w:line="240" w:lineRule="auto"/>
              <w:jc w:val="center"/>
              <w:rPr>
                <w:rFonts w:ascii="Verdana" w:hAnsi="Verdana" w:eastAsia="Times New Roman" w:cs="Times New Roman"/>
                <w:b/>
                <w:bCs/>
                <w:color w:val="000000"/>
                <w:sz w:val="16"/>
                <w:szCs w:val="16"/>
                <w:lang w:eastAsia="es-CO"/>
              </w:rPr>
            </w:pPr>
            <w:r w:rsidRPr="009C275C">
              <w:rPr>
                <w:rFonts w:ascii="Verdana" w:hAnsi="Verdana" w:eastAsia="Times New Roman" w:cs="Times New Roman"/>
                <w:b/>
                <w:bCs/>
                <w:color w:val="000000"/>
                <w:sz w:val="16"/>
                <w:szCs w:val="16"/>
                <w:lang w:eastAsia="es-CO"/>
              </w:rPr>
              <w:t>Sector</w:t>
            </w:r>
          </w:p>
        </w:tc>
        <w:tc>
          <w:tcPr>
            <w:tcW w:w="914" w:type="dxa"/>
            <w:shd w:val="clear" w:color="auto" w:fill="BFBFBF" w:themeFill="background1" w:themeFillShade="BF"/>
            <w:noWrap/>
            <w:vAlign w:val="center"/>
            <w:hideMark/>
          </w:tcPr>
          <w:p w:rsidRPr="009C275C" w:rsidR="009C275C" w:rsidP="009C275C" w:rsidRDefault="009C275C" w14:paraId="0B2FE2C3" w14:textId="77777777">
            <w:pPr>
              <w:spacing w:after="0" w:line="240" w:lineRule="auto"/>
              <w:jc w:val="right"/>
              <w:rPr>
                <w:rFonts w:ascii="Verdana" w:hAnsi="Verdana" w:eastAsia="Times New Roman" w:cs="Times New Roman"/>
                <w:color w:val="000000"/>
                <w:sz w:val="16"/>
                <w:szCs w:val="16"/>
                <w:lang w:eastAsia="es-CO"/>
              </w:rPr>
            </w:pPr>
            <w:r w:rsidRPr="009C275C">
              <w:rPr>
                <w:rFonts w:ascii="Verdana" w:hAnsi="Verdana" w:eastAsia="Times New Roman" w:cs="Times New Roman"/>
                <w:color w:val="000000"/>
                <w:sz w:val="16"/>
                <w:szCs w:val="16"/>
                <w:lang w:eastAsia="es-CO"/>
              </w:rPr>
              <w:t>$10.141.820</w:t>
            </w:r>
          </w:p>
        </w:tc>
        <w:tc>
          <w:tcPr>
            <w:tcW w:w="1134" w:type="dxa"/>
            <w:shd w:val="clear" w:color="auto" w:fill="BFBFBF" w:themeFill="background1" w:themeFillShade="BF"/>
            <w:noWrap/>
            <w:vAlign w:val="center"/>
            <w:hideMark/>
          </w:tcPr>
          <w:p w:rsidRPr="009C275C" w:rsidR="009C275C" w:rsidP="009C275C" w:rsidRDefault="009C275C" w14:paraId="471B081D" w14:textId="77777777">
            <w:pPr>
              <w:spacing w:after="0" w:line="240" w:lineRule="auto"/>
              <w:jc w:val="right"/>
              <w:rPr>
                <w:rFonts w:ascii="Verdana" w:hAnsi="Verdana" w:eastAsia="Times New Roman" w:cs="Times New Roman"/>
                <w:color w:val="000000"/>
                <w:sz w:val="16"/>
                <w:szCs w:val="16"/>
                <w:lang w:eastAsia="es-CO"/>
              </w:rPr>
            </w:pPr>
            <w:r w:rsidRPr="009C275C">
              <w:rPr>
                <w:rFonts w:ascii="Verdana" w:hAnsi="Verdana" w:eastAsia="Times New Roman" w:cs="Times New Roman"/>
                <w:color w:val="000000"/>
                <w:sz w:val="16"/>
                <w:szCs w:val="16"/>
                <w:lang w:eastAsia="es-CO"/>
              </w:rPr>
              <w:t xml:space="preserve"> $                   - </w:t>
            </w:r>
          </w:p>
        </w:tc>
        <w:tc>
          <w:tcPr>
            <w:tcW w:w="753" w:type="dxa"/>
            <w:shd w:val="clear" w:color="auto" w:fill="BFBFBF" w:themeFill="background1" w:themeFillShade="BF"/>
            <w:vAlign w:val="center"/>
            <w:hideMark/>
          </w:tcPr>
          <w:p w:rsidRPr="009C275C" w:rsidR="009C275C" w:rsidP="009C275C" w:rsidRDefault="009C275C" w14:paraId="73131FFE" w14:textId="77777777">
            <w:pPr>
              <w:spacing w:after="0" w:line="240" w:lineRule="auto"/>
              <w:jc w:val="right"/>
              <w:rPr>
                <w:rFonts w:ascii="Verdana" w:hAnsi="Verdana" w:eastAsia="Times New Roman" w:cs="Times New Roman"/>
                <w:color w:val="000000"/>
                <w:sz w:val="16"/>
                <w:szCs w:val="16"/>
                <w:lang w:eastAsia="es-CO"/>
              </w:rPr>
            </w:pPr>
            <w:r w:rsidRPr="009C275C">
              <w:rPr>
                <w:rFonts w:ascii="Verdana" w:hAnsi="Verdana" w:eastAsia="Times New Roman" w:cs="Times New Roman"/>
                <w:color w:val="000000"/>
                <w:sz w:val="16"/>
                <w:szCs w:val="16"/>
                <w:lang w:eastAsia="es-CO"/>
              </w:rPr>
              <w:t xml:space="preserve"> $                   - </w:t>
            </w:r>
          </w:p>
        </w:tc>
        <w:tc>
          <w:tcPr>
            <w:tcW w:w="1050" w:type="dxa"/>
            <w:shd w:val="clear" w:color="auto" w:fill="BFBFBF" w:themeFill="background1" w:themeFillShade="BF"/>
            <w:noWrap/>
            <w:vAlign w:val="center"/>
            <w:hideMark/>
          </w:tcPr>
          <w:p w:rsidRPr="009C275C" w:rsidR="009C275C" w:rsidP="009C275C" w:rsidRDefault="009C275C" w14:paraId="3FBF3CD9" w14:textId="77777777">
            <w:pPr>
              <w:spacing w:after="0" w:line="240" w:lineRule="auto"/>
              <w:jc w:val="right"/>
              <w:rPr>
                <w:rFonts w:ascii="Verdana" w:hAnsi="Verdana" w:eastAsia="Times New Roman" w:cs="Times New Roman"/>
                <w:color w:val="000000"/>
                <w:sz w:val="16"/>
                <w:szCs w:val="16"/>
                <w:lang w:eastAsia="es-CO"/>
              </w:rPr>
            </w:pPr>
            <w:r w:rsidRPr="009C275C">
              <w:rPr>
                <w:rFonts w:ascii="Verdana" w:hAnsi="Verdana" w:eastAsia="Times New Roman" w:cs="Times New Roman"/>
                <w:color w:val="000000"/>
                <w:sz w:val="16"/>
                <w:szCs w:val="16"/>
                <w:lang w:eastAsia="es-CO"/>
              </w:rPr>
              <w:t>$ 10.141.820</w:t>
            </w:r>
          </w:p>
        </w:tc>
        <w:tc>
          <w:tcPr>
            <w:tcW w:w="914" w:type="dxa"/>
            <w:shd w:val="clear" w:color="auto" w:fill="BFBFBF" w:themeFill="background1" w:themeFillShade="BF"/>
            <w:noWrap/>
            <w:vAlign w:val="center"/>
            <w:hideMark/>
          </w:tcPr>
          <w:p w:rsidRPr="009C275C" w:rsidR="009C275C" w:rsidP="009C275C" w:rsidRDefault="009C275C" w14:paraId="268E2820" w14:textId="77777777">
            <w:pPr>
              <w:spacing w:after="0" w:line="240" w:lineRule="auto"/>
              <w:jc w:val="right"/>
              <w:rPr>
                <w:rFonts w:ascii="Verdana" w:hAnsi="Verdana" w:eastAsia="Times New Roman" w:cs="Times New Roman"/>
                <w:color w:val="000000"/>
                <w:sz w:val="16"/>
                <w:szCs w:val="16"/>
                <w:lang w:eastAsia="es-CO"/>
              </w:rPr>
            </w:pPr>
            <w:r w:rsidRPr="009C275C">
              <w:rPr>
                <w:rFonts w:ascii="Verdana" w:hAnsi="Verdana" w:eastAsia="Times New Roman" w:cs="Times New Roman"/>
                <w:color w:val="000000"/>
                <w:sz w:val="16"/>
                <w:szCs w:val="16"/>
                <w:lang w:eastAsia="es-CO"/>
              </w:rPr>
              <w:t>$ 750</w:t>
            </w:r>
          </w:p>
        </w:tc>
        <w:tc>
          <w:tcPr>
            <w:tcW w:w="1022" w:type="dxa"/>
            <w:shd w:val="clear" w:color="auto" w:fill="BFBFBF" w:themeFill="background1" w:themeFillShade="BF"/>
            <w:noWrap/>
            <w:vAlign w:val="center"/>
            <w:hideMark/>
          </w:tcPr>
          <w:p w:rsidRPr="009C275C" w:rsidR="009C275C" w:rsidP="009C275C" w:rsidRDefault="009C275C" w14:paraId="36A61E8E" w14:textId="77777777">
            <w:pPr>
              <w:spacing w:after="0" w:line="240" w:lineRule="auto"/>
              <w:jc w:val="right"/>
              <w:rPr>
                <w:rFonts w:ascii="Verdana" w:hAnsi="Verdana" w:eastAsia="Times New Roman" w:cs="Times New Roman"/>
                <w:color w:val="000000"/>
                <w:sz w:val="16"/>
                <w:szCs w:val="16"/>
                <w:lang w:eastAsia="es-CO"/>
              </w:rPr>
            </w:pPr>
            <w:r w:rsidRPr="009C275C">
              <w:rPr>
                <w:rFonts w:ascii="Verdana" w:hAnsi="Verdana" w:eastAsia="Times New Roman" w:cs="Times New Roman"/>
                <w:color w:val="000000"/>
                <w:sz w:val="16"/>
                <w:szCs w:val="16"/>
                <w:lang w:eastAsia="es-CO"/>
              </w:rPr>
              <w:t>$ 4.837.129</w:t>
            </w:r>
          </w:p>
        </w:tc>
        <w:tc>
          <w:tcPr>
            <w:tcW w:w="600" w:type="dxa"/>
            <w:shd w:val="clear" w:color="auto" w:fill="BFBFBF" w:themeFill="background1" w:themeFillShade="BF"/>
            <w:vAlign w:val="center"/>
            <w:hideMark/>
          </w:tcPr>
          <w:p w:rsidRPr="009C275C" w:rsidR="009C275C" w:rsidP="009C275C" w:rsidRDefault="009C275C" w14:paraId="1DEEF9A4" w14:textId="77777777">
            <w:pPr>
              <w:spacing w:after="0" w:line="240" w:lineRule="auto"/>
              <w:jc w:val="right"/>
              <w:rPr>
                <w:rFonts w:ascii="Verdana" w:hAnsi="Verdana" w:eastAsia="Times New Roman" w:cs="Times New Roman"/>
                <w:color w:val="000000"/>
                <w:sz w:val="16"/>
                <w:szCs w:val="16"/>
                <w:lang w:eastAsia="es-CO"/>
              </w:rPr>
            </w:pPr>
            <w:r w:rsidRPr="009C275C">
              <w:rPr>
                <w:rFonts w:ascii="Verdana" w:hAnsi="Verdana" w:eastAsia="Times New Roman" w:cs="Times New Roman"/>
                <w:color w:val="000000"/>
                <w:sz w:val="16"/>
                <w:szCs w:val="16"/>
                <w:lang w:eastAsia="es-CO"/>
              </w:rPr>
              <w:t>47,7%</w:t>
            </w:r>
          </w:p>
        </w:tc>
        <w:tc>
          <w:tcPr>
            <w:tcW w:w="972" w:type="dxa"/>
            <w:shd w:val="clear" w:color="auto" w:fill="BFBFBF" w:themeFill="background1" w:themeFillShade="BF"/>
            <w:noWrap/>
            <w:vAlign w:val="center"/>
            <w:hideMark/>
          </w:tcPr>
          <w:p w:rsidRPr="009C275C" w:rsidR="009C275C" w:rsidP="009C275C" w:rsidRDefault="009C275C" w14:paraId="73EBCA10" w14:textId="77777777">
            <w:pPr>
              <w:spacing w:after="0" w:line="240" w:lineRule="auto"/>
              <w:jc w:val="right"/>
              <w:rPr>
                <w:rFonts w:ascii="Verdana" w:hAnsi="Verdana" w:eastAsia="Times New Roman" w:cs="Times New Roman"/>
                <w:color w:val="000000"/>
                <w:sz w:val="16"/>
                <w:szCs w:val="16"/>
                <w:lang w:eastAsia="es-CO"/>
              </w:rPr>
            </w:pPr>
            <w:r w:rsidRPr="009C275C">
              <w:rPr>
                <w:rFonts w:ascii="Verdana" w:hAnsi="Verdana" w:eastAsia="Times New Roman" w:cs="Times New Roman"/>
                <w:color w:val="000000"/>
                <w:sz w:val="16"/>
                <w:szCs w:val="16"/>
                <w:lang w:eastAsia="es-CO"/>
              </w:rPr>
              <w:t>$ 2.512.735</w:t>
            </w:r>
          </w:p>
        </w:tc>
        <w:tc>
          <w:tcPr>
            <w:tcW w:w="696" w:type="dxa"/>
            <w:shd w:val="clear" w:color="auto" w:fill="BFBFBF" w:themeFill="background1" w:themeFillShade="BF"/>
            <w:noWrap/>
            <w:vAlign w:val="center"/>
            <w:hideMark/>
          </w:tcPr>
          <w:p w:rsidRPr="009C275C" w:rsidR="009C275C" w:rsidP="009C275C" w:rsidRDefault="009C275C" w14:paraId="37B3BE93" w14:textId="77777777">
            <w:pPr>
              <w:spacing w:after="0" w:line="240" w:lineRule="auto"/>
              <w:jc w:val="right"/>
              <w:rPr>
                <w:rFonts w:ascii="Verdana" w:hAnsi="Verdana" w:eastAsia="Times New Roman" w:cs="Times New Roman"/>
                <w:color w:val="000000"/>
                <w:sz w:val="16"/>
                <w:szCs w:val="16"/>
                <w:lang w:eastAsia="es-CO"/>
              </w:rPr>
            </w:pPr>
            <w:r w:rsidRPr="009C275C">
              <w:rPr>
                <w:rFonts w:ascii="Verdana" w:hAnsi="Verdana" w:eastAsia="Times New Roman" w:cs="Times New Roman"/>
                <w:color w:val="000000"/>
                <w:sz w:val="16"/>
                <w:szCs w:val="16"/>
                <w:lang w:eastAsia="es-CO"/>
              </w:rPr>
              <w:t>24,8%</w:t>
            </w:r>
          </w:p>
        </w:tc>
      </w:tr>
    </w:tbl>
    <w:p w:rsidRPr="009C275C" w:rsidR="009C275C" w:rsidP="009C275C" w:rsidRDefault="009C275C" w14:paraId="54FE4DA9" w14:textId="7EC28474">
      <w:pPr>
        <w:pStyle w:val="Fuente"/>
        <w:spacing w:after="0"/>
        <w:rPr>
          <w:rFonts w:ascii="Verdana" w:hAnsi="Verdana"/>
        </w:rPr>
      </w:pPr>
      <w:r w:rsidRPr="30CF4445" w:rsidR="3EF05203">
        <w:rPr>
          <w:rFonts w:ascii="Verdana" w:hAnsi="Verdana"/>
        </w:rPr>
        <w:t>Fuente: Elaboración propia del Grupo de Programación y Gestión Estratégica de Proyectos con información del SIIF Nación del MinHacienda. Corte a 30 de abril de 2026</w:t>
      </w:r>
    </w:p>
    <w:p w:rsidR="009C275C" w:rsidP="006A0A13" w:rsidRDefault="009C275C" w14:paraId="3AF63405" w14:textId="77777777">
      <w:pPr>
        <w:pStyle w:val="Fuente"/>
        <w:spacing w:after="0" w:line="360" w:lineRule="auto"/>
        <w:jc w:val="both"/>
        <w:rPr>
          <w:rFonts w:ascii="Verdana" w:hAnsi="Verdana"/>
          <w:sz w:val="24"/>
          <w:szCs w:val="24"/>
        </w:rPr>
      </w:pPr>
    </w:p>
    <w:p w:rsidRPr="00C140A0" w:rsidR="00EB1992" w:rsidRDefault="00A82055" w14:paraId="123685AD" w14:textId="77777777">
      <w:pPr>
        <w:pStyle w:val="Ttulo2"/>
        <w:numPr>
          <w:ilvl w:val="1"/>
          <w:numId w:val="42"/>
        </w:numPr>
        <w:spacing w:before="0" w:after="0" w:line="360" w:lineRule="auto"/>
        <w:rPr>
          <w:rFonts w:ascii="Verdana" w:hAnsi="Verdana"/>
          <w:b/>
          <w:bCs/>
          <w:color w:val="auto"/>
          <w:sz w:val="24"/>
          <w:szCs w:val="24"/>
        </w:rPr>
      </w:pPr>
      <w:bookmarkStart w:name="_Toc233996732" w:id="15"/>
      <w:r w:rsidRPr="00C140A0">
        <w:rPr>
          <w:rFonts w:ascii="Verdana" w:hAnsi="Verdana"/>
          <w:b/>
          <w:bCs/>
          <w:color w:val="auto"/>
          <w:sz w:val="24"/>
          <w:szCs w:val="24"/>
        </w:rPr>
        <w:t>Ejecución Presupuestal Subsidios y Fondos por vigencia (Por vigencia)</w:t>
      </w:r>
      <w:bookmarkEnd w:id="15"/>
      <w:r w:rsidRPr="00C140A0" w:rsidR="00EB1992">
        <w:rPr>
          <w:rFonts w:ascii="Verdana" w:hAnsi="Verdana"/>
          <w:b/>
          <w:bCs/>
          <w:color w:val="auto"/>
          <w:sz w:val="24"/>
          <w:szCs w:val="24"/>
        </w:rPr>
        <w:t xml:space="preserve"> </w:t>
      </w:r>
    </w:p>
    <w:p w:rsidR="00575564" w:rsidP="006A0A13" w:rsidRDefault="00575564" w14:paraId="50B2F9DD" w14:textId="77777777">
      <w:pPr>
        <w:pStyle w:val="Fuente"/>
        <w:spacing w:after="0" w:line="360" w:lineRule="auto"/>
        <w:jc w:val="both"/>
        <w:rPr>
          <w:rFonts w:ascii="Verdana" w:hAnsi="Verdana"/>
          <w:sz w:val="24"/>
          <w:szCs w:val="24"/>
        </w:rPr>
      </w:pPr>
    </w:p>
    <w:p w:rsidRPr="00575564" w:rsidR="00575564" w:rsidP="006A0A13" w:rsidRDefault="00575564" w14:paraId="7D288014" w14:textId="77777777">
      <w:pPr>
        <w:pStyle w:val="Fuente"/>
        <w:spacing w:after="0" w:line="360" w:lineRule="auto"/>
        <w:jc w:val="both"/>
        <w:rPr>
          <w:rFonts w:ascii="Verdana" w:hAnsi="Verdana"/>
          <w:sz w:val="24"/>
          <w:szCs w:val="24"/>
        </w:rPr>
      </w:pPr>
      <w:r w:rsidRPr="00575564">
        <w:rPr>
          <w:rFonts w:ascii="Verdana" w:hAnsi="Verdana"/>
          <w:sz w:val="24"/>
          <w:szCs w:val="24"/>
        </w:rPr>
        <w:t>Se identifica una tendencia consistente de alta ejecución en subsidios, especialmente en aquellos orientados a garantizar la sostenibilidad tarifaria y el acceso a servicios energéticos. Estos rubros presentan niveles elevados de compromiso y, en general, una mayor materialización de obligaciones, dada su naturaleza recurrente y su operación asociada a mecanismos de reconocimiento y transferencia periódica.</w:t>
      </w:r>
    </w:p>
    <w:p w:rsidR="00575564" w:rsidP="006A0A13" w:rsidRDefault="00575564" w14:paraId="15C67595" w14:textId="77777777">
      <w:pPr>
        <w:pStyle w:val="Fuente"/>
        <w:spacing w:after="0" w:line="360" w:lineRule="auto"/>
        <w:jc w:val="both"/>
        <w:rPr>
          <w:rFonts w:ascii="Verdana" w:hAnsi="Verdana"/>
          <w:sz w:val="24"/>
          <w:szCs w:val="24"/>
        </w:rPr>
      </w:pPr>
    </w:p>
    <w:p w:rsidRPr="00575564" w:rsidR="00575564" w:rsidP="006A0A13" w:rsidRDefault="00575564" w14:paraId="79998169" w14:textId="77777777">
      <w:pPr>
        <w:pStyle w:val="Fuente"/>
        <w:spacing w:after="0" w:line="360" w:lineRule="auto"/>
        <w:jc w:val="both"/>
        <w:rPr>
          <w:rFonts w:ascii="Verdana" w:hAnsi="Verdana"/>
          <w:sz w:val="24"/>
          <w:szCs w:val="24"/>
        </w:rPr>
      </w:pPr>
      <w:r w:rsidRPr="00575564">
        <w:rPr>
          <w:rFonts w:ascii="Verdana" w:hAnsi="Verdana"/>
          <w:sz w:val="24"/>
          <w:szCs w:val="24"/>
        </w:rPr>
        <w:t>Por el contrario, los fondos especiales muestran niveles de compromiso relativamente altos, pero menores niveles de obligación, situación que obedece a la naturaleza de sus proyectos, los cuales requieren procesos de formulación, estructuración técnica, validación territorial, contratación y ejecución física de mediano plazo.</w:t>
      </w:r>
    </w:p>
    <w:p w:rsidR="00575564" w:rsidP="006A0A13" w:rsidRDefault="00575564" w14:paraId="11068066" w14:textId="77777777">
      <w:pPr>
        <w:pStyle w:val="Fuente"/>
        <w:spacing w:after="0" w:line="360" w:lineRule="auto"/>
        <w:jc w:val="both"/>
        <w:rPr>
          <w:rFonts w:ascii="Verdana" w:hAnsi="Verdana"/>
          <w:sz w:val="24"/>
          <w:szCs w:val="24"/>
        </w:rPr>
      </w:pPr>
    </w:p>
    <w:p w:rsidRPr="00575564" w:rsidR="00575564" w:rsidP="006A0A13" w:rsidRDefault="00575564" w14:paraId="41788838" w14:textId="77777777">
      <w:pPr>
        <w:pStyle w:val="Fuente"/>
        <w:spacing w:after="0" w:line="360" w:lineRule="auto"/>
        <w:jc w:val="both"/>
        <w:rPr>
          <w:rFonts w:ascii="Verdana" w:hAnsi="Verdana"/>
          <w:sz w:val="24"/>
          <w:szCs w:val="24"/>
        </w:rPr>
      </w:pPr>
      <w:r w:rsidRPr="00575564">
        <w:rPr>
          <w:rFonts w:ascii="Verdana" w:hAnsi="Verdana"/>
          <w:sz w:val="24"/>
          <w:szCs w:val="24"/>
        </w:rPr>
        <w:t>En consecuencia, durante el cuatrienio se evidencia que los subsidios cumplen una función de ejecución inmediata y sostenimiento operativo del sector, mientras que los fondos constituyen instrumentos de inversión estratégica y desarrollo estructural, cuyos resultados financieros se consolidan en horizontes temporales más amplios.</w:t>
      </w:r>
    </w:p>
    <w:p w:rsidR="00575564" w:rsidP="006A0A13" w:rsidRDefault="00575564" w14:paraId="480EAAE7" w14:textId="77777777">
      <w:pPr>
        <w:pStyle w:val="Fuente"/>
        <w:spacing w:after="0" w:line="360" w:lineRule="auto"/>
        <w:jc w:val="both"/>
        <w:rPr>
          <w:rFonts w:ascii="Verdana" w:hAnsi="Verdana"/>
          <w:sz w:val="24"/>
          <w:szCs w:val="24"/>
        </w:rPr>
      </w:pPr>
    </w:p>
    <w:p w:rsidR="00DA6809" w:rsidP="006A0A13" w:rsidRDefault="00575564" w14:paraId="75BF4298" w14:textId="77777777">
      <w:pPr>
        <w:pStyle w:val="Fuente"/>
        <w:spacing w:after="0" w:line="360" w:lineRule="auto"/>
        <w:jc w:val="both"/>
        <w:rPr>
          <w:rFonts w:ascii="Verdana" w:hAnsi="Verdana"/>
          <w:sz w:val="24"/>
          <w:szCs w:val="24"/>
        </w:rPr>
      </w:pPr>
      <w:r w:rsidRPr="00575564">
        <w:rPr>
          <w:rFonts w:ascii="Verdana" w:hAnsi="Verdana"/>
          <w:sz w:val="24"/>
          <w:szCs w:val="24"/>
        </w:rPr>
        <w:t>La ejecución presupuestal de subsidios y Fondos a cargo del Ministerio de Minas y Energía– Gestión General para las vigencias 2022-2026 (abril 30) se detalla a continuación:</w:t>
      </w:r>
    </w:p>
    <w:p w:rsidRPr="00575564" w:rsidR="00575564" w:rsidP="006A0A13" w:rsidRDefault="00575564" w14:paraId="456AC9E3" w14:textId="77777777">
      <w:pPr>
        <w:pStyle w:val="Fuente"/>
        <w:spacing w:after="0" w:line="360" w:lineRule="auto"/>
        <w:jc w:val="both"/>
        <w:rPr>
          <w:rFonts w:ascii="Verdana" w:hAnsi="Verdana"/>
          <w:sz w:val="24"/>
          <w:szCs w:val="24"/>
        </w:rPr>
      </w:pPr>
    </w:p>
    <w:p w:rsidR="00575564" w:rsidP="006A0A13" w:rsidRDefault="00575564" w14:paraId="2CCFEF4B" w14:textId="77777777">
      <w:pPr>
        <w:spacing w:after="0" w:line="360" w:lineRule="auto"/>
        <w:rPr>
          <w:rFonts w:ascii="Verdana" w:hAnsi="Verdana" w:eastAsiaTheme="minorEastAsia"/>
          <w:b/>
          <w:bCs/>
          <w:sz w:val="24"/>
          <w:szCs w:val="24"/>
        </w:rPr>
      </w:pPr>
      <w:r w:rsidRPr="00575564">
        <w:rPr>
          <w:rFonts w:ascii="Verdana" w:hAnsi="Verdana" w:eastAsiaTheme="minorEastAsia"/>
          <w:b/>
          <w:bCs/>
          <w:sz w:val="24"/>
          <w:szCs w:val="24"/>
        </w:rPr>
        <w:t>Subsidios y fondos vigencia 2022</w:t>
      </w:r>
    </w:p>
    <w:p w:rsidRPr="00575564" w:rsidR="00B06BDB" w:rsidP="006A0A13" w:rsidRDefault="00B06BDB" w14:paraId="401BE451" w14:textId="77777777">
      <w:pPr>
        <w:spacing w:after="0" w:line="360" w:lineRule="auto"/>
        <w:rPr>
          <w:rFonts w:ascii="Verdana" w:hAnsi="Verdana" w:eastAsiaTheme="minorEastAsia"/>
          <w:b/>
          <w:bCs/>
          <w:sz w:val="24"/>
          <w:szCs w:val="24"/>
        </w:rPr>
      </w:pPr>
    </w:p>
    <w:p w:rsidRPr="00575564" w:rsidR="00575564" w:rsidP="00575564" w:rsidRDefault="0154D97B" w14:paraId="0912C9A0" w14:textId="77777777">
      <w:pPr>
        <w:spacing w:after="0"/>
        <w:jc w:val="center"/>
        <w:rPr>
          <w:rFonts w:ascii="Verdana" w:hAnsi="Verdana"/>
          <w:sz w:val="18"/>
          <w:szCs w:val="18"/>
        </w:rPr>
      </w:pPr>
      <w:r w:rsidRPr="180099B3">
        <w:rPr>
          <w:rFonts w:ascii="Verdana" w:hAnsi="Verdana"/>
          <w:sz w:val="18"/>
          <w:szCs w:val="18"/>
        </w:rPr>
        <w:t>Tabla</w:t>
      </w:r>
      <w:r w:rsidRPr="180099B3" w:rsidR="2471B690">
        <w:rPr>
          <w:rFonts w:ascii="Verdana" w:hAnsi="Verdana"/>
          <w:sz w:val="18"/>
          <w:szCs w:val="18"/>
        </w:rPr>
        <w:t xml:space="preserve"> No. 4</w:t>
      </w:r>
      <w:r w:rsidRPr="180099B3" w:rsidR="551A1312">
        <w:rPr>
          <w:rFonts w:ascii="Verdana" w:hAnsi="Verdana"/>
          <w:sz w:val="18"/>
          <w:szCs w:val="18"/>
        </w:rPr>
        <w:t>8</w:t>
      </w:r>
      <w:r w:rsidRPr="180099B3">
        <w:rPr>
          <w:rFonts w:ascii="Verdana" w:hAnsi="Verdana"/>
          <w:sz w:val="18"/>
          <w:szCs w:val="18"/>
        </w:rPr>
        <w:t>. Ejecución vigencia 2022 Subsidios y Fondos</w:t>
      </w:r>
    </w:p>
    <w:tbl>
      <w:tblPr>
        <w:tblW w:w="935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1123"/>
        <w:gridCol w:w="1514"/>
        <w:gridCol w:w="1514"/>
        <w:gridCol w:w="1514"/>
        <w:gridCol w:w="1134"/>
        <w:gridCol w:w="1418"/>
        <w:gridCol w:w="1134"/>
      </w:tblGrid>
      <w:tr w:rsidRPr="00575564" w:rsidR="00575564" w:rsidTr="00B06BDB" w14:paraId="407DF0CE" w14:textId="77777777">
        <w:trPr>
          <w:trHeight w:val="240"/>
        </w:trPr>
        <w:tc>
          <w:tcPr>
            <w:tcW w:w="1123" w:type="dxa"/>
            <w:shd w:val="clear" w:color="auto" w:fill="A6A6A6" w:themeFill="background1" w:themeFillShade="A6"/>
            <w:noWrap/>
            <w:vAlign w:val="center"/>
            <w:hideMark/>
          </w:tcPr>
          <w:p w:rsidRPr="00575564" w:rsidR="00575564" w:rsidRDefault="00575564" w14:paraId="30CDBC91" w14:textId="77777777">
            <w:pPr>
              <w:spacing w:after="0" w:line="240" w:lineRule="auto"/>
              <w:jc w:val="center"/>
              <w:rPr>
                <w:rFonts w:ascii="Verdana" w:hAnsi="Verdana" w:eastAsia="Times New Roman" w:cs="Calibri"/>
                <w:b/>
                <w:bCs/>
                <w:color w:val="000000"/>
                <w:sz w:val="16"/>
                <w:szCs w:val="16"/>
                <w:lang w:eastAsia="es-CO"/>
              </w:rPr>
            </w:pPr>
            <w:r w:rsidRPr="00575564">
              <w:rPr>
                <w:rFonts w:ascii="Verdana" w:hAnsi="Verdana" w:eastAsia="Times New Roman" w:cs="Calibri"/>
                <w:b/>
                <w:bCs/>
                <w:color w:val="000000"/>
                <w:sz w:val="16"/>
                <w:szCs w:val="16"/>
                <w:lang w:eastAsia="es-CO"/>
              </w:rPr>
              <w:t>Concepto</w:t>
            </w:r>
          </w:p>
        </w:tc>
        <w:tc>
          <w:tcPr>
            <w:tcW w:w="1514" w:type="dxa"/>
            <w:shd w:val="clear" w:color="auto" w:fill="A6A6A6" w:themeFill="background1" w:themeFillShade="A6"/>
            <w:noWrap/>
            <w:vAlign w:val="center"/>
            <w:hideMark/>
          </w:tcPr>
          <w:p w:rsidRPr="00575564" w:rsidR="00575564" w:rsidRDefault="00575564" w14:paraId="5FC7DE6A" w14:textId="77777777">
            <w:pPr>
              <w:spacing w:after="0" w:line="240" w:lineRule="auto"/>
              <w:jc w:val="center"/>
              <w:rPr>
                <w:rFonts w:ascii="Verdana" w:hAnsi="Verdana" w:eastAsia="Times New Roman" w:cs="Calibri"/>
                <w:b/>
                <w:bCs/>
                <w:color w:val="000000"/>
                <w:sz w:val="16"/>
                <w:szCs w:val="16"/>
                <w:lang w:eastAsia="es-CO"/>
              </w:rPr>
            </w:pPr>
            <w:r w:rsidRPr="00575564">
              <w:rPr>
                <w:rFonts w:ascii="Verdana" w:hAnsi="Verdana" w:eastAsia="Times New Roman" w:cs="Calibri"/>
                <w:b/>
                <w:bCs/>
                <w:color w:val="000000"/>
                <w:sz w:val="16"/>
                <w:szCs w:val="16"/>
                <w:lang w:eastAsia="es-CO"/>
              </w:rPr>
              <w:t xml:space="preserve">Apropiación </w:t>
            </w:r>
          </w:p>
          <w:p w:rsidRPr="00575564" w:rsidR="00575564" w:rsidRDefault="00575564" w14:paraId="11AC7D40" w14:textId="77777777">
            <w:pPr>
              <w:spacing w:after="0" w:line="240" w:lineRule="auto"/>
              <w:jc w:val="center"/>
              <w:rPr>
                <w:rFonts w:ascii="Verdana" w:hAnsi="Verdana" w:eastAsia="Times New Roman" w:cs="Calibri"/>
                <w:b/>
                <w:bCs/>
                <w:color w:val="000000"/>
                <w:sz w:val="16"/>
                <w:szCs w:val="16"/>
                <w:lang w:eastAsia="es-CO"/>
              </w:rPr>
            </w:pPr>
            <w:r w:rsidRPr="00575564">
              <w:rPr>
                <w:rFonts w:ascii="Verdana" w:hAnsi="Verdana" w:eastAsia="Times New Roman" w:cs="Calibri"/>
                <w:b/>
                <w:bCs/>
                <w:color w:val="000000"/>
                <w:sz w:val="16"/>
                <w:szCs w:val="16"/>
                <w:lang w:eastAsia="es-CO"/>
              </w:rPr>
              <w:t>Inicial</w:t>
            </w:r>
          </w:p>
        </w:tc>
        <w:tc>
          <w:tcPr>
            <w:tcW w:w="1514" w:type="dxa"/>
            <w:shd w:val="clear" w:color="auto" w:fill="A6A6A6" w:themeFill="background1" w:themeFillShade="A6"/>
            <w:noWrap/>
            <w:vAlign w:val="center"/>
            <w:hideMark/>
          </w:tcPr>
          <w:p w:rsidRPr="00575564" w:rsidR="00575564" w:rsidRDefault="00575564" w14:paraId="214DB394" w14:textId="77777777">
            <w:pPr>
              <w:spacing w:after="0" w:line="240" w:lineRule="auto"/>
              <w:jc w:val="center"/>
              <w:rPr>
                <w:rFonts w:ascii="Verdana" w:hAnsi="Verdana" w:eastAsia="Times New Roman" w:cs="Calibri"/>
                <w:b/>
                <w:bCs/>
                <w:color w:val="000000"/>
                <w:sz w:val="16"/>
                <w:szCs w:val="16"/>
                <w:lang w:eastAsia="es-CO"/>
              </w:rPr>
            </w:pPr>
            <w:r w:rsidRPr="00575564">
              <w:rPr>
                <w:rFonts w:ascii="Verdana" w:hAnsi="Verdana" w:eastAsia="Times New Roman" w:cs="Calibri"/>
                <w:b/>
                <w:bCs/>
                <w:color w:val="000000"/>
                <w:sz w:val="16"/>
                <w:szCs w:val="16"/>
                <w:lang w:eastAsia="es-CO"/>
              </w:rPr>
              <w:t xml:space="preserve">Apropiación </w:t>
            </w:r>
          </w:p>
          <w:p w:rsidRPr="00575564" w:rsidR="00575564" w:rsidRDefault="00575564" w14:paraId="3CEEF880" w14:textId="77777777">
            <w:pPr>
              <w:spacing w:after="0" w:line="240" w:lineRule="auto"/>
              <w:jc w:val="center"/>
              <w:rPr>
                <w:rFonts w:ascii="Verdana" w:hAnsi="Verdana" w:eastAsia="Times New Roman" w:cs="Calibri"/>
                <w:b/>
                <w:bCs/>
                <w:color w:val="000000"/>
                <w:sz w:val="16"/>
                <w:szCs w:val="16"/>
                <w:lang w:eastAsia="es-CO"/>
              </w:rPr>
            </w:pPr>
            <w:r w:rsidRPr="00575564">
              <w:rPr>
                <w:rFonts w:ascii="Verdana" w:hAnsi="Verdana" w:eastAsia="Times New Roman" w:cs="Calibri"/>
                <w:b/>
                <w:bCs/>
                <w:color w:val="000000"/>
                <w:sz w:val="16"/>
                <w:szCs w:val="16"/>
                <w:lang w:eastAsia="es-CO"/>
              </w:rPr>
              <w:t>Vigente</w:t>
            </w:r>
          </w:p>
        </w:tc>
        <w:tc>
          <w:tcPr>
            <w:tcW w:w="1514" w:type="dxa"/>
            <w:shd w:val="clear" w:color="auto" w:fill="A6A6A6" w:themeFill="background1" w:themeFillShade="A6"/>
            <w:noWrap/>
            <w:vAlign w:val="center"/>
            <w:hideMark/>
          </w:tcPr>
          <w:p w:rsidRPr="00575564" w:rsidR="00575564" w:rsidRDefault="00575564" w14:paraId="36C02822" w14:textId="77777777">
            <w:pPr>
              <w:spacing w:after="0" w:line="240" w:lineRule="auto"/>
              <w:jc w:val="center"/>
              <w:rPr>
                <w:rFonts w:ascii="Verdana" w:hAnsi="Verdana" w:eastAsia="Times New Roman" w:cs="Calibri"/>
                <w:b/>
                <w:bCs/>
                <w:color w:val="000000"/>
                <w:sz w:val="16"/>
                <w:szCs w:val="16"/>
                <w:lang w:eastAsia="es-CO"/>
              </w:rPr>
            </w:pPr>
            <w:r w:rsidRPr="00575564">
              <w:rPr>
                <w:rFonts w:ascii="Verdana" w:hAnsi="Verdana" w:eastAsia="Times New Roman" w:cs="Calibri"/>
                <w:b/>
                <w:bCs/>
                <w:color w:val="000000"/>
                <w:sz w:val="16"/>
                <w:szCs w:val="16"/>
                <w:lang w:eastAsia="es-CO"/>
              </w:rPr>
              <w:t>Compromisos</w:t>
            </w:r>
          </w:p>
        </w:tc>
        <w:tc>
          <w:tcPr>
            <w:tcW w:w="1134" w:type="dxa"/>
            <w:shd w:val="clear" w:color="auto" w:fill="A6A6A6" w:themeFill="background1" w:themeFillShade="A6"/>
            <w:noWrap/>
            <w:vAlign w:val="center"/>
            <w:hideMark/>
          </w:tcPr>
          <w:p w:rsidR="00B06BDB" w:rsidRDefault="00575564" w14:paraId="04D06DD5" w14:textId="77777777">
            <w:pPr>
              <w:spacing w:after="0" w:line="240" w:lineRule="auto"/>
              <w:jc w:val="center"/>
              <w:rPr>
                <w:rFonts w:ascii="Verdana" w:hAnsi="Verdana" w:eastAsia="Times New Roman" w:cs="Calibri"/>
                <w:b/>
                <w:bCs/>
                <w:color w:val="000000"/>
                <w:sz w:val="16"/>
                <w:szCs w:val="16"/>
                <w:lang w:eastAsia="es-CO"/>
              </w:rPr>
            </w:pPr>
            <w:r w:rsidRPr="00575564">
              <w:rPr>
                <w:rFonts w:ascii="Verdana" w:hAnsi="Verdana" w:eastAsia="Times New Roman" w:cs="Calibri"/>
                <w:b/>
                <w:bCs/>
                <w:color w:val="000000"/>
                <w:sz w:val="16"/>
                <w:szCs w:val="16"/>
                <w:lang w:eastAsia="es-CO"/>
              </w:rPr>
              <w:t>%</w:t>
            </w:r>
          </w:p>
          <w:p w:rsidRPr="00575564" w:rsidR="00575564" w:rsidRDefault="00575564" w14:paraId="4B1230D0" w14:textId="77777777">
            <w:pPr>
              <w:spacing w:after="0" w:line="240" w:lineRule="auto"/>
              <w:jc w:val="center"/>
              <w:rPr>
                <w:rFonts w:ascii="Verdana" w:hAnsi="Verdana" w:eastAsia="Times New Roman" w:cs="Calibri"/>
                <w:b/>
                <w:bCs/>
                <w:color w:val="000000"/>
                <w:sz w:val="16"/>
                <w:szCs w:val="16"/>
                <w:lang w:eastAsia="es-CO"/>
              </w:rPr>
            </w:pPr>
            <w:r w:rsidRPr="00575564">
              <w:rPr>
                <w:rFonts w:ascii="Verdana" w:hAnsi="Verdana" w:eastAsia="Times New Roman" w:cs="Calibri"/>
                <w:b/>
                <w:bCs/>
                <w:color w:val="000000"/>
                <w:sz w:val="16"/>
                <w:szCs w:val="16"/>
                <w:lang w:eastAsia="es-CO"/>
              </w:rPr>
              <w:t>Ejecución</w:t>
            </w:r>
          </w:p>
        </w:tc>
        <w:tc>
          <w:tcPr>
            <w:tcW w:w="1418" w:type="dxa"/>
            <w:shd w:val="clear" w:color="auto" w:fill="A6A6A6" w:themeFill="background1" w:themeFillShade="A6"/>
            <w:noWrap/>
            <w:vAlign w:val="center"/>
            <w:hideMark/>
          </w:tcPr>
          <w:p w:rsidRPr="00575564" w:rsidR="00575564" w:rsidRDefault="00575564" w14:paraId="13E76A64" w14:textId="77777777">
            <w:pPr>
              <w:spacing w:after="0" w:line="240" w:lineRule="auto"/>
              <w:jc w:val="center"/>
              <w:rPr>
                <w:rFonts w:ascii="Verdana" w:hAnsi="Verdana" w:eastAsia="Times New Roman" w:cs="Calibri"/>
                <w:b/>
                <w:bCs/>
                <w:color w:val="000000"/>
                <w:sz w:val="16"/>
                <w:szCs w:val="16"/>
                <w:lang w:eastAsia="es-CO"/>
              </w:rPr>
            </w:pPr>
            <w:r w:rsidRPr="00575564">
              <w:rPr>
                <w:rFonts w:ascii="Verdana" w:hAnsi="Verdana" w:eastAsia="Times New Roman" w:cs="Calibri"/>
                <w:b/>
                <w:bCs/>
                <w:color w:val="000000"/>
                <w:sz w:val="16"/>
                <w:szCs w:val="16"/>
                <w:lang w:eastAsia="es-CO"/>
              </w:rPr>
              <w:t>Obligaciones</w:t>
            </w:r>
          </w:p>
        </w:tc>
        <w:tc>
          <w:tcPr>
            <w:tcW w:w="1134" w:type="dxa"/>
            <w:shd w:val="clear" w:color="auto" w:fill="A6A6A6" w:themeFill="background1" w:themeFillShade="A6"/>
            <w:noWrap/>
            <w:vAlign w:val="center"/>
            <w:hideMark/>
          </w:tcPr>
          <w:p w:rsidR="00B06BDB" w:rsidRDefault="00575564" w14:paraId="2FE9351A" w14:textId="77777777">
            <w:pPr>
              <w:spacing w:after="0" w:line="240" w:lineRule="auto"/>
              <w:jc w:val="center"/>
              <w:rPr>
                <w:rFonts w:ascii="Verdana" w:hAnsi="Verdana" w:eastAsia="Times New Roman" w:cs="Calibri"/>
                <w:b/>
                <w:bCs/>
                <w:color w:val="000000"/>
                <w:sz w:val="16"/>
                <w:szCs w:val="16"/>
                <w:lang w:eastAsia="es-CO"/>
              </w:rPr>
            </w:pPr>
            <w:r w:rsidRPr="00575564">
              <w:rPr>
                <w:rFonts w:ascii="Verdana" w:hAnsi="Verdana" w:eastAsia="Times New Roman" w:cs="Calibri"/>
                <w:b/>
                <w:bCs/>
                <w:color w:val="000000"/>
                <w:sz w:val="16"/>
                <w:szCs w:val="16"/>
                <w:lang w:eastAsia="es-CO"/>
              </w:rPr>
              <w:t>%</w:t>
            </w:r>
          </w:p>
          <w:p w:rsidRPr="00575564" w:rsidR="00575564" w:rsidRDefault="00575564" w14:paraId="20A6F7D2" w14:textId="77777777">
            <w:pPr>
              <w:spacing w:after="0" w:line="240" w:lineRule="auto"/>
              <w:jc w:val="center"/>
              <w:rPr>
                <w:rFonts w:ascii="Verdana" w:hAnsi="Verdana" w:eastAsia="Times New Roman" w:cs="Calibri"/>
                <w:b/>
                <w:bCs/>
                <w:color w:val="000000"/>
                <w:sz w:val="16"/>
                <w:szCs w:val="16"/>
                <w:lang w:eastAsia="es-CO"/>
              </w:rPr>
            </w:pPr>
            <w:r w:rsidRPr="00575564">
              <w:rPr>
                <w:rFonts w:ascii="Verdana" w:hAnsi="Verdana" w:eastAsia="Times New Roman" w:cs="Calibri"/>
                <w:b/>
                <w:bCs/>
                <w:color w:val="000000"/>
                <w:sz w:val="16"/>
                <w:szCs w:val="16"/>
                <w:lang w:eastAsia="es-CO"/>
              </w:rPr>
              <w:t>Ejecución</w:t>
            </w:r>
          </w:p>
        </w:tc>
      </w:tr>
      <w:tr w:rsidRPr="00575564" w:rsidR="00575564" w:rsidTr="00B06BDB" w14:paraId="706BCAB5" w14:textId="77777777">
        <w:trPr>
          <w:trHeight w:val="311"/>
        </w:trPr>
        <w:tc>
          <w:tcPr>
            <w:tcW w:w="1123" w:type="dxa"/>
            <w:vAlign w:val="center"/>
            <w:hideMark/>
          </w:tcPr>
          <w:p w:rsidRPr="00575564" w:rsidR="00575564" w:rsidRDefault="00575564" w14:paraId="3A8BED8C" w14:textId="77777777">
            <w:pPr>
              <w:spacing w:after="0" w:line="240" w:lineRule="auto"/>
              <w:jc w:val="center"/>
              <w:rPr>
                <w:rFonts w:ascii="Verdana" w:hAnsi="Verdana" w:eastAsia="Times New Roman" w:cs="Calibri"/>
                <w:color w:val="000000"/>
                <w:sz w:val="16"/>
                <w:szCs w:val="16"/>
                <w:lang w:eastAsia="es-CO"/>
              </w:rPr>
            </w:pPr>
            <w:r w:rsidRPr="00575564">
              <w:rPr>
                <w:rFonts w:ascii="Verdana" w:hAnsi="Verdana" w:eastAsia="Times New Roman" w:cs="Calibri"/>
                <w:color w:val="000000"/>
                <w:sz w:val="16"/>
                <w:szCs w:val="16"/>
                <w:lang w:eastAsia="es-CO"/>
              </w:rPr>
              <w:t>Subsidios de Energía</w:t>
            </w:r>
            <w:r w:rsidRPr="00575564">
              <w:rPr>
                <w:rFonts w:ascii="Arial" w:hAnsi="Arial" w:eastAsia="Times New Roman" w:cs="Arial"/>
                <w:color w:val="000000"/>
                <w:sz w:val="16"/>
                <w:szCs w:val="16"/>
                <w:lang w:eastAsia="es-CO"/>
              </w:rPr>
              <w:t>​</w:t>
            </w:r>
          </w:p>
        </w:tc>
        <w:tc>
          <w:tcPr>
            <w:tcW w:w="1514" w:type="dxa"/>
            <w:noWrap/>
            <w:vAlign w:val="center"/>
          </w:tcPr>
          <w:p w:rsidRPr="00575564" w:rsidR="00575564" w:rsidRDefault="00575564" w14:paraId="2524DE1E" w14:textId="77777777">
            <w:pPr>
              <w:spacing w:after="0" w:line="240" w:lineRule="auto"/>
              <w:jc w:val="right"/>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$2.037.145</w:t>
            </w:r>
          </w:p>
        </w:tc>
        <w:tc>
          <w:tcPr>
            <w:tcW w:w="1514" w:type="dxa"/>
            <w:noWrap/>
            <w:vAlign w:val="center"/>
          </w:tcPr>
          <w:p w:rsidRPr="00575564" w:rsidR="00575564" w:rsidRDefault="00575564" w14:paraId="1269D89A" w14:textId="77777777">
            <w:pPr>
              <w:spacing w:after="0" w:line="240" w:lineRule="auto"/>
              <w:jc w:val="right"/>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$2.037.145</w:t>
            </w:r>
          </w:p>
        </w:tc>
        <w:tc>
          <w:tcPr>
            <w:tcW w:w="1514" w:type="dxa"/>
            <w:noWrap/>
            <w:vAlign w:val="center"/>
          </w:tcPr>
          <w:p w:rsidRPr="00575564" w:rsidR="00575564" w:rsidRDefault="00575564" w14:paraId="01A74C2A" w14:textId="77777777">
            <w:pPr>
              <w:spacing w:after="0" w:line="240" w:lineRule="auto"/>
              <w:jc w:val="right"/>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$1.946.342</w:t>
            </w:r>
          </w:p>
        </w:tc>
        <w:tc>
          <w:tcPr>
            <w:tcW w:w="1134" w:type="dxa"/>
            <w:noWrap/>
            <w:vAlign w:val="center"/>
          </w:tcPr>
          <w:p w:rsidRPr="00575564" w:rsidR="00575564" w:rsidRDefault="00575564" w14:paraId="0A218DED" w14:textId="77777777">
            <w:pPr>
              <w:spacing w:after="0" w:line="240" w:lineRule="auto"/>
              <w:jc w:val="right"/>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95,5%</w:t>
            </w:r>
          </w:p>
        </w:tc>
        <w:tc>
          <w:tcPr>
            <w:tcW w:w="1418" w:type="dxa"/>
            <w:noWrap/>
            <w:vAlign w:val="center"/>
          </w:tcPr>
          <w:p w:rsidRPr="00575564" w:rsidR="00575564" w:rsidRDefault="00575564" w14:paraId="444E6616" w14:textId="77777777">
            <w:pPr>
              <w:spacing w:after="0" w:line="240" w:lineRule="auto"/>
              <w:jc w:val="right"/>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$1.939.684</w:t>
            </w:r>
          </w:p>
        </w:tc>
        <w:tc>
          <w:tcPr>
            <w:tcW w:w="1134" w:type="dxa"/>
            <w:noWrap/>
            <w:vAlign w:val="center"/>
          </w:tcPr>
          <w:p w:rsidRPr="00575564" w:rsidR="00575564" w:rsidRDefault="00575564" w14:paraId="0EAF26AF" w14:textId="77777777">
            <w:pPr>
              <w:spacing w:after="0" w:line="240" w:lineRule="auto"/>
              <w:jc w:val="right"/>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95,2%</w:t>
            </w:r>
          </w:p>
        </w:tc>
      </w:tr>
      <w:tr w:rsidRPr="00575564" w:rsidR="00575564" w:rsidTr="00B06BDB" w14:paraId="5016D5C7" w14:textId="77777777">
        <w:trPr>
          <w:trHeight w:val="311"/>
        </w:trPr>
        <w:tc>
          <w:tcPr>
            <w:tcW w:w="1123" w:type="dxa"/>
            <w:vAlign w:val="center"/>
            <w:hideMark/>
          </w:tcPr>
          <w:p w:rsidRPr="00575564" w:rsidR="00575564" w:rsidRDefault="00575564" w14:paraId="724C785D" w14:textId="77777777">
            <w:pPr>
              <w:spacing w:after="0" w:line="240" w:lineRule="auto"/>
              <w:jc w:val="center"/>
              <w:rPr>
                <w:rFonts w:ascii="Verdana" w:hAnsi="Verdana" w:eastAsia="Times New Roman" w:cs="Calibri"/>
                <w:color w:val="000000"/>
                <w:sz w:val="16"/>
                <w:szCs w:val="16"/>
                <w:lang w:eastAsia="es-CO"/>
              </w:rPr>
            </w:pPr>
            <w:r w:rsidRPr="00575564">
              <w:rPr>
                <w:rFonts w:ascii="Verdana" w:hAnsi="Verdana" w:eastAsia="Times New Roman" w:cs="Calibri"/>
                <w:color w:val="000000"/>
                <w:sz w:val="16"/>
                <w:szCs w:val="16"/>
                <w:lang w:eastAsia="es-CO"/>
              </w:rPr>
              <w:t>Subsidios Gas por Red</w:t>
            </w:r>
            <w:r w:rsidRPr="00575564">
              <w:rPr>
                <w:rFonts w:ascii="Arial" w:hAnsi="Arial" w:eastAsia="Times New Roman" w:cs="Arial"/>
                <w:color w:val="000000"/>
                <w:sz w:val="16"/>
                <w:szCs w:val="16"/>
                <w:lang w:eastAsia="es-CO"/>
              </w:rPr>
              <w:t>​</w:t>
            </w:r>
          </w:p>
        </w:tc>
        <w:tc>
          <w:tcPr>
            <w:tcW w:w="1514" w:type="dxa"/>
            <w:noWrap/>
            <w:vAlign w:val="center"/>
          </w:tcPr>
          <w:p w:rsidRPr="00575564" w:rsidR="00575564" w:rsidRDefault="00575564" w14:paraId="7AB2764D" w14:textId="77777777">
            <w:pPr>
              <w:spacing w:after="0" w:line="240" w:lineRule="auto"/>
              <w:jc w:val="right"/>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$1.047.750</w:t>
            </w:r>
          </w:p>
        </w:tc>
        <w:tc>
          <w:tcPr>
            <w:tcW w:w="1514" w:type="dxa"/>
            <w:noWrap/>
            <w:vAlign w:val="center"/>
          </w:tcPr>
          <w:p w:rsidRPr="00575564" w:rsidR="00575564" w:rsidRDefault="00575564" w14:paraId="2B71652E" w14:textId="77777777">
            <w:pPr>
              <w:spacing w:after="0" w:line="240" w:lineRule="auto"/>
              <w:jc w:val="right"/>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$1.047.750</w:t>
            </w:r>
          </w:p>
        </w:tc>
        <w:tc>
          <w:tcPr>
            <w:tcW w:w="1514" w:type="dxa"/>
            <w:noWrap/>
            <w:vAlign w:val="center"/>
          </w:tcPr>
          <w:p w:rsidRPr="00575564" w:rsidR="00575564" w:rsidRDefault="00575564" w14:paraId="38435D45" w14:textId="77777777">
            <w:pPr>
              <w:spacing w:after="0" w:line="240" w:lineRule="auto"/>
              <w:jc w:val="right"/>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$1.047.750</w:t>
            </w:r>
          </w:p>
        </w:tc>
        <w:tc>
          <w:tcPr>
            <w:tcW w:w="1134" w:type="dxa"/>
            <w:noWrap/>
            <w:vAlign w:val="center"/>
          </w:tcPr>
          <w:p w:rsidRPr="00575564" w:rsidR="00575564" w:rsidRDefault="00575564" w14:paraId="0B5DE574" w14:textId="77777777">
            <w:pPr>
              <w:spacing w:after="0" w:line="240" w:lineRule="auto"/>
              <w:jc w:val="right"/>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100,0%</w:t>
            </w:r>
          </w:p>
        </w:tc>
        <w:tc>
          <w:tcPr>
            <w:tcW w:w="1418" w:type="dxa"/>
            <w:noWrap/>
            <w:vAlign w:val="center"/>
          </w:tcPr>
          <w:p w:rsidRPr="00575564" w:rsidR="00575564" w:rsidRDefault="00575564" w14:paraId="2C384E43" w14:textId="77777777">
            <w:pPr>
              <w:spacing w:after="0" w:line="240" w:lineRule="auto"/>
              <w:jc w:val="right"/>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$1.047.750</w:t>
            </w:r>
          </w:p>
        </w:tc>
        <w:tc>
          <w:tcPr>
            <w:tcW w:w="1134" w:type="dxa"/>
            <w:noWrap/>
            <w:vAlign w:val="center"/>
          </w:tcPr>
          <w:p w:rsidRPr="00575564" w:rsidR="00575564" w:rsidRDefault="00575564" w14:paraId="071F1FE2" w14:textId="77777777">
            <w:pPr>
              <w:spacing w:after="0" w:line="240" w:lineRule="auto"/>
              <w:jc w:val="right"/>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100,0%</w:t>
            </w:r>
          </w:p>
        </w:tc>
      </w:tr>
      <w:tr w:rsidRPr="00575564" w:rsidR="00575564" w:rsidTr="00B06BDB" w14:paraId="6905B244" w14:textId="77777777">
        <w:trPr>
          <w:trHeight w:val="315"/>
        </w:trPr>
        <w:tc>
          <w:tcPr>
            <w:tcW w:w="1123" w:type="dxa"/>
            <w:vAlign w:val="center"/>
            <w:hideMark/>
          </w:tcPr>
          <w:p w:rsidRPr="00575564" w:rsidR="00575564" w:rsidRDefault="00575564" w14:paraId="1714015F" w14:textId="77777777">
            <w:pPr>
              <w:spacing w:after="0" w:line="240" w:lineRule="auto"/>
              <w:jc w:val="center"/>
              <w:rPr>
                <w:rFonts w:ascii="Verdana" w:hAnsi="Verdana" w:eastAsia="Times New Roman" w:cs="Calibri"/>
                <w:color w:val="000000"/>
                <w:sz w:val="16"/>
                <w:szCs w:val="16"/>
                <w:lang w:eastAsia="es-CO"/>
              </w:rPr>
            </w:pPr>
            <w:r w:rsidRPr="00575564">
              <w:rPr>
                <w:rFonts w:ascii="Verdana" w:hAnsi="Verdana" w:eastAsia="Times New Roman" w:cs="Calibri"/>
                <w:color w:val="000000"/>
                <w:sz w:val="16"/>
                <w:szCs w:val="16"/>
                <w:lang w:eastAsia="es-CO"/>
              </w:rPr>
              <w:t>Otros Subsidios</w:t>
            </w:r>
            <w:r w:rsidRPr="00575564">
              <w:rPr>
                <w:rFonts w:ascii="Arial" w:hAnsi="Arial" w:eastAsia="Times New Roman" w:cs="Arial"/>
                <w:color w:val="000000"/>
                <w:sz w:val="16"/>
                <w:szCs w:val="16"/>
                <w:lang w:eastAsia="es-CO"/>
              </w:rPr>
              <w:t>​</w:t>
            </w:r>
          </w:p>
        </w:tc>
        <w:tc>
          <w:tcPr>
            <w:tcW w:w="1514" w:type="dxa"/>
            <w:noWrap/>
            <w:vAlign w:val="center"/>
          </w:tcPr>
          <w:p w:rsidRPr="00575564" w:rsidR="00575564" w:rsidRDefault="00575564" w14:paraId="75855753" w14:textId="77777777">
            <w:pPr>
              <w:spacing w:after="0" w:line="240" w:lineRule="auto"/>
              <w:jc w:val="right"/>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$323.882</w:t>
            </w:r>
          </w:p>
        </w:tc>
        <w:tc>
          <w:tcPr>
            <w:tcW w:w="1514" w:type="dxa"/>
            <w:noWrap/>
            <w:vAlign w:val="center"/>
          </w:tcPr>
          <w:p w:rsidRPr="00575564" w:rsidR="00575564" w:rsidRDefault="00575564" w14:paraId="177405BD" w14:textId="77777777">
            <w:pPr>
              <w:spacing w:after="0" w:line="240" w:lineRule="auto"/>
              <w:jc w:val="right"/>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$323.882</w:t>
            </w:r>
          </w:p>
        </w:tc>
        <w:tc>
          <w:tcPr>
            <w:tcW w:w="1514" w:type="dxa"/>
            <w:noWrap/>
            <w:vAlign w:val="center"/>
          </w:tcPr>
          <w:p w:rsidRPr="00575564" w:rsidR="00575564" w:rsidRDefault="00575564" w14:paraId="590CDD6E" w14:textId="77777777">
            <w:pPr>
              <w:spacing w:after="0" w:line="240" w:lineRule="auto"/>
              <w:jc w:val="right"/>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$280.468</w:t>
            </w:r>
          </w:p>
        </w:tc>
        <w:tc>
          <w:tcPr>
            <w:tcW w:w="1134" w:type="dxa"/>
            <w:noWrap/>
            <w:vAlign w:val="center"/>
          </w:tcPr>
          <w:p w:rsidRPr="00575564" w:rsidR="00575564" w:rsidRDefault="00575564" w14:paraId="5D97A086" w14:textId="77777777">
            <w:pPr>
              <w:spacing w:after="0" w:line="240" w:lineRule="auto"/>
              <w:jc w:val="right"/>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86,6%</w:t>
            </w:r>
          </w:p>
        </w:tc>
        <w:tc>
          <w:tcPr>
            <w:tcW w:w="1418" w:type="dxa"/>
            <w:noWrap/>
            <w:vAlign w:val="center"/>
          </w:tcPr>
          <w:p w:rsidRPr="00575564" w:rsidR="00575564" w:rsidRDefault="00575564" w14:paraId="1CF60D2C" w14:textId="77777777">
            <w:pPr>
              <w:spacing w:after="0" w:line="240" w:lineRule="auto"/>
              <w:jc w:val="right"/>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$269.560</w:t>
            </w:r>
          </w:p>
        </w:tc>
        <w:tc>
          <w:tcPr>
            <w:tcW w:w="1134" w:type="dxa"/>
            <w:noWrap/>
            <w:vAlign w:val="center"/>
          </w:tcPr>
          <w:p w:rsidRPr="00575564" w:rsidR="00575564" w:rsidRDefault="00575564" w14:paraId="26641851" w14:textId="77777777">
            <w:pPr>
              <w:spacing w:after="0" w:line="240" w:lineRule="auto"/>
              <w:jc w:val="right"/>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83,2%</w:t>
            </w:r>
          </w:p>
        </w:tc>
      </w:tr>
      <w:tr w:rsidRPr="00575564" w:rsidR="00575564" w:rsidTr="00B06BDB" w14:paraId="41054C39" w14:textId="77777777">
        <w:trPr>
          <w:trHeight w:val="250"/>
        </w:trPr>
        <w:tc>
          <w:tcPr>
            <w:tcW w:w="1123" w:type="dxa"/>
            <w:vAlign w:val="center"/>
            <w:hideMark/>
          </w:tcPr>
          <w:p w:rsidRPr="00575564" w:rsidR="00575564" w:rsidRDefault="00575564" w14:paraId="1A94C88D" w14:textId="77777777">
            <w:pPr>
              <w:spacing w:after="0" w:line="240" w:lineRule="auto"/>
              <w:jc w:val="center"/>
              <w:rPr>
                <w:rFonts w:ascii="Verdana" w:hAnsi="Verdana" w:eastAsia="Times New Roman" w:cs="Calibri"/>
                <w:color w:val="000000"/>
                <w:sz w:val="16"/>
                <w:szCs w:val="16"/>
                <w:lang w:eastAsia="es-CO"/>
              </w:rPr>
            </w:pPr>
            <w:r w:rsidRPr="00575564">
              <w:rPr>
                <w:rFonts w:ascii="Verdana" w:hAnsi="Verdana" w:eastAsia="Times New Roman" w:cs="Calibri"/>
                <w:color w:val="000000"/>
                <w:sz w:val="16"/>
                <w:szCs w:val="16"/>
                <w:lang w:eastAsia="es-CO"/>
              </w:rPr>
              <w:t>Fondos</w:t>
            </w:r>
            <w:r w:rsidRPr="00575564">
              <w:rPr>
                <w:rFonts w:ascii="Arial" w:hAnsi="Arial" w:eastAsia="Times New Roman" w:cs="Arial"/>
                <w:color w:val="000000"/>
                <w:sz w:val="16"/>
                <w:szCs w:val="16"/>
                <w:lang w:eastAsia="es-CO"/>
              </w:rPr>
              <w:t>​</w:t>
            </w:r>
          </w:p>
        </w:tc>
        <w:tc>
          <w:tcPr>
            <w:tcW w:w="1514" w:type="dxa"/>
            <w:noWrap/>
            <w:vAlign w:val="center"/>
          </w:tcPr>
          <w:p w:rsidRPr="00575564" w:rsidR="00575564" w:rsidRDefault="00575564" w14:paraId="58DE87A3" w14:textId="77777777">
            <w:pPr>
              <w:spacing w:after="0" w:line="240" w:lineRule="auto"/>
              <w:jc w:val="right"/>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$477.389</w:t>
            </w:r>
          </w:p>
        </w:tc>
        <w:tc>
          <w:tcPr>
            <w:tcW w:w="1514" w:type="dxa"/>
            <w:noWrap/>
            <w:vAlign w:val="center"/>
          </w:tcPr>
          <w:p w:rsidRPr="00575564" w:rsidR="00575564" w:rsidRDefault="00575564" w14:paraId="6C065DD1" w14:textId="77777777">
            <w:pPr>
              <w:spacing w:after="0" w:line="240" w:lineRule="auto"/>
              <w:jc w:val="right"/>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$477.389</w:t>
            </w:r>
          </w:p>
        </w:tc>
        <w:tc>
          <w:tcPr>
            <w:tcW w:w="1514" w:type="dxa"/>
            <w:noWrap/>
            <w:vAlign w:val="center"/>
          </w:tcPr>
          <w:p w:rsidRPr="00575564" w:rsidR="00575564" w:rsidRDefault="00575564" w14:paraId="4B4A0074" w14:textId="77777777">
            <w:pPr>
              <w:spacing w:after="0" w:line="240" w:lineRule="auto"/>
              <w:jc w:val="right"/>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$398.823</w:t>
            </w:r>
          </w:p>
        </w:tc>
        <w:tc>
          <w:tcPr>
            <w:tcW w:w="1134" w:type="dxa"/>
            <w:noWrap/>
            <w:vAlign w:val="center"/>
          </w:tcPr>
          <w:p w:rsidRPr="00575564" w:rsidR="00575564" w:rsidRDefault="00575564" w14:paraId="710040C6" w14:textId="77777777">
            <w:pPr>
              <w:spacing w:after="0" w:line="240" w:lineRule="auto"/>
              <w:jc w:val="right"/>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83,5%</w:t>
            </w:r>
          </w:p>
        </w:tc>
        <w:tc>
          <w:tcPr>
            <w:tcW w:w="1418" w:type="dxa"/>
            <w:noWrap/>
            <w:vAlign w:val="center"/>
          </w:tcPr>
          <w:p w:rsidRPr="00575564" w:rsidR="00575564" w:rsidRDefault="00575564" w14:paraId="31C1D594" w14:textId="77777777">
            <w:pPr>
              <w:spacing w:after="0" w:line="240" w:lineRule="auto"/>
              <w:jc w:val="right"/>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$140.266</w:t>
            </w:r>
          </w:p>
        </w:tc>
        <w:tc>
          <w:tcPr>
            <w:tcW w:w="1134" w:type="dxa"/>
            <w:noWrap/>
            <w:vAlign w:val="center"/>
          </w:tcPr>
          <w:p w:rsidRPr="00575564" w:rsidR="00575564" w:rsidRDefault="00575564" w14:paraId="742B6D19" w14:textId="77777777">
            <w:pPr>
              <w:spacing w:after="0" w:line="240" w:lineRule="auto"/>
              <w:jc w:val="right"/>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29,4%</w:t>
            </w:r>
          </w:p>
        </w:tc>
      </w:tr>
      <w:tr w:rsidRPr="00575564" w:rsidR="00575564" w:rsidTr="00B06BDB" w14:paraId="13DAFD04" w14:textId="77777777">
        <w:trPr>
          <w:trHeight w:val="243"/>
        </w:trPr>
        <w:tc>
          <w:tcPr>
            <w:tcW w:w="1123" w:type="dxa"/>
            <w:shd w:val="clear" w:color="auto" w:fill="BFBFBF" w:themeFill="background1" w:themeFillShade="BF"/>
            <w:vAlign w:val="center"/>
            <w:hideMark/>
          </w:tcPr>
          <w:p w:rsidRPr="00575564" w:rsidR="00575564" w:rsidRDefault="00575564" w14:paraId="0349EF2B" w14:textId="77777777">
            <w:pPr>
              <w:spacing w:after="0" w:line="240" w:lineRule="auto"/>
              <w:jc w:val="center"/>
              <w:rPr>
                <w:rFonts w:ascii="Verdana" w:hAnsi="Verdana" w:eastAsia="Times New Roman" w:cs="Calibri"/>
                <w:b/>
                <w:bCs/>
                <w:sz w:val="16"/>
                <w:szCs w:val="16"/>
                <w:lang w:eastAsia="es-CO"/>
              </w:rPr>
            </w:pPr>
            <w:r w:rsidRPr="00575564">
              <w:rPr>
                <w:rFonts w:ascii="Verdana" w:hAnsi="Verdana" w:eastAsia="Times New Roman" w:cs="Calibri"/>
                <w:b/>
                <w:bCs/>
                <w:sz w:val="16"/>
                <w:szCs w:val="16"/>
                <w:lang w:eastAsia="es-CO"/>
              </w:rPr>
              <w:t>Total</w:t>
            </w:r>
          </w:p>
        </w:tc>
        <w:tc>
          <w:tcPr>
            <w:tcW w:w="1514" w:type="dxa"/>
            <w:shd w:val="clear" w:color="auto" w:fill="BFBFBF" w:themeFill="background1" w:themeFillShade="BF"/>
            <w:noWrap/>
            <w:vAlign w:val="center"/>
          </w:tcPr>
          <w:p w:rsidRPr="00575564" w:rsidR="00575564" w:rsidRDefault="00575564" w14:paraId="4668EA89" w14:textId="77777777">
            <w:pPr>
              <w:spacing w:after="0" w:line="240" w:lineRule="auto"/>
              <w:jc w:val="right"/>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$3.886.166</w:t>
            </w:r>
          </w:p>
        </w:tc>
        <w:tc>
          <w:tcPr>
            <w:tcW w:w="1514" w:type="dxa"/>
            <w:shd w:val="clear" w:color="auto" w:fill="BFBFBF" w:themeFill="background1" w:themeFillShade="BF"/>
            <w:noWrap/>
            <w:vAlign w:val="center"/>
          </w:tcPr>
          <w:p w:rsidRPr="00575564" w:rsidR="00575564" w:rsidRDefault="00575564" w14:paraId="41FA602A" w14:textId="77777777">
            <w:pPr>
              <w:spacing w:after="0" w:line="240" w:lineRule="auto"/>
              <w:jc w:val="right"/>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$3.886.166</w:t>
            </w:r>
          </w:p>
        </w:tc>
        <w:tc>
          <w:tcPr>
            <w:tcW w:w="1514" w:type="dxa"/>
            <w:shd w:val="clear" w:color="auto" w:fill="BFBFBF" w:themeFill="background1" w:themeFillShade="BF"/>
            <w:noWrap/>
            <w:vAlign w:val="center"/>
          </w:tcPr>
          <w:p w:rsidRPr="00575564" w:rsidR="00575564" w:rsidRDefault="00575564" w14:paraId="3D48064C" w14:textId="77777777">
            <w:pPr>
              <w:spacing w:after="0" w:line="240" w:lineRule="auto"/>
              <w:jc w:val="right"/>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$3.673.383</w:t>
            </w:r>
          </w:p>
        </w:tc>
        <w:tc>
          <w:tcPr>
            <w:tcW w:w="1134" w:type="dxa"/>
            <w:shd w:val="clear" w:color="auto" w:fill="BFBFBF" w:themeFill="background1" w:themeFillShade="BF"/>
            <w:noWrap/>
            <w:vAlign w:val="center"/>
          </w:tcPr>
          <w:p w:rsidRPr="00575564" w:rsidR="00575564" w:rsidRDefault="00575564" w14:paraId="0F265FB0" w14:textId="77777777">
            <w:pPr>
              <w:spacing w:after="0" w:line="240" w:lineRule="auto"/>
              <w:jc w:val="right"/>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94,5%</w:t>
            </w:r>
          </w:p>
        </w:tc>
        <w:tc>
          <w:tcPr>
            <w:tcW w:w="1418" w:type="dxa"/>
            <w:shd w:val="clear" w:color="auto" w:fill="BFBFBF" w:themeFill="background1" w:themeFillShade="BF"/>
            <w:noWrap/>
            <w:vAlign w:val="center"/>
          </w:tcPr>
          <w:p w:rsidRPr="00575564" w:rsidR="00575564" w:rsidRDefault="00575564" w14:paraId="4E31A0C1" w14:textId="77777777">
            <w:pPr>
              <w:spacing w:after="0" w:line="240" w:lineRule="auto"/>
              <w:jc w:val="right"/>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$3.397.260</w:t>
            </w:r>
          </w:p>
        </w:tc>
        <w:tc>
          <w:tcPr>
            <w:tcW w:w="1134" w:type="dxa"/>
            <w:shd w:val="clear" w:color="auto" w:fill="BFBFBF" w:themeFill="background1" w:themeFillShade="BF"/>
            <w:noWrap/>
            <w:vAlign w:val="center"/>
          </w:tcPr>
          <w:p w:rsidRPr="00575564" w:rsidR="00575564" w:rsidRDefault="00575564" w14:paraId="60F0E055" w14:textId="77777777">
            <w:pPr>
              <w:spacing w:after="0" w:line="240" w:lineRule="auto"/>
              <w:jc w:val="right"/>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93,4%</w:t>
            </w:r>
          </w:p>
        </w:tc>
      </w:tr>
    </w:tbl>
    <w:p w:rsidRPr="00575564" w:rsidR="00575564" w:rsidP="00575564" w:rsidRDefault="1D1A994F" w14:paraId="532937A7" w14:textId="77777777">
      <w:pPr>
        <w:jc w:val="center"/>
        <w:rPr>
          <w:rFonts w:ascii="Verdana" w:hAnsi="Verdana"/>
          <w:sz w:val="18"/>
        </w:rPr>
      </w:pPr>
      <w:r w:rsidRPr="0FF05B1B">
        <w:rPr>
          <w:rFonts w:ascii="Verdana" w:hAnsi="Verdana"/>
          <w:sz w:val="18"/>
          <w:szCs w:val="18"/>
        </w:rPr>
        <w:t>Fuente: Elaboración propia del Grupo de Programación y Gestión Estratégica de Proyectos con información del SIIF Nación del Min Hacienda. Corte a 31 de diciembre de 2022.</w:t>
      </w:r>
    </w:p>
    <w:p w:rsidR="0FF05B1B" w:rsidP="006A0A13" w:rsidRDefault="0FF05B1B" w14:paraId="7673C16E" w14:textId="5A91AAF5">
      <w:pPr>
        <w:tabs>
          <w:tab w:val="left" w:pos="2700"/>
        </w:tabs>
        <w:spacing w:after="0" w:line="360" w:lineRule="auto"/>
        <w:jc w:val="both"/>
        <w:rPr>
          <w:rFonts w:ascii="Verdana" w:hAnsi="Verdana"/>
          <w:sz w:val="24"/>
          <w:szCs w:val="24"/>
        </w:rPr>
      </w:pPr>
    </w:p>
    <w:p w:rsidRPr="00575564" w:rsidR="00575564" w:rsidP="006A0A13" w:rsidRDefault="00575564" w14:paraId="6F48DA28" w14:textId="77777777">
      <w:pPr>
        <w:tabs>
          <w:tab w:val="left" w:pos="2700"/>
        </w:tabs>
        <w:spacing w:after="0" w:line="360" w:lineRule="auto"/>
        <w:jc w:val="both"/>
        <w:rPr>
          <w:rFonts w:ascii="Verdana" w:hAnsi="Verdana"/>
          <w:sz w:val="24"/>
          <w:szCs w:val="24"/>
        </w:rPr>
      </w:pPr>
      <w:r w:rsidRPr="00575564">
        <w:rPr>
          <w:rFonts w:ascii="Verdana" w:hAnsi="Verdana"/>
          <w:sz w:val="24"/>
          <w:szCs w:val="24"/>
        </w:rPr>
        <w:t xml:space="preserve">Para la vigencia 2022, los programas de Subsidios y Fondos registraron una apropiación vigente total de $3.886.166 millones, de los cuales se </w:t>
      </w:r>
      <w:r w:rsidRPr="00575564">
        <w:rPr>
          <w:rFonts w:ascii="Verdana" w:hAnsi="Verdana"/>
          <w:sz w:val="24"/>
          <w:szCs w:val="24"/>
        </w:rPr>
        <w:t xml:space="preserve">comprometieron recursos por $3.673.383 millones, equivalentes al 94,5% de ejecución en compromisos. </w:t>
      </w:r>
    </w:p>
    <w:p w:rsidR="00575564" w:rsidP="006A0A13" w:rsidRDefault="00575564" w14:paraId="58E61E3A" w14:textId="77777777">
      <w:pPr>
        <w:tabs>
          <w:tab w:val="left" w:pos="2700"/>
        </w:tabs>
        <w:spacing w:after="0" w:line="360" w:lineRule="auto"/>
        <w:jc w:val="both"/>
        <w:rPr>
          <w:rFonts w:ascii="Verdana" w:hAnsi="Verdana"/>
          <w:sz w:val="24"/>
          <w:szCs w:val="24"/>
        </w:rPr>
      </w:pPr>
    </w:p>
    <w:p w:rsidRPr="00575564" w:rsidR="00575564" w:rsidP="006A0A13" w:rsidRDefault="00575564" w14:paraId="0F226DEA" w14:textId="4B691E16">
      <w:pPr>
        <w:tabs>
          <w:tab w:val="left" w:pos="2700"/>
        </w:tabs>
        <w:spacing w:after="0" w:line="360" w:lineRule="auto"/>
        <w:jc w:val="both"/>
        <w:rPr>
          <w:rFonts w:ascii="Verdana" w:hAnsi="Verdana"/>
          <w:sz w:val="24"/>
          <w:szCs w:val="24"/>
        </w:rPr>
      </w:pPr>
      <w:r w:rsidRPr="30CF4445" w:rsidR="230081E1">
        <w:rPr>
          <w:rFonts w:ascii="Verdana" w:hAnsi="Verdana"/>
          <w:sz w:val="24"/>
          <w:szCs w:val="24"/>
        </w:rPr>
        <w:t>Dentro de los rubros</w:t>
      </w:r>
      <w:r w:rsidRPr="30CF4445" w:rsidR="6BD893FC">
        <w:rPr>
          <w:rFonts w:ascii="Verdana" w:hAnsi="Verdana"/>
          <w:sz w:val="24"/>
          <w:szCs w:val="24"/>
        </w:rPr>
        <w:t>,</w:t>
      </w:r>
      <w:r w:rsidRPr="30CF4445" w:rsidR="230081E1">
        <w:rPr>
          <w:rFonts w:ascii="Verdana" w:hAnsi="Verdana"/>
          <w:sz w:val="24"/>
          <w:szCs w:val="24"/>
        </w:rPr>
        <w:t xml:space="preserve"> los Subsidios de Energía</w:t>
      </w:r>
      <w:r w:rsidRPr="30CF4445" w:rsidR="230081E1">
        <w:rPr>
          <w:rFonts w:ascii="Verdana" w:hAnsi="Verdana"/>
          <w:sz w:val="24"/>
          <w:szCs w:val="24"/>
        </w:rPr>
        <w:t xml:space="preserve"> presentaron altos niveles de ejecución, registrando compromisos por $1.946.342 millones, equivalentes al 95,5% de su apropiación; los Subsidios de Gas por Red, se destacan toda vez que alcanzaron una ejecución del 100% en compromisos, evidenciando una ejecución plena de los recursos asignados.</w:t>
      </w:r>
    </w:p>
    <w:p w:rsidR="00575564" w:rsidP="006A0A13" w:rsidRDefault="00575564" w14:paraId="36DF717E" w14:textId="77777777">
      <w:pPr>
        <w:tabs>
          <w:tab w:val="left" w:pos="2700"/>
        </w:tabs>
        <w:spacing w:after="0" w:line="360" w:lineRule="auto"/>
        <w:jc w:val="both"/>
        <w:rPr>
          <w:rFonts w:ascii="Verdana" w:hAnsi="Verdana"/>
          <w:sz w:val="24"/>
          <w:szCs w:val="24"/>
        </w:rPr>
      </w:pPr>
    </w:p>
    <w:p w:rsidRPr="00575564" w:rsidR="00575564" w:rsidP="006A0A13" w:rsidRDefault="00575564" w14:paraId="3511AD31" w14:textId="77777777">
      <w:pPr>
        <w:tabs>
          <w:tab w:val="left" w:pos="2700"/>
        </w:tabs>
        <w:spacing w:after="0" w:line="360" w:lineRule="auto"/>
        <w:jc w:val="both"/>
        <w:rPr>
          <w:rFonts w:ascii="Verdana" w:hAnsi="Verdana"/>
          <w:sz w:val="24"/>
          <w:szCs w:val="24"/>
        </w:rPr>
      </w:pPr>
      <w:r w:rsidRPr="00575564">
        <w:rPr>
          <w:rFonts w:ascii="Verdana" w:hAnsi="Verdana"/>
          <w:sz w:val="24"/>
          <w:szCs w:val="24"/>
        </w:rPr>
        <w:t>Por su parte, el rubro de Otros Subsidios registró compromisos por $280.468 millones, alcanzando una ejecución del 86,6%, lo que refleja un comportamiento favorable en la gestión y ejecución de los recursos asignados.</w:t>
      </w:r>
    </w:p>
    <w:p w:rsidR="00575564" w:rsidP="006A0A13" w:rsidRDefault="00575564" w14:paraId="022DF00B" w14:textId="77777777">
      <w:pPr>
        <w:tabs>
          <w:tab w:val="left" w:pos="2700"/>
        </w:tabs>
        <w:spacing w:after="0" w:line="360" w:lineRule="auto"/>
        <w:jc w:val="both"/>
        <w:rPr>
          <w:rFonts w:ascii="Verdana" w:hAnsi="Verdana"/>
          <w:sz w:val="24"/>
          <w:szCs w:val="24"/>
        </w:rPr>
      </w:pPr>
    </w:p>
    <w:p w:rsidRPr="00575564" w:rsidR="00575564" w:rsidP="006A0A13" w:rsidRDefault="00575564" w14:paraId="375E9529" w14:textId="77777777">
      <w:pPr>
        <w:tabs>
          <w:tab w:val="left" w:pos="2700"/>
        </w:tabs>
        <w:spacing w:after="0" w:line="360" w:lineRule="auto"/>
        <w:jc w:val="both"/>
        <w:rPr>
          <w:rFonts w:ascii="Verdana" w:hAnsi="Verdana"/>
          <w:sz w:val="24"/>
          <w:szCs w:val="24"/>
        </w:rPr>
      </w:pPr>
      <w:r w:rsidRPr="00575564">
        <w:rPr>
          <w:rFonts w:ascii="Verdana" w:hAnsi="Verdana"/>
          <w:sz w:val="24"/>
          <w:szCs w:val="24"/>
        </w:rPr>
        <w:t>En contraste, el rubro de Fondos presentó el menor nivel de ejecución, con compromisos por $398.823 millones, equivalentes al 83,5% de su apropiación. Este comportamiento sugiere mayores tiempos asociados a los procesos de estructuración, formulación e implementación de proyectos financiados a través de estos recursos.</w:t>
      </w:r>
    </w:p>
    <w:p w:rsidR="00575564" w:rsidP="006A0A13" w:rsidRDefault="00575564" w14:paraId="428D2475" w14:textId="77777777">
      <w:pPr>
        <w:tabs>
          <w:tab w:val="left" w:pos="2700"/>
        </w:tabs>
        <w:spacing w:after="0" w:line="360" w:lineRule="auto"/>
        <w:rPr>
          <w:rFonts w:ascii="Verdana" w:hAnsi="Verdana"/>
        </w:rPr>
      </w:pPr>
    </w:p>
    <w:p w:rsidRPr="00575564" w:rsidR="00575564" w:rsidP="006A0A13" w:rsidRDefault="0154D97B" w14:paraId="3BBC6FD3" w14:textId="77777777">
      <w:pPr>
        <w:spacing w:after="0" w:line="360" w:lineRule="auto"/>
        <w:rPr>
          <w:rFonts w:ascii="Verdana" w:hAnsi="Verdana"/>
          <w:b/>
          <w:bCs/>
          <w:sz w:val="24"/>
          <w:szCs w:val="24"/>
        </w:rPr>
      </w:pPr>
      <w:r w:rsidRPr="180099B3">
        <w:rPr>
          <w:rFonts w:ascii="Verdana" w:hAnsi="Verdana"/>
          <w:b/>
          <w:bCs/>
          <w:sz w:val="24"/>
          <w:szCs w:val="24"/>
        </w:rPr>
        <w:t>Subsidios y fondos vigencia 2023</w:t>
      </w:r>
    </w:p>
    <w:p w:rsidR="180099B3" w:rsidP="006A0A13" w:rsidRDefault="180099B3" w14:paraId="471ACAE4" w14:textId="77777777">
      <w:pPr>
        <w:spacing w:after="0" w:line="360" w:lineRule="auto"/>
        <w:rPr>
          <w:rFonts w:ascii="Verdana" w:hAnsi="Verdana"/>
          <w:b/>
          <w:bCs/>
          <w:sz w:val="24"/>
          <w:szCs w:val="24"/>
        </w:rPr>
      </w:pPr>
    </w:p>
    <w:p w:rsidRPr="00575564" w:rsidR="00575564" w:rsidP="00575564" w:rsidRDefault="0154D97B" w14:paraId="69E6737A" w14:textId="77777777">
      <w:pPr>
        <w:spacing w:after="0" w:line="240" w:lineRule="auto"/>
        <w:jc w:val="center"/>
        <w:rPr>
          <w:rFonts w:ascii="Verdana" w:hAnsi="Verdana"/>
          <w:sz w:val="18"/>
          <w:szCs w:val="18"/>
        </w:rPr>
      </w:pPr>
      <w:r w:rsidRPr="180099B3">
        <w:rPr>
          <w:rFonts w:ascii="Verdana" w:hAnsi="Verdana"/>
          <w:sz w:val="18"/>
          <w:szCs w:val="18"/>
        </w:rPr>
        <w:t>Tabla</w:t>
      </w:r>
      <w:r w:rsidRPr="180099B3" w:rsidR="2471B690">
        <w:rPr>
          <w:rFonts w:ascii="Verdana" w:hAnsi="Verdana"/>
          <w:sz w:val="18"/>
          <w:szCs w:val="18"/>
        </w:rPr>
        <w:t xml:space="preserve"> No. 4</w:t>
      </w:r>
      <w:r w:rsidRPr="180099B3" w:rsidR="1E385266">
        <w:rPr>
          <w:rFonts w:ascii="Verdana" w:hAnsi="Verdana"/>
          <w:sz w:val="18"/>
          <w:szCs w:val="18"/>
        </w:rPr>
        <w:t>9</w:t>
      </w:r>
      <w:r w:rsidRPr="180099B3">
        <w:rPr>
          <w:rFonts w:ascii="Verdana" w:hAnsi="Verdana"/>
          <w:sz w:val="18"/>
          <w:szCs w:val="18"/>
        </w:rPr>
        <w:t>. Ejecución vigencia 2023 Subsidios y Fondos</w:t>
      </w: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975"/>
        <w:gridCol w:w="1480"/>
        <w:gridCol w:w="1485"/>
        <w:gridCol w:w="1487"/>
        <w:gridCol w:w="1003"/>
        <w:gridCol w:w="1397"/>
        <w:gridCol w:w="1001"/>
      </w:tblGrid>
      <w:tr w:rsidRPr="00575564" w:rsidR="00575564" w:rsidTr="00B06BDB" w14:paraId="2E9AFD61" w14:textId="77777777">
        <w:trPr>
          <w:trHeight w:val="323"/>
        </w:trPr>
        <w:tc>
          <w:tcPr>
            <w:tcW w:w="552" w:type="pct"/>
            <w:shd w:val="clear" w:color="auto" w:fill="A6A6A6" w:themeFill="background1" w:themeFillShade="A6"/>
            <w:noWrap/>
            <w:vAlign w:val="center"/>
            <w:hideMark/>
          </w:tcPr>
          <w:p w:rsidRPr="00575564" w:rsidR="00575564" w:rsidP="00B06BDB" w:rsidRDefault="00575564" w14:paraId="48E909AE" w14:textId="77777777">
            <w:pPr>
              <w:spacing w:after="0" w:line="240" w:lineRule="auto"/>
              <w:jc w:val="center"/>
              <w:rPr>
                <w:rFonts w:ascii="Verdana" w:hAnsi="Verdana" w:eastAsia="Times New Roman" w:cs="Calibri"/>
                <w:b/>
                <w:bCs/>
                <w:color w:val="000000"/>
                <w:sz w:val="16"/>
                <w:szCs w:val="16"/>
                <w:lang w:eastAsia="es-CO"/>
              </w:rPr>
            </w:pPr>
            <w:r w:rsidRPr="00575564">
              <w:rPr>
                <w:rFonts w:ascii="Verdana" w:hAnsi="Verdana" w:eastAsia="Times New Roman" w:cs="Calibri"/>
                <w:b/>
                <w:bCs/>
                <w:color w:val="000000"/>
                <w:sz w:val="16"/>
                <w:szCs w:val="16"/>
                <w:lang w:eastAsia="es-CO"/>
              </w:rPr>
              <w:t>Concepto</w:t>
            </w:r>
          </w:p>
        </w:tc>
        <w:tc>
          <w:tcPr>
            <w:tcW w:w="839" w:type="pct"/>
            <w:shd w:val="clear" w:color="auto" w:fill="A6A6A6" w:themeFill="background1" w:themeFillShade="A6"/>
            <w:noWrap/>
            <w:vAlign w:val="center"/>
            <w:hideMark/>
          </w:tcPr>
          <w:p w:rsidRPr="00575564" w:rsidR="00575564" w:rsidP="00B06BDB" w:rsidRDefault="00575564" w14:paraId="2F252371" w14:textId="77777777">
            <w:pPr>
              <w:spacing w:after="0" w:line="240" w:lineRule="auto"/>
              <w:jc w:val="center"/>
              <w:rPr>
                <w:rFonts w:ascii="Verdana" w:hAnsi="Verdana" w:eastAsia="Times New Roman" w:cs="Calibri"/>
                <w:b/>
                <w:bCs/>
                <w:color w:val="000000"/>
                <w:sz w:val="16"/>
                <w:szCs w:val="16"/>
                <w:lang w:eastAsia="es-CO"/>
              </w:rPr>
            </w:pPr>
            <w:r w:rsidRPr="00575564">
              <w:rPr>
                <w:rFonts w:ascii="Verdana" w:hAnsi="Verdana" w:eastAsia="Times New Roman" w:cs="Calibri"/>
                <w:b/>
                <w:bCs/>
                <w:color w:val="000000"/>
                <w:sz w:val="16"/>
                <w:szCs w:val="16"/>
                <w:lang w:eastAsia="es-CO"/>
              </w:rPr>
              <w:t>Apropiación</w:t>
            </w:r>
          </w:p>
          <w:p w:rsidRPr="00575564" w:rsidR="00575564" w:rsidP="00B06BDB" w:rsidRDefault="00575564" w14:paraId="3ECD679D" w14:textId="77777777">
            <w:pPr>
              <w:spacing w:after="0" w:line="240" w:lineRule="auto"/>
              <w:jc w:val="center"/>
              <w:rPr>
                <w:rFonts w:ascii="Verdana" w:hAnsi="Verdana" w:eastAsia="Times New Roman" w:cs="Calibri"/>
                <w:b/>
                <w:bCs/>
                <w:color w:val="000000"/>
                <w:sz w:val="16"/>
                <w:szCs w:val="16"/>
                <w:lang w:eastAsia="es-CO"/>
              </w:rPr>
            </w:pPr>
            <w:r w:rsidRPr="00575564">
              <w:rPr>
                <w:rFonts w:ascii="Verdana" w:hAnsi="Verdana" w:eastAsia="Times New Roman" w:cs="Calibri"/>
                <w:b/>
                <w:bCs/>
                <w:color w:val="000000"/>
                <w:sz w:val="16"/>
                <w:szCs w:val="16"/>
                <w:lang w:eastAsia="es-CO"/>
              </w:rPr>
              <w:t>Inicial</w:t>
            </w:r>
          </w:p>
        </w:tc>
        <w:tc>
          <w:tcPr>
            <w:tcW w:w="841" w:type="pct"/>
            <w:shd w:val="clear" w:color="auto" w:fill="A6A6A6" w:themeFill="background1" w:themeFillShade="A6"/>
            <w:noWrap/>
            <w:vAlign w:val="center"/>
            <w:hideMark/>
          </w:tcPr>
          <w:p w:rsidRPr="00575564" w:rsidR="00575564" w:rsidP="00B06BDB" w:rsidRDefault="00575564" w14:paraId="690CC966" w14:textId="77777777">
            <w:pPr>
              <w:spacing w:after="0" w:line="240" w:lineRule="auto"/>
              <w:jc w:val="center"/>
              <w:rPr>
                <w:rFonts w:ascii="Verdana" w:hAnsi="Verdana" w:eastAsia="Times New Roman" w:cs="Calibri"/>
                <w:b/>
                <w:bCs/>
                <w:color w:val="000000"/>
                <w:sz w:val="16"/>
                <w:szCs w:val="16"/>
                <w:lang w:eastAsia="es-CO"/>
              </w:rPr>
            </w:pPr>
            <w:r w:rsidRPr="00575564">
              <w:rPr>
                <w:rFonts w:ascii="Verdana" w:hAnsi="Verdana" w:eastAsia="Times New Roman" w:cs="Calibri"/>
                <w:b/>
                <w:bCs/>
                <w:color w:val="000000"/>
                <w:sz w:val="16"/>
                <w:szCs w:val="16"/>
                <w:lang w:eastAsia="es-CO"/>
              </w:rPr>
              <w:t>Apropiación</w:t>
            </w:r>
          </w:p>
          <w:p w:rsidRPr="00575564" w:rsidR="00575564" w:rsidP="00B06BDB" w:rsidRDefault="00575564" w14:paraId="2A974651" w14:textId="77777777">
            <w:pPr>
              <w:spacing w:after="0" w:line="240" w:lineRule="auto"/>
              <w:jc w:val="center"/>
              <w:rPr>
                <w:rFonts w:ascii="Verdana" w:hAnsi="Verdana" w:eastAsia="Times New Roman" w:cs="Calibri"/>
                <w:b/>
                <w:bCs/>
                <w:color w:val="000000"/>
                <w:sz w:val="16"/>
                <w:szCs w:val="16"/>
                <w:lang w:eastAsia="es-CO"/>
              </w:rPr>
            </w:pPr>
            <w:r w:rsidRPr="00575564">
              <w:rPr>
                <w:rFonts w:ascii="Verdana" w:hAnsi="Verdana" w:eastAsia="Times New Roman" w:cs="Calibri"/>
                <w:b/>
                <w:bCs/>
                <w:color w:val="000000"/>
                <w:sz w:val="16"/>
                <w:szCs w:val="16"/>
                <w:lang w:eastAsia="es-CO"/>
              </w:rPr>
              <w:t>Vigente</w:t>
            </w:r>
          </w:p>
        </w:tc>
        <w:tc>
          <w:tcPr>
            <w:tcW w:w="842" w:type="pct"/>
            <w:shd w:val="clear" w:color="auto" w:fill="A6A6A6" w:themeFill="background1" w:themeFillShade="A6"/>
            <w:noWrap/>
            <w:vAlign w:val="center"/>
            <w:hideMark/>
          </w:tcPr>
          <w:p w:rsidRPr="00575564" w:rsidR="00575564" w:rsidP="00B06BDB" w:rsidRDefault="00575564" w14:paraId="0871595C" w14:textId="77777777">
            <w:pPr>
              <w:spacing w:after="0" w:line="240" w:lineRule="auto"/>
              <w:jc w:val="center"/>
              <w:rPr>
                <w:rFonts w:ascii="Verdana" w:hAnsi="Verdana" w:eastAsia="Times New Roman" w:cs="Calibri"/>
                <w:b/>
                <w:bCs/>
                <w:color w:val="000000"/>
                <w:sz w:val="16"/>
                <w:szCs w:val="16"/>
                <w:lang w:eastAsia="es-CO"/>
              </w:rPr>
            </w:pPr>
            <w:r w:rsidRPr="00575564">
              <w:rPr>
                <w:rFonts w:ascii="Verdana" w:hAnsi="Verdana" w:eastAsia="Times New Roman" w:cs="Calibri"/>
                <w:b/>
                <w:bCs/>
                <w:color w:val="000000"/>
                <w:sz w:val="16"/>
                <w:szCs w:val="16"/>
                <w:lang w:eastAsia="es-CO"/>
              </w:rPr>
              <w:t>Compromisos</w:t>
            </w:r>
          </w:p>
        </w:tc>
        <w:tc>
          <w:tcPr>
            <w:tcW w:w="568" w:type="pct"/>
            <w:shd w:val="clear" w:color="auto" w:fill="A6A6A6" w:themeFill="background1" w:themeFillShade="A6"/>
            <w:noWrap/>
            <w:vAlign w:val="center"/>
            <w:hideMark/>
          </w:tcPr>
          <w:p w:rsidR="00B06BDB" w:rsidP="00B06BDB" w:rsidRDefault="00575564" w14:paraId="7F7DE048" w14:textId="77777777">
            <w:pPr>
              <w:spacing w:after="0" w:line="240" w:lineRule="auto"/>
              <w:jc w:val="center"/>
              <w:rPr>
                <w:rFonts w:ascii="Verdana" w:hAnsi="Verdana" w:eastAsia="Times New Roman" w:cs="Calibri"/>
                <w:b/>
                <w:bCs/>
                <w:color w:val="000000"/>
                <w:sz w:val="16"/>
                <w:szCs w:val="16"/>
                <w:lang w:eastAsia="es-CO"/>
              </w:rPr>
            </w:pPr>
            <w:r w:rsidRPr="00575564">
              <w:rPr>
                <w:rFonts w:ascii="Verdana" w:hAnsi="Verdana" w:eastAsia="Times New Roman" w:cs="Calibri"/>
                <w:b/>
                <w:bCs/>
                <w:color w:val="000000"/>
                <w:sz w:val="16"/>
                <w:szCs w:val="16"/>
                <w:lang w:eastAsia="es-CO"/>
              </w:rPr>
              <w:t>%</w:t>
            </w:r>
          </w:p>
          <w:p w:rsidRPr="00575564" w:rsidR="00575564" w:rsidP="00B06BDB" w:rsidRDefault="00575564" w14:paraId="1B121D66" w14:textId="77777777">
            <w:pPr>
              <w:spacing w:after="0" w:line="240" w:lineRule="auto"/>
              <w:jc w:val="center"/>
              <w:rPr>
                <w:rFonts w:ascii="Verdana" w:hAnsi="Verdana" w:eastAsia="Times New Roman" w:cs="Calibri"/>
                <w:b/>
                <w:bCs/>
                <w:color w:val="000000"/>
                <w:sz w:val="16"/>
                <w:szCs w:val="16"/>
                <w:lang w:eastAsia="es-CO"/>
              </w:rPr>
            </w:pPr>
            <w:r w:rsidRPr="00575564">
              <w:rPr>
                <w:rFonts w:ascii="Verdana" w:hAnsi="Verdana" w:eastAsia="Times New Roman" w:cs="Calibri"/>
                <w:b/>
                <w:bCs/>
                <w:color w:val="000000"/>
                <w:sz w:val="16"/>
                <w:szCs w:val="16"/>
                <w:lang w:eastAsia="es-CO"/>
              </w:rPr>
              <w:t>Ejecución</w:t>
            </w:r>
          </w:p>
        </w:tc>
        <w:tc>
          <w:tcPr>
            <w:tcW w:w="791" w:type="pct"/>
            <w:shd w:val="clear" w:color="auto" w:fill="A6A6A6" w:themeFill="background1" w:themeFillShade="A6"/>
            <w:noWrap/>
            <w:vAlign w:val="center"/>
            <w:hideMark/>
          </w:tcPr>
          <w:p w:rsidRPr="00575564" w:rsidR="00575564" w:rsidP="00B06BDB" w:rsidRDefault="00575564" w14:paraId="20FE939F" w14:textId="77777777">
            <w:pPr>
              <w:spacing w:after="0" w:line="240" w:lineRule="auto"/>
              <w:jc w:val="center"/>
              <w:rPr>
                <w:rFonts w:ascii="Verdana" w:hAnsi="Verdana" w:eastAsia="Times New Roman" w:cs="Calibri"/>
                <w:b/>
                <w:bCs/>
                <w:color w:val="000000"/>
                <w:sz w:val="16"/>
                <w:szCs w:val="16"/>
                <w:lang w:eastAsia="es-CO"/>
              </w:rPr>
            </w:pPr>
            <w:r w:rsidRPr="00575564">
              <w:rPr>
                <w:rFonts w:ascii="Verdana" w:hAnsi="Verdana" w:eastAsia="Times New Roman" w:cs="Calibri"/>
                <w:b/>
                <w:bCs/>
                <w:color w:val="000000"/>
                <w:sz w:val="16"/>
                <w:szCs w:val="16"/>
                <w:lang w:eastAsia="es-CO"/>
              </w:rPr>
              <w:t>Obligaciones</w:t>
            </w:r>
          </w:p>
        </w:tc>
        <w:tc>
          <w:tcPr>
            <w:tcW w:w="567" w:type="pct"/>
            <w:shd w:val="clear" w:color="auto" w:fill="A6A6A6" w:themeFill="background1" w:themeFillShade="A6"/>
            <w:noWrap/>
            <w:vAlign w:val="center"/>
            <w:hideMark/>
          </w:tcPr>
          <w:p w:rsidR="00B06BDB" w:rsidP="00B06BDB" w:rsidRDefault="00575564" w14:paraId="6171EBC3" w14:textId="77777777">
            <w:pPr>
              <w:spacing w:after="0" w:line="240" w:lineRule="auto"/>
              <w:ind w:right="-306"/>
              <w:jc w:val="center"/>
              <w:rPr>
                <w:rFonts w:ascii="Verdana" w:hAnsi="Verdana" w:eastAsia="Times New Roman" w:cs="Calibri"/>
                <w:b/>
                <w:bCs/>
                <w:color w:val="000000"/>
                <w:sz w:val="16"/>
                <w:szCs w:val="16"/>
                <w:lang w:eastAsia="es-CO"/>
              </w:rPr>
            </w:pPr>
            <w:r w:rsidRPr="00575564">
              <w:rPr>
                <w:rFonts w:ascii="Verdana" w:hAnsi="Verdana" w:eastAsia="Times New Roman" w:cs="Calibri"/>
                <w:b/>
                <w:bCs/>
                <w:color w:val="000000"/>
                <w:sz w:val="16"/>
                <w:szCs w:val="16"/>
                <w:lang w:eastAsia="es-CO"/>
              </w:rPr>
              <w:t>%</w:t>
            </w:r>
          </w:p>
          <w:p w:rsidRPr="00575564" w:rsidR="00575564" w:rsidP="00B06BDB" w:rsidRDefault="00575564" w14:paraId="6A6E9019" w14:textId="77777777">
            <w:pPr>
              <w:spacing w:after="0" w:line="240" w:lineRule="auto"/>
              <w:ind w:right="-306"/>
              <w:rPr>
                <w:rFonts w:ascii="Verdana" w:hAnsi="Verdana" w:eastAsia="Times New Roman" w:cs="Calibri"/>
                <w:b/>
                <w:bCs/>
                <w:color w:val="000000"/>
                <w:sz w:val="16"/>
                <w:szCs w:val="16"/>
                <w:lang w:eastAsia="es-CO"/>
              </w:rPr>
            </w:pPr>
            <w:r w:rsidRPr="00575564">
              <w:rPr>
                <w:rFonts w:ascii="Verdana" w:hAnsi="Verdana" w:eastAsia="Times New Roman" w:cs="Calibri"/>
                <w:b/>
                <w:bCs/>
                <w:color w:val="000000"/>
                <w:sz w:val="16"/>
                <w:szCs w:val="16"/>
                <w:lang w:eastAsia="es-CO"/>
              </w:rPr>
              <w:t>Ejecución</w:t>
            </w:r>
          </w:p>
        </w:tc>
      </w:tr>
      <w:tr w:rsidRPr="00575564" w:rsidR="00575564" w:rsidTr="00B06BDB" w14:paraId="7B1B6FA6" w14:textId="77777777">
        <w:trPr>
          <w:trHeight w:val="421"/>
        </w:trPr>
        <w:tc>
          <w:tcPr>
            <w:tcW w:w="552" w:type="pct"/>
            <w:vAlign w:val="center"/>
            <w:hideMark/>
          </w:tcPr>
          <w:p w:rsidRPr="00575564" w:rsidR="00575564" w:rsidP="00575564" w:rsidRDefault="00575564" w14:paraId="0AF7341B" w14:textId="77777777">
            <w:pPr>
              <w:spacing w:after="0" w:line="240" w:lineRule="auto"/>
              <w:jc w:val="center"/>
              <w:rPr>
                <w:rFonts w:ascii="Verdana" w:hAnsi="Verdana" w:eastAsia="Times New Roman" w:cs="Calibri"/>
                <w:color w:val="000000"/>
                <w:sz w:val="16"/>
                <w:szCs w:val="16"/>
                <w:lang w:eastAsia="es-CO"/>
              </w:rPr>
            </w:pPr>
            <w:r w:rsidRPr="00575564">
              <w:rPr>
                <w:rFonts w:ascii="Verdana" w:hAnsi="Verdana" w:eastAsia="Times New Roman" w:cs="Calibri"/>
                <w:color w:val="000000"/>
                <w:sz w:val="16"/>
                <w:szCs w:val="16"/>
                <w:lang w:eastAsia="es-CO"/>
              </w:rPr>
              <w:t>Subsidios de Energía</w:t>
            </w:r>
            <w:r w:rsidRPr="00575564">
              <w:rPr>
                <w:rFonts w:ascii="Arial" w:hAnsi="Arial" w:eastAsia="Times New Roman" w:cs="Arial"/>
                <w:color w:val="000000"/>
                <w:sz w:val="16"/>
                <w:szCs w:val="16"/>
                <w:lang w:eastAsia="es-CO"/>
              </w:rPr>
              <w:t>​</w:t>
            </w:r>
          </w:p>
        </w:tc>
        <w:tc>
          <w:tcPr>
            <w:tcW w:w="839" w:type="pct"/>
            <w:noWrap/>
            <w:vAlign w:val="center"/>
            <w:hideMark/>
          </w:tcPr>
          <w:p w:rsidRPr="00575564" w:rsidR="00575564" w:rsidP="00575564" w:rsidRDefault="00575564" w14:paraId="48969652"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$3.125.230</w:t>
            </w:r>
          </w:p>
        </w:tc>
        <w:tc>
          <w:tcPr>
            <w:tcW w:w="841" w:type="pct"/>
            <w:noWrap/>
            <w:vAlign w:val="center"/>
            <w:hideMark/>
          </w:tcPr>
          <w:p w:rsidRPr="00575564" w:rsidR="00575564" w:rsidP="00575564" w:rsidRDefault="00575564" w14:paraId="5411AF90"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$4.070.134</w:t>
            </w:r>
          </w:p>
        </w:tc>
        <w:tc>
          <w:tcPr>
            <w:tcW w:w="842" w:type="pct"/>
            <w:noWrap/>
            <w:vAlign w:val="center"/>
            <w:hideMark/>
          </w:tcPr>
          <w:p w:rsidRPr="00575564" w:rsidR="00575564" w:rsidP="00575564" w:rsidRDefault="00575564" w14:paraId="4589171B"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$4.070.036</w:t>
            </w:r>
          </w:p>
        </w:tc>
        <w:tc>
          <w:tcPr>
            <w:tcW w:w="568" w:type="pct"/>
            <w:noWrap/>
            <w:vAlign w:val="center"/>
            <w:hideMark/>
          </w:tcPr>
          <w:p w:rsidRPr="00575564" w:rsidR="00575564" w:rsidP="00575564" w:rsidRDefault="00575564" w14:paraId="374840F3"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100,0%</w:t>
            </w:r>
          </w:p>
        </w:tc>
        <w:tc>
          <w:tcPr>
            <w:tcW w:w="791" w:type="pct"/>
            <w:noWrap/>
            <w:vAlign w:val="center"/>
            <w:hideMark/>
          </w:tcPr>
          <w:p w:rsidRPr="00575564" w:rsidR="00575564" w:rsidP="00575564" w:rsidRDefault="00575564" w14:paraId="69F07175"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$4.069.336</w:t>
            </w:r>
          </w:p>
        </w:tc>
        <w:tc>
          <w:tcPr>
            <w:tcW w:w="567" w:type="pct"/>
            <w:noWrap/>
            <w:vAlign w:val="center"/>
            <w:hideMark/>
          </w:tcPr>
          <w:p w:rsidRPr="00575564" w:rsidR="00575564" w:rsidP="00575564" w:rsidRDefault="00575564" w14:paraId="483D84C6"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100,0%</w:t>
            </w:r>
          </w:p>
        </w:tc>
      </w:tr>
      <w:tr w:rsidRPr="00575564" w:rsidR="00575564" w:rsidTr="00B06BDB" w14:paraId="5BA522C4" w14:textId="77777777">
        <w:trPr>
          <w:trHeight w:val="421"/>
        </w:trPr>
        <w:tc>
          <w:tcPr>
            <w:tcW w:w="552" w:type="pct"/>
            <w:vAlign w:val="center"/>
            <w:hideMark/>
          </w:tcPr>
          <w:p w:rsidRPr="00575564" w:rsidR="00575564" w:rsidP="00575564" w:rsidRDefault="00575564" w14:paraId="66973DB2" w14:textId="77777777">
            <w:pPr>
              <w:spacing w:after="0" w:line="240" w:lineRule="auto"/>
              <w:jc w:val="center"/>
              <w:rPr>
                <w:rFonts w:ascii="Verdana" w:hAnsi="Verdana" w:eastAsia="Times New Roman" w:cs="Calibri"/>
                <w:color w:val="000000"/>
                <w:sz w:val="16"/>
                <w:szCs w:val="16"/>
                <w:lang w:eastAsia="es-CO"/>
              </w:rPr>
            </w:pPr>
            <w:r w:rsidRPr="00575564">
              <w:rPr>
                <w:rFonts w:ascii="Verdana" w:hAnsi="Verdana" w:eastAsia="Times New Roman" w:cs="Calibri"/>
                <w:color w:val="000000"/>
                <w:sz w:val="16"/>
                <w:szCs w:val="16"/>
                <w:lang w:eastAsia="es-CO"/>
              </w:rPr>
              <w:t>Subsidios Gas por Red</w:t>
            </w:r>
            <w:r w:rsidRPr="00575564">
              <w:rPr>
                <w:rFonts w:ascii="Arial" w:hAnsi="Arial" w:eastAsia="Times New Roman" w:cs="Arial"/>
                <w:color w:val="000000"/>
                <w:sz w:val="16"/>
                <w:szCs w:val="16"/>
                <w:lang w:eastAsia="es-CO"/>
              </w:rPr>
              <w:t>​</w:t>
            </w:r>
          </w:p>
        </w:tc>
        <w:tc>
          <w:tcPr>
            <w:tcW w:w="839" w:type="pct"/>
            <w:noWrap/>
            <w:vAlign w:val="center"/>
            <w:hideMark/>
          </w:tcPr>
          <w:p w:rsidRPr="00575564" w:rsidR="00575564" w:rsidP="00575564" w:rsidRDefault="00575564" w14:paraId="5326C262"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$989.482</w:t>
            </w:r>
          </w:p>
        </w:tc>
        <w:tc>
          <w:tcPr>
            <w:tcW w:w="841" w:type="pct"/>
            <w:noWrap/>
            <w:vAlign w:val="center"/>
            <w:hideMark/>
          </w:tcPr>
          <w:p w:rsidRPr="00575564" w:rsidR="00575564" w:rsidP="00575564" w:rsidRDefault="00575564" w14:paraId="10FC18F3"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$1.298.382</w:t>
            </w:r>
          </w:p>
        </w:tc>
        <w:tc>
          <w:tcPr>
            <w:tcW w:w="842" w:type="pct"/>
            <w:noWrap/>
            <w:vAlign w:val="center"/>
            <w:hideMark/>
          </w:tcPr>
          <w:p w:rsidRPr="00575564" w:rsidR="00575564" w:rsidP="00575564" w:rsidRDefault="00575564" w14:paraId="3255D29B"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$1.298.382</w:t>
            </w:r>
          </w:p>
        </w:tc>
        <w:tc>
          <w:tcPr>
            <w:tcW w:w="568" w:type="pct"/>
            <w:noWrap/>
            <w:vAlign w:val="center"/>
            <w:hideMark/>
          </w:tcPr>
          <w:p w:rsidRPr="00575564" w:rsidR="00575564" w:rsidP="00575564" w:rsidRDefault="00575564" w14:paraId="217D6438"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100,0%</w:t>
            </w:r>
          </w:p>
        </w:tc>
        <w:tc>
          <w:tcPr>
            <w:tcW w:w="791" w:type="pct"/>
            <w:noWrap/>
            <w:vAlign w:val="center"/>
            <w:hideMark/>
          </w:tcPr>
          <w:p w:rsidRPr="00575564" w:rsidR="00575564" w:rsidP="00575564" w:rsidRDefault="00575564" w14:paraId="627A7F00"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$1.205.804</w:t>
            </w:r>
          </w:p>
        </w:tc>
        <w:tc>
          <w:tcPr>
            <w:tcW w:w="567" w:type="pct"/>
            <w:noWrap/>
            <w:vAlign w:val="center"/>
            <w:hideMark/>
          </w:tcPr>
          <w:p w:rsidRPr="00575564" w:rsidR="00575564" w:rsidP="00575564" w:rsidRDefault="00575564" w14:paraId="106707DB"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92,9%</w:t>
            </w:r>
          </w:p>
        </w:tc>
      </w:tr>
      <w:tr w:rsidRPr="00575564" w:rsidR="00575564" w:rsidTr="00B06BDB" w14:paraId="5BC8DA7B" w14:textId="77777777">
        <w:trPr>
          <w:trHeight w:val="335"/>
        </w:trPr>
        <w:tc>
          <w:tcPr>
            <w:tcW w:w="552" w:type="pct"/>
            <w:vAlign w:val="center"/>
            <w:hideMark/>
          </w:tcPr>
          <w:p w:rsidRPr="00575564" w:rsidR="00575564" w:rsidP="00575564" w:rsidRDefault="00575564" w14:paraId="69339A9C" w14:textId="77777777">
            <w:pPr>
              <w:spacing w:after="0" w:line="240" w:lineRule="auto"/>
              <w:jc w:val="center"/>
              <w:rPr>
                <w:rFonts w:ascii="Verdana" w:hAnsi="Verdana" w:eastAsia="Times New Roman" w:cs="Calibri"/>
                <w:color w:val="000000"/>
                <w:sz w:val="16"/>
                <w:szCs w:val="16"/>
                <w:lang w:eastAsia="es-CO"/>
              </w:rPr>
            </w:pPr>
            <w:r w:rsidRPr="00575564">
              <w:rPr>
                <w:rFonts w:ascii="Verdana" w:hAnsi="Verdana" w:eastAsia="Times New Roman" w:cs="Calibri"/>
                <w:color w:val="000000"/>
                <w:sz w:val="16"/>
                <w:szCs w:val="16"/>
                <w:lang w:eastAsia="es-CO"/>
              </w:rPr>
              <w:t>Otros Subsidios</w:t>
            </w:r>
            <w:r w:rsidRPr="00575564">
              <w:rPr>
                <w:rFonts w:ascii="Arial" w:hAnsi="Arial" w:eastAsia="Times New Roman" w:cs="Arial"/>
                <w:color w:val="000000"/>
                <w:sz w:val="16"/>
                <w:szCs w:val="16"/>
                <w:lang w:eastAsia="es-CO"/>
              </w:rPr>
              <w:t>​</w:t>
            </w:r>
          </w:p>
        </w:tc>
        <w:tc>
          <w:tcPr>
            <w:tcW w:w="839" w:type="pct"/>
            <w:noWrap/>
            <w:vAlign w:val="center"/>
            <w:hideMark/>
          </w:tcPr>
          <w:p w:rsidRPr="00575564" w:rsidR="00575564" w:rsidP="00575564" w:rsidRDefault="00575564" w14:paraId="7BBF319A"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$366.225</w:t>
            </w:r>
          </w:p>
        </w:tc>
        <w:tc>
          <w:tcPr>
            <w:tcW w:w="841" w:type="pct"/>
            <w:noWrap/>
            <w:vAlign w:val="center"/>
            <w:hideMark/>
          </w:tcPr>
          <w:p w:rsidRPr="00575564" w:rsidR="00575564" w:rsidP="00575564" w:rsidRDefault="00575564" w14:paraId="70DEE677"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$358.515</w:t>
            </w:r>
          </w:p>
        </w:tc>
        <w:tc>
          <w:tcPr>
            <w:tcW w:w="842" w:type="pct"/>
            <w:noWrap/>
            <w:vAlign w:val="center"/>
            <w:hideMark/>
          </w:tcPr>
          <w:p w:rsidRPr="00575564" w:rsidR="00575564" w:rsidP="00575564" w:rsidRDefault="00575564" w14:paraId="323C5772"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$323.559</w:t>
            </w:r>
          </w:p>
        </w:tc>
        <w:tc>
          <w:tcPr>
            <w:tcW w:w="568" w:type="pct"/>
            <w:noWrap/>
            <w:vAlign w:val="center"/>
            <w:hideMark/>
          </w:tcPr>
          <w:p w:rsidRPr="00575564" w:rsidR="00575564" w:rsidP="00575564" w:rsidRDefault="00575564" w14:paraId="4FF37FC3"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90,2%</w:t>
            </w:r>
          </w:p>
        </w:tc>
        <w:tc>
          <w:tcPr>
            <w:tcW w:w="791" w:type="pct"/>
            <w:noWrap/>
            <w:vAlign w:val="center"/>
            <w:hideMark/>
          </w:tcPr>
          <w:p w:rsidRPr="00575564" w:rsidR="00575564" w:rsidP="00575564" w:rsidRDefault="00575564" w14:paraId="4B794364"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$294.254</w:t>
            </w:r>
          </w:p>
        </w:tc>
        <w:tc>
          <w:tcPr>
            <w:tcW w:w="567" w:type="pct"/>
            <w:noWrap/>
            <w:vAlign w:val="center"/>
            <w:hideMark/>
          </w:tcPr>
          <w:p w:rsidRPr="00575564" w:rsidR="00575564" w:rsidP="00575564" w:rsidRDefault="00575564" w14:paraId="061B2E38"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82,1%</w:t>
            </w:r>
          </w:p>
        </w:tc>
      </w:tr>
      <w:tr w:rsidRPr="00575564" w:rsidR="00575564" w:rsidTr="00B06BDB" w14:paraId="26531954" w14:textId="77777777">
        <w:trPr>
          <w:trHeight w:val="335"/>
        </w:trPr>
        <w:tc>
          <w:tcPr>
            <w:tcW w:w="552" w:type="pct"/>
            <w:vAlign w:val="center"/>
            <w:hideMark/>
          </w:tcPr>
          <w:p w:rsidRPr="00575564" w:rsidR="00575564" w:rsidP="00575564" w:rsidRDefault="00575564" w14:paraId="43728D1B" w14:textId="77777777">
            <w:pPr>
              <w:spacing w:after="0" w:line="240" w:lineRule="auto"/>
              <w:jc w:val="center"/>
              <w:rPr>
                <w:rFonts w:ascii="Verdana" w:hAnsi="Verdana" w:eastAsia="Times New Roman" w:cs="Calibri"/>
                <w:color w:val="000000"/>
                <w:sz w:val="16"/>
                <w:szCs w:val="16"/>
                <w:lang w:eastAsia="es-CO"/>
              </w:rPr>
            </w:pPr>
            <w:r w:rsidRPr="00575564">
              <w:rPr>
                <w:rFonts w:ascii="Verdana" w:hAnsi="Verdana" w:eastAsia="Times New Roman" w:cs="Calibri"/>
                <w:color w:val="000000"/>
                <w:sz w:val="16"/>
                <w:szCs w:val="16"/>
                <w:lang w:eastAsia="es-CO"/>
              </w:rPr>
              <w:t>Fondos</w:t>
            </w:r>
            <w:r w:rsidRPr="00575564">
              <w:rPr>
                <w:rFonts w:ascii="Arial" w:hAnsi="Arial" w:eastAsia="Times New Roman" w:cs="Arial"/>
                <w:color w:val="000000"/>
                <w:sz w:val="16"/>
                <w:szCs w:val="16"/>
                <w:lang w:eastAsia="es-CO"/>
              </w:rPr>
              <w:t>​</w:t>
            </w:r>
          </w:p>
        </w:tc>
        <w:tc>
          <w:tcPr>
            <w:tcW w:w="839" w:type="pct"/>
            <w:noWrap/>
            <w:vAlign w:val="center"/>
            <w:hideMark/>
          </w:tcPr>
          <w:p w:rsidRPr="00575564" w:rsidR="00575564" w:rsidP="00575564" w:rsidRDefault="00575564" w14:paraId="1C9C1848"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$460.984</w:t>
            </w:r>
          </w:p>
        </w:tc>
        <w:tc>
          <w:tcPr>
            <w:tcW w:w="841" w:type="pct"/>
            <w:noWrap/>
            <w:vAlign w:val="center"/>
            <w:hideMark/>
          </w:tcPr>
          <w:p w:rsidRPr="00575564" w:rsidR="00575564" w:rsidP="00575564" w:rsidRDefault="00575564" w14:paraId="2B5C42F9"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$704.396</w:t>
            </w:r>
          </w:p>
        </w:tc>
        <w:tc>
          <w:tcPr>
            <w:tcW w:w="842" w:type="pct"/>
            <w:noWrap/>
            <w:vAlign w:val="center"/>
            <w:hideMark/>
          </w:tcPr>
          <w:p w:rsidRPr="00575564" w:rsidR="00575564" w:rsidP="00575564" w:rsidRDefault="00575564" w14:paraId="0D820282"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$403.582</w:t>
            </w:r>
          </w:p>
        </w:tc>
        <w:tc>
          <w:tcPr>
            <w:tcW w:w="568" w:type="pct"/>
            <w:noWrap/>
            <w:vAlign w:val="center"/>
            <w:hideMark/>
          </w:tcPr>
          <w:p w:rsidRPr="00575564" w:rsidR="00575564" w:rsidP="00575564" w:rsidRDefault="00575564" w14:paraId="4FA6E39B"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57,3%</w:t>
            </w:r>
          </w:p>
        </w:tc>
        <w:tc>
          <w:tcPr>
            <w:tcW w:w="791" w:type="pct"/>
            <w:noWrap/>
            <w:vAlign w:val="center"/>
            <w:hideMark/>
          </w:tcPr>
          <w:p w:rsidRPr="00575564" w:rsidR="00575564" w:rsidP="00575564" w:rsidRDefault="00575564" w14:paraId="50769BDB"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$273.211</w:t>
            </w:r>
          </w:p>
        </w:tc>
        <w:tc>
          <w:tcPr>
            <w:tcW w:w="567" w:type="pct"/>
            <w:noWrap/>
            <w:vAlign w:val="center"/>
            <w:hideMark/>
          </w:tcPr>
          <w:p w:rsidRPr="00575564" w:rsidR="00575564" w:rsidP="00575564" w:rsidRDefault="00575564" w14:paraId="714605A2"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38,8%</w:t>
            </w:r>
          </w:p>
        </w:tc>
      </w:tr>
      <w:tr w:rsidRPr="00575564" w:rsidR="00575564" w:rsidTr="00B06BDB" w14:paraId="51A1F7CB" w14:textId="77777777">
        <w:trPr>
          <w:trHeight w:val="327"/>
        </w:trPr>
        <w:tc>
          <w:tcPr>
            <w:tcW w:w="552" w:type="pct"/>
            <w:shd w:val="clear" w:color="auto" w:fill="BFBFBF" w:themeFill="background1" w:themeFillShade="BF"/>
            <w:vAlign w:val="center"/>
            <w:hideMark/>
          </w:tcPr>
          <w:p w:rsidRPr="00575564" w:rsidR="00575564" w:rsidP="00575564" w:rsidRDefault="00575564" w14:paraId="5CFF808F" w14:textId="77777777">
            <w:pPr>
              <w:spacing w:after="0" w:line="240" w:lineRule="auto"/>
              <w:jc w:val="center"/>
              <w:rPr>
                <w:rFonts w:ascii="Verdana" w:hAnsi="Verdana"/>
                <w:b/>
                <w:bCs/>
                <w:sz w:val="16"/>
                <w:szCs w:val="16"/>
              </w:rPr>
            </w:pPr>
            <w:r w:rsidRPr="00575564">
              <w:rPr>
                <w:rFonts w:ascii="Verdana" w:hAnsi="Verdana"/>
                <w:b/>
                <w:bCs/>
                <w:sz w:val="16"/>
                <w:szCs w:val="16"/>
              </w:rPr>
              <w:t>Total</w:t>
            </w:r>
          </w:p>
        </w:tc>
        <w:tc>
          <w:tcPr>
            <w:tcW w:w="839" w:type="pct"/>
            <w:shd w:val="clear" w:color="auto" w:fill="BFBFBF" w:themeFill="background1" w:themeFillShade="BF"/>
            <w:noWrap/>
            <w:vAlign w:val="center"/>
            <w:hideMark/>
          </w:tcPr>
          <w:p w:rsidRPr="00575564" w:rsidR="00575564" w:rsidP="00575564" w:rsidRDefault="00575564" w14:paraId="50F3CE02" w14:textId="77777777">
            <w:pPr>
              <w:spacing w:after="0" w:line="240" w:lineRule="auto"/>
              <w:jc w:val="center"/>
              <w:rPr>
                <w:rFonts w:ascii="Verdana" w:hAnsi="Verdana"/>
                <w:sz w:val="16"/>
                <w:szCs w:val="16"/>
              </w:rPr>
            </w:pPr>
            <w:r w:rsidRPr="00575564">
              <w:rPr>
                <w:rFonts w:ascii="Verdana" w:hAnsi="Verdana"/>
                <w:sz w:val="16"/>
                <w:szCs w:val="16"/>
              </w:rPr>
              <w:t>$4.941.921</w:t>
            </w:r>
          </w:p>
        </w:tc>
        <w:tc>
          <w:tcPr>
            <w:tcW w:w="841" w:type="pct"/>
            <w:shd w:val="clear" w:color="auto" w:fill="BFBFBF" w:themeFill="background1" w:themeFillShade="BF"/>
            <w:noWrap/>
            <w:vAlign w:val="center"/>
            <w:hideMark/>
          </w:tcPr>
          <w:p w:rsidRPr="00575564" w:rsidR="00575564" w:rsidP="00575564" w:rsidRDefault="00575564" w14:paraId="3432F752" w14:textId="77777777">
            <w:pPr>
              <w:spacing w:after="0" w:line="240" w:lineRule="auto"/>
              <w:jc w:val="center"/>
              <w:rPr>
                <w:rFonts w:ascii="Verdana" w:hAnsi="Verdana"/>
                <w:sz w:val="16"/>
                <w:szCs w:val="16"/>
              </w:rPr>
            </w:pPr>
            <w:r w:rsidRPr="00575564">
              <w:rPr>
                <w:rFonts w:ascii="Verdana" w:hAnsi="Verdana"/>
                <w:sz w:val="16"/>
                <w:szCs w:val="16"/>
              </w:rPr>
              <w:t>$6.431.428</w:t>
            </w:r>
          </w:p>
        </w:tc>
        <w:tc>
          <w:tcPr>
            <w:tcW w:w="842" w:type="pct"/>
            <w:shd w:val="clear" w:color="auto" w:fill="BFBFBF" w:themeFill="background1" w:themeFillShade="BF"/>
            <w:noWrap/>
            <w:vAlign w:val="center"/>
            <w:hideMark/>
          </w:tcPr>
          <w:p w:rsidRPr="00575564" w:rsidR="00575564" w:rsidP="00575564" w:rsidRDefault="00575564" w14:paraId="2246E167" w14:textId="77777777">
            <w:pPr>
              <w:spacing w:after="0" w:line="240" w:lineRule="auto"/>
              <w:jc w:val="center"/>
              <w:rPr>
                <w:rFonts w:ascii="Verdana" w:hAnsi="Verdana"/>
                <w:sz w:val="16"/>
                <w:szCs w:val="16"/>
              </w:rPr>
            </w:pPr>
            <w:r w:rsidRPr="00575564">
              <w:rPr>
                <w:rFonts w:ascii="Verdana" w:hAnsi="Verdana"/>
                <w:sz w:val="16"/>
                <w:szCs w:val="16"/>
              </w:rPr>
              <w:t>$6.095.559</w:t>
            </w:r>
          </w:p>
        </w:tc>
        <w:tc>
          <w:tcPr>
            <w:tcW w:w="568" w:type="pct"/>
            <w:shd w:val="clear" w:color="auto" w:fill="BFBFBF" w:themeFill="background1" w:themeFillShade="BF"/>
            <w:noWrap/>
            <w:vAlign w:val="center"/>
            <w:hideMark/>
          </w:tcPr>
          <w:p w:rsidRPr="00575564" w:rsidR="00575564" w:rsidP="00575564" w:rsidRDefault="00575564" w14:paraId="1441F361" w14:textId="77777777">
            <w:pPr>
              <w:spacing w:after="0" w:line="240" w:lineRule="auto"/>
              <w:jc w:val="center"/>
              <w:rPr>
                <w:rFonts w:ascii="Verdana" w:hAnsi="Verdana"/>
                <w:sz w:val="16"/>
                <w:szCs w:val="16"/>
              </w:rPr>
            </w:pPr>
            <w:r w:rsidRPr="00575564">
              <w:rPr>
                <w:rFonts w:ascii="Verdana" w:hAnsi="Verdana"/>
                <w:sz w:val="16"/>
                <w:szCs w:val="16"/>
              </w:rPr>
              <w:t>94,7%</w:t>
            </w:r>
          </w:p>
        </w:tc>
        <w:tc>
          <w:tcPr>
            <w:tcW w:w="791" w:type="pct"/>
            <w:shd w:val="clear" w:color="auto" w:fill="BFBFBF" w:themeFill="background1" w:themeFillShade="BF"/>
            <w:noWrap/>
            <w:vAlign w:val="center"/>
            <w:hideMark/>
          </w:tcPr>
          <w:p w:rsidRPr="00575564" w:rsidR="00575564" w:rsidP="00575564" w:rsidRDefault="00575564" w14:paraId="4122843D" w14:textId="77777777">
            <w:pPr>
              <w:spacing w:after="0" w:line="240" w:lineRule="auto"/>
              <w:jc w:val="center"/>
              <w:rPr>
                <w:rFonts w:ascii="Verdana" w:hAnsi="Verdana"/>
                <w:sz w:val="16"/>
                <w:szCs w:val="16"/>
              </w:rPr>
            </w:pPr>
            <w:r w:rsidRPr="00575564">
              <w:rPr>
                <w:rFonts w:ascii="Verdana" w:hAnsi="Verdana"/>
                <w:sz w:val="16"/>
                <w:szCs w:val="16"/>
              </w:rPr>
              <w:t>$5.842.606</w:t>
            </w:r>
          </w:p>
        </w:tc>
        <w:tc>
          <w:tcPr>
            <w:tcW w:w="567" w:type="pct"/>
            <w:shd w:val="clear" w:color="auto" w:fill="BFBFBF" w:themeFill="background1" w:themeFillShade="BF"/>
            <w:noWrap/>
            <w:vAlign w:val="center"/>
            <w:hideMark/>
          </w:tcPr>
          <w:p w:rsidRPr="00575564" w:rsidR="00575564" w:rsidP="00575564" w:rsidRDefault="00575564" w14:paraId="6437F43F" w14:textId="77777777">
            <w:pPr>
              <w:spacing w:after="0" w:line="240" w:lineRule="auto"/>
              <w:jc w:val="center"/>
              <w:rPr>
                <w:rFonts w:ascii="Verdana" w:hAnsi="Verdana"/>
                <w:sz w:val="16"/>
                <w:szCs w:val="16"/>
              </w:rPr>
            </w:pPr>
            <w:r w:rsidRPr="00575564">
              <w:rPr>
                <w:rFonts w:ascii="Verdana" w:hAnsi="Verdana"/>
                <w:sz w:val="16"/>
                <w:szCs w:val="16"/>
              </w:rPr>
              <w:t>90,8%</w:t>
            </w:r>
          </w:p>
        </w:tc>
      </w:tr>
    </w:tbl>
    <w:p w:rsidRPr="00575564" w:rsidR="00575564" w:rsidP="00575564" w:rsidRDefault="00575564" w14:paraId="4DABF798" w14:textId="0603CE7A">
      <w:pPr>
        <w:spacing w:after="0" w:line="240" w:lineRule="auto"/>
        <w:jc w:val="center"/>
        <w:rPr>
          <w:rFonts w:ascii="Verdana" w:hAnsi="Verdana"/>
          <w:sz w:val="18"/>
          <w:szCs w:val="18"/>
        </w:rPr>
      </w:pPr>
      <w:r w:rsidRPr="30CF4445" w:rsidR="230081E1">
        <w:rPr>
          <w:rFonts w:ascii="Verdana" w:hAnsi="Verdana"/>
          <w:sz w:val="18"/>
          <w:szCs w:val="18"/>
        </w:rPr>
        <w:t>Fuente: Elaboración propia del Grupo de Programación y Gestión Estratégica de Proyectos con información del SIIF Nación del MinHacienda. Corte a 31 de diciembre de 2023.</w:t>
      </w:r>
    </w:p>
    <w:p w:rsidR="00575564" w:rsidP="006A0A13" w:rsidRDefault="00575564" w14:paraId="59465BAF" w14:textId="77777777">
      <w:pPr>
        <w:tabs>
          <w:tab w:val="left" w:pos="2700"/>
        </w:tabs>
        <w:spacing w:after="0" w:line="360" w:lineRule="auto"/>
        <w:rPr>
          <w:rFonts w:ascii="Verdana" w:hAnsi="Verdana"/>
        </w:rPr>
      </w:pPr>
    </w:p>
    <w:p w:rsidRPr="00575564" w:rsidR="00575564" w:rsidP="006A0A13" w:rsidRDefault="00575564" w14:paraId="7B381DC4" w14:textId="77777777">
      <w:pPr>
        <w:tabs>
          <w:tab w:val="left" w:pos="2700"/>
        </w:tabs>
        <w:spacing w:after="0" w:line="360" w:lineRule="auto"/>
        <w:jc w:val="both"/>
        <w:rPr>
          <w:rFonts w:ascii="Verdana" w:hAnsi="Verdana"/>
          <w:sz w:val="24"/>
          <w:szCs w:val="24"/>
        </w:rPr>
      </w:pPr>
      <w:r w:rsidRPr="00575564">
        <w:rPr>
          <w:rFonts w:ascii="Verdana" w:hAnsi="Verdana"/>
          <w:sz w:val="24"/>
          <w:szCs w:val="24"/>
        </w:rPr>
        <w:t>Para la vigencia 2023 se efectuaron modificaciones presupuestales que incluyeron reducciones por valor de $7.710 millones y adiciones por $1.497.016 millones. Como resultado de estos ajustes, los programas de Subsidios y Fondos registraron una apropiación vigente total de $6.431.428 millones, de los cuales se comprometieron recursos por $6.095.559 millones, alcanzando una ejecución en compromisos del 94,7%.</w:t>
      </w:r>
    </w:p>
    <w:p w:rsidR="00575564" w:rsidP="006A0A13" w:rsidRDefault="00575564" w14:paraId="32DAD633" w14:textId="77777777">
      <w:pPr>
        <w:tabs>
          <w:tab w:val="left" w:pos="2700"/>
        </w:tabs>
        <w:spacing w:after="0" w:line="360" w:lineRule="auto"/>
        <w:jc w:val="both"/>
        <w:rPr>
          <w:rFonts w:ascii="Verdana" w:hAnsi="Verdana"/>
          <w:sz w:val="24"/>
          <w:szCs w:val="24"/>
        </w:rPr>
      </w:pPr>
    </w:p>
    <w:p w:rsidRPr="00575564" w:rsidR="00575564" w:rsidP="006A0A13" w:rsidRDefault="00575564" w14:paraId="10582EE2" w14:textId="77777777">
      <w:pPr>
        <w:tabs>
          <w:tab w:val="left" w:pos="2700"/>
        </w:tabs>
        <w:spacing w:after="0" w:line="360" w:lineRule="auto"/>
        <w:jc w:val="both"/>
        <w:rPr>
          <w:rFonts w:ascii="Verdana" w:hAnsi="Verdana"/>
          <w:sz w:val="24"/>
          <w:szCs w:val="24"/>
        </w:rPr>
      </w:pPr>
      <w:r w:rsidRPr="00575564">
        <w:rPr>
          <w:rFonts w:ascii="Verdana" w:hAnsi="Verdana"/>
          <w:sz w:val="24"/>
          <w:szCs w:val="24"/>
        </w:rPr>
        <w:t>Los subsidios de energía y los subsidios de gas por red presentaron niveles de ejecución del 100% en compromisos, lo que evidencia una alta capacidad de ejecución y una adecuada continuidad en la atención de los esquemas tarifarios. Por su parte, el rubro de otros subsidios registró compromisos por $323.559 millones, alcanzando una ejecución del 90,2%, reflejando un desempeño favorable en la asignación y ejecución de estos recursos.</w:t>
      </w:r>
    </w:p>
    <w:p w:rsidR="00575564" w:rsidP="006A0A13" w:rsidRDefault="00575564" w14:paraId="220B4B1A" w14:textId="77777777">
      <w:pPr>
        <w:tabs>
          <w:tab w:val="left" w:pos="2700"/>
        </w:tabs>
        <w:spacing w:after="0" w:line="360" w:lineRule="auto"/>
        <w:jc w:val="both"/>
        <w:rPr>
          <w:rFonts w:ascii="Verdana" w:hAnsi="Verdana"/>
          <w:sz w:val="24"/>
          <w:szCs w:val="24"/>
        </w:rPr>
      </w:pPr>
    </w:p>
    <w:p w:rsidR="00575564" w:rsidP="006A0A13" w:rsidRDefault="00575564" w14:paraId="264CE45C" w14:textId="77777777">
      <w:pPr>
        <w:tabs>
          <w:tab w:val="left" w:pos="2700"/>
        </w:tabs>
        <w:spacing w:after="0" w:line="360" w:lineRule="auto"/>
        <w:jc w:val="both"/>
        <w:rPr>
          <w:rFonts w:ascii="Verdana" w:hAnsi="Verdana"/>
          <w:sz w:val="24"/>
          <w:szCs w:val="24"/>
        </w:rPr>
      </w:pPr>
      <w:r w:rsidRPr="00575564">
        <w:rPr>
          <w:rFonts w:ascii="Verdana" w:hAnsi="Verdana"/>
          <w:sz w:val="24"/>
          <w:szCs w:val="24"/>
        </w:rPr>
        <w:t>En contraste, el rubro de fondos alcanzó una ejecución del 57,3%, con compromisos por $403.582 millones. Este comportamiento se asocia a que dichos recursos suelen estar sujetos a procesos de estructuración técnica, formulación de proyectos y cronogramas de implementación de mayor complejidad, lo que puede incidir en el ritmo de su ejecución presupuestal.</w:t>
      </w:r>
    </w:p>
    <w:p w:rsidRPr="00575564" w:rsidR="00575564" w:rsidP="006A0A13" w:rsidRDefault="00575564" w14:paraId="6EE174F0" w14:textId="77777777">
      <w:pPr>
        <w:tabs>
          <w:tab w:val="left" w:pos="2700"/>
        </w:tabs>
        <w:spacing w:after="0" w:line="360" w:lineRule="auto"/>
        <w:jc w:val="both"/>
        <w:rPr>
          <w:rFonts w:ascii="Verdana" w:hAnsi="Verdana"/>
          <w:sz w:val="24"/>
          <w:szCs w:val="24"/>
        </w:rPr>
      </w:pPr>
    </w:p>
    <w:p w:rsidRPr="00575564" w:rsidR="00575564" w:rsidP="006A0A13" w:rsidRDefault="0154D97B" w14:paraId="5A4FFB05" w14:textId="77777777">
      <w:pPr>
        <w:spacing w:after="0" w:line="360" w:lineRule="auto"/>
        <w:rPr>
          <w:rFonts w:ascii="Verdana" w:hAnsi="Verdana" w:eastAsiaTheme="majorEastAsia" w:cstheme="majorBidi"/>
          <w:b/>
          <w:bCs/>
          <w:sz w:val="24"/>
          <w:szCs w:val="24"/>
        </w:rPr>
      </w:pPr>
      <w:r w:rsidRPr="180099B3">
        <w:rPr>
          <w:rFonts w:ascii="Verdana" w:hAnsi="Verdana" w:eastAsiaTheme="majorEastAsia" w:cstheme="majorBidi"/>
          <w:b/>
          <w:bCs/>
          <w:sz w:val="24"/>
          <w:szCs w:val="24"/>
        </w:rPr>
        <w:t>Subsidios y fondos vigencia 2024</w:t>
      </w:r>
    </w:p>
    <w:p w:rsidR="180099B3" w:rsidP="006A0A13" w:rsidRDefault="180099B3" w14:paraId="495DD4F2" w14:textId="77777777">
      <w:pPr>
        <w:spacing w:after="0" w:line="360" w:lineRule="auto"/>
        <w:rPr>
          <w:rFonts w:ascii="Verdana" w:hAnsi="Verdana" w:eastAsiaTheme="majorEastAsia" w:cstheme="majorBidi"/>
          <w:b/>
          <w:bCs/>
          <w:sz w:val="24"/>
          <w:szCs w:val="24"/>
        </w:rPr>
      </w:pPr>
    </w:p>
    <w:p w:rsidRPr="00B06BDB" w:rsidR="00575564" w:rsidP="00575564" w:rsidRDefault="0154D97B" w14:paraId="2FBF117F" w14:textId="77777777">
      <w:pPr>
        <w:spacing w:after="0" w:line="240" w:lineRule="auto"/>
        <w:jc w:val="center"/>
        <w:rPr>
          <w:rFonts w:ascii="Verdana" w:hAnsi="Verdana"/>
          <w:sz w:val="18"/>
          <w:szCs w:val="18"/>
        </w:rPr>
      </w:pPr>
      <w:r w:rsidRPr="180099B3">
        <w:rPr>
          <w:rFonts w:ascii="Verdana" w:hAnsi="Verdana"/>
          <w:sz w:val="18"/>
          <w:szCs w:val="18"/>
        </w:rPr>
        <w:t xml:space="preserve">Tabla </w:t>
      </w:r>
      <w:r w:rsidRPr="180099B3" w:rsidR="2471B690">
        <w:rPr>
          <w:rFonts w:ascii="Verdana" w:hAnsi="Verdana"/>
          <w:sz w:val="18"/>
          <w:szCs w:val="18"/>
        </w:rPr>
        <w:t xml:space="preserve">No. </w:t>
      </w:r>
      <w:r w:rsidRPr="180099B3" w:rsidR="07FCC8E5">
        <w:rPr>
          <w:rFonts w:ascii="Verdana" w:hAnsi="Verdana"/>
          <w:sz w:val="18"/>
          <w:szCs w:val="18"/>
        </w:rPr>
        <w:t>50</w:t>
      </w:r>
      <w:r w:rsidRPr="180099B3" w:rsidR="2471B690">
        <w:rPr>
          <w:rFonts w:ascii="Verdana" w:hAnsi="Verdana"/>
          <w:sz w:val="18"/>
          <w:szCs w:val="18"/>
        </w:rPr>
        <w:t>.</w:t>
      </w:r>
      <w:r w:rsidRPr="180099B3">
        <w:rPr>
          <w:rFonts w:ascii="Verdana" w:hAnsi="Verdana"/>
          <w:sz w:val="18"/>
          <w:szCs w:val="18"/>
        </w:rPr>
        <w:t xml:space="preserve"> Ejecución vigencia 2024 Subsidios y Fondos</w:t>
      </w:r>
    </w:p>
    <w:tbl>
      <w:tblPr>
        <w:tblW w:w="9651" w:type="dxa"/>
        <w:tblCellMar>
          <w:left w:w="70" w:type="dxa"/>
          <w:right w:w="70" w:type="dxa"/>
        </w:tblCellMar>
        <w:tblLook w:val="04A0" w:firstRow="1" w:lastRow="0" w:firstColumn="1" w:lastColumn="0" w:noHBand="0" w:noVBand="1"/>
      </w:tblPr>
      <w:tblGrid>
        <w:gridCol w:w="1317"/>
        <w:gridCol w:w="1533"/>
        <w:gridCol w:w="1533"/>
        <w:gridCol w:w="1533"/>
        <w:gridCol w:w="1025"/>
        <w:gridCol w:w="1559"/>
        <w:gridCol w:w="1151"/>
      </w:tblGrid>
      <w:tr w:rsidRPr="00575564" w:rsidR="00575564" w:rsidTr="00B06BDB" w14:paraId="455AF1F2" w14:textId="77777777">
        <w:trPr>
          <w:trHeight w:val="298"/>
        </w:trPr>
        <w:tc>
          <w:tcPr>
            <w:tcW w:w="1317" w:type="dxa"/>
            <w:tcBorders>
              <w:top w:val="single" w:color="auto" w:sz="4" w:space="0"/>
              <w:left w:val="single" w:color="auto" w:sz="4" w:space="0"/>
              <w:bottom w:val="single" w:color="auto" w:sz="4" w:space="0"/>
              <w:right w:val="single" w:color="auto" w:sz="4" w:space="0"/>
            </w:tcBorders>
            <w:shd w:val="clear" w:color="auto" w:fill="A6A6A6" w:themeFill="background1" w:themeFillShade="A6"/>
            <w:noWrap/>
            <w:vAlign w:val="center"/>
            <w:hideMark/>
          </w:tcPr>
          <w:p w:rsidRPr="00575564" w:rsidR="00575564" w:rsidP="00575564" w:rsidRDefault="00575564" w14:paraId="500EF6D9" w14:textId="77777777">
            <w:pPr>
              <w:spacing w:after="0" w:line="240" w:lineRule="auto"/>
              <w:jc w:val="center"/>
              <w:rPr>
                <w:rFonts w:ascii="Verdana" w:hAnsi="Verdana" w:eastAsia="Times New Roman" w:cs="Calibri"/>
                <w:b/>
                <w:bCs/>
                <w:color w:val="000000"/>
                <w:sz w:val="16"/>
                <w:szCs w:val="16"/>
                <w:lang w:eastAsia="es-CO"/>
              </w:rPr>
            </w:pPr>
            <w:r w:rsidRPr="00575564">
              <w:rPr>
                <w:rFonts w:ascii="Verdana" w:hAnsi="Verdana" w:eastAsia="Times New Roman" w:cs="Calibri"/>
                <w:b/>
                <w:bCs/>
                <w:color w:val="000000"/>
                <w:sz w:val="16"/>
                <w:szCs w:val="16"/>
                <w:lang w:eastAsia="es-CO"/>
              </w:rPr>
              <w:t>Concepto</w:t>
            </w:r>
          </w:p>
        </w:tc>
        <w:tc>
          <w:tcPr>
            <w:tcW w:w="1533" w:type="dxa"/>
            <w:tcBorders>
              <w:top w:val="single" w:color="auto" w:sz="4" w:space="0"/>
              <w:left w:val="single" w:color="auto" w:sz="4" w:space="0"/>
              <w:bottom w:val="single" w:color="auto" w:sz="4" w:space="0"/>
              <w:right w:val="single" w:color="auto" w:sz="4" w:space="0"/>
            </w:tcBorders>
            <w:shd w:val="clear" w:color="auto" w:fill="A6A6A6" w:themeFill="background1" w:themeFillShade="A6"/>
            <w:noWrap/>
            <w:vAlign w:val="center"/>
            <w:hideMark/>
          </w:tcPr>
          <w:p w:rsidRPr="00575564" w:rsidR="00575564" w:rsidP="00575564" w:rsidRDefault="00575564" w14:paraId="6920C822" w14:textId="77777777">
            <w:pPr>
              <w:spacing w:after="0" w:line="240" w:lineRule="auto"/>
              <w:jc w:val="center"/>
              <w:rPr>
                <w:rFonts w:ascii="Verdana" w:hAnsi="Verdana" w:eastAsia="Times New Roman" w:cs="Calibri"/>
                <w:b/>
                <w:bCs/>
                <w:color w:val="000000"/>
                <w:sz w:val="16"/>
                <w:szCs w:val="16"/>
                <w:lang w:eastAsia="es-CO"/>
              </w:rPr>
            </w:pPr>
            <w:r w:rsidRPr="00575564">
              <w:rPr>
                <w:rFonts w:ascii="Verdana" w:hAnsi="Verdana" w:eastAsia="Times New Roman" w:cs="Calibri"/>
                <w:b/>
                <w:bCs/>
                <w:color w:val="000000"/>
                <w:sz w:val="16"/>
                <w:szCs w:val="16"/>
                <w:lang w:eastAsia="es-CO"/>
              </w:rPr>
              <w:t>Apropiación Inicial</w:t>
            </w:r>
          </w:p>
        </w:tc>
        <w:tc>
          <w:tcPr>
            <w:tcW w:w="1533" w:type="dxa"/>
            <w:tcBorders>
              <w:top w:val="single" w:color="auto" w:sz="4" w:space="0"/>
              <w:left w:val="single" w:color="auto" w:sz="4" w:space="0"/>
              <w:bottom w:val="single" w:color="auto" w:sz="4" w:space="0"/>
              <w:right w:val="single" w:color="auto" w:sz="4" w:space="0"/>
            </w:tcBorders>
            <w:shd w:val="clear" w:color="auto" w:fill="A6A6A6" w:themeFill="background1" w:themeFillShade="A6"/>
            <w:noWrap/>
            <w:vAlign w:val="center"/>
            <w:hideMark/>
          </w:tcPr>
          <w:p w:rsidRPr="00575564" w:rsidR="00575564" w:rsidP="00575564" w:rsidRDefault="00575564" w14:paraId="29AAB05F" w14:textId="77777777">
            <w:pPr>
              <w:spacing w:after="0" w:line="240" w:lineRule="auto"/>
              <w:jc w:val="center"/>
              <w:rPr>
                <w:rFonts w:ascii="Verdana" w:hAnsi="Verdana" w:eastAsia="Times New Roman" w:cs="Calibri"/>
                <w:b/>
                <w:bCs/>
                <w:color w:val="000000"/>
                <w:sz w:val="16"/>
                <w:szCs w:val="16"/>
                <w:lang w:eastAsia="es-CO"/>
              </w:rPr>
            </w:pPr>
            <w:r w:rsidRPr="00575564">
              <w:rPr>
                <w:rFonts w:ascii="Verdana" w:hAnsi="Verdana" w:eastAsia="Times New Roman" w:cs="Calibri"/>
                <w:b/>
                <w:bCs/>
                <w:color w:val="000000"/>
                <w:sz w:val="16"/>
                <w:szCs w:val="16"/>
                <w:lang w:eastAsia="es-CO"/>
              </w:rPr>
              <w:t>Apropiación Vigente</w:t>
            </w:r>
          </w:p>
        </w:tc>
        <w:tc>
          <w:tcPr>
            <w:tcW w:w="1533" w:type="dxa"/>
            <w:tcBorders>
              <w:top w:val="single" w:color="auto" w:sz="4" w:space="0"/>
              <w:left w:val="single" w:color="auto" w:sz="4" w:space="0"/>
              <w:bottom w:val="single" w:color="auto" w:sz="4" w:space="0"/>
              <w:right w:val="single" w:color="auto" w:sz="4" w:space="0"/>
            </w:tcBorders>
            <w:shd w:val="clear" w:color="auto" w:fill="A6A6A6" w:themeFill="background1" w:themeFillShade="A6"/>
            <w:noWrap/>
            <w:vAlign w:val="center"/>
            <w:hideMark/>
          </w:tcPr>
          <w:p w:rsidRPr="00575564" w:rsidR="00575564" w:rsidP="00575564" w:rsidRDefault="00575564" w14:paraId="143CF532" w14:textId="77777777">
            <w:pPr>
              <w:spacing w:after="0" w:line="240" w:lineRule="auto"/>
              <w:jc w:val="center"/>
              <w:rPr>
                <w:rFonts w:ascii="Verdana" w:hAnsi="Verdana" w:eastAsia="Times New Roman" w:cs="Calibri"/>
                <w:b/>
                <w:bCs/>
                <w:color w:val="000000"/>
                <w:sz w:val="16"/>
                <w:szCs w:val="16"/>
                <w:lang w:eastAsia="es-CO"/>
              </w:rPr>
            </w:pPr>
            <w:r w:rsidRPr="00575564">
              <w:rPr>
                <w:rFonts w:ascii="Verdana" w:hAnsi="Verdana" w:eastAsia="Times New Roman" w:cs="Calibri"/>
                <w:b/>
                <w:bCs/>
                <w:color w:val="000000"/>
                <w:sz w:val="16"/>
                <w:szCs w:val="16"/>
                <w:lang w:eastAsia="es-CO"/>
              </w:rPr>
              <w:t>Compromisos</w:t>
            </w:r>
          </w:p>
        </w:tc>
        <w:tc>
          <w:tcPr>
            <w:tcW w:w="1025" w:type="dxa"/>
            <w:tcBorders>
              <w:top w:val="single" w:color="auto" w:sz="4" w:space="0"/>
              <w:left w:val="single" w:color="auto" w:sz="4" w:space="0"/>
              <w:bottom w:val="single" w:color="auto" w:sz="4" w:space="0"/>
              <w:right w:val="single" w:color="auto" w:sz="4" w:space="0"/>
            </w:tcBorders>
            <w:shd w:val="clear" w:color="auto" w:fill="A6A6A6" w:themeFill="background1" w:themeFillShade="A6"/>
            <w:noWrap/>
            <w:vAlign w:val="center"/>
            <w:hideMark/>
          </w:tcPr>
          <w:p w:rsidR="00B06BDB" w:rsidP="00575564" w:rsidRDefault="00575564" w14:paraId="019739FD" w14:textId="77777777">
            <w:pPr>
              <w:spacing w:after="0" w:line="240" w:lineRule="auto"/>
              <w:jc w:val="center"/>
              <w:rPr>
                <w:rFonts w:ascii="Verdana" w:hAnsi="Verdana" w:eastAsia="Times New Roman" w:cs="Calibri"/>
                <w:b/>
                <w:bCs/>
                <w:color w:val="000000"/>
                <w:sz w:val="16"/>
                <w:szCs w:val="16"/>
                <w:lang w:eastAsia="es-CO"/>
              </w:rPr>
            </w:pPr>
            <w:r w:rsidRPr="00575564">
              <w:rPr>
                <w:rFonts w:ascii="Verdana" w:hAnsi="Verdana" w:eastAsia="Times New Roman" w:cs="Calibri"/>
                <w:b/>
                <w:bCs/>
                <w:color w:val="000000"/>
                <w:sz w:val="16"/>
                <w:szCs w:val="16"/>
                <w:lang w:eastAsia="es-CO"/>
              </w:rPr>
              <w:t>%</w:t>
            </w:r>
          </w:p>
          <w:p w:rsidRPr="00575564" w:rsidR="00575564" w:rsidP="00575564" w:rsidRDefault="00575564" w14:paraId="21984294" w14:textId="77777777">
            <w:pPr>
              <w:spacing w:after="0" w:line="240" w:lineRule="auto"/>
              <w:jc w:val="center"/>
              <w:rPr>
                <w:rFonts w:ascii="Verdana" w:hAnsi="Verdana" w:eastAsia="Times New Roman" w:cs="Calibri"/>
                <w:b/>
                <w:bCs/>
                <w:color w:val="000000"/>
                <w:sz w:val="16"/>
                <w:szCs w:val="16"/>
                <w:lang w:eastAsia="es-CO"/>
              </w:rPr>
            </w:pPr>
            <w:r w:rsidRPr="00575564">
              <w:rPr>
                <w:rFonts w:ascii="Verdana" w:hAnsi="Verdana" w:eastAsia="Times New Roman" w:cs="Calibri"/>
                <w:b/>
                <w:bCs/>
                <w:color w:val="000000"/>
                <w:sz w:val="16"/>
                <w:szCs w:val="16"/>
                <w:lang w:eastAsia="es-CO"/>
              </w:rPr>
              <w:t>Ejecución</w:t>
            </w:r>
          </w:p>
        </w:tc>
        <w:tc>
          <w:tcPr>
            <w:tcW w:w="1559" w:type="dxa"/>
            <w:tcBorders>
              <w:top w:val="single" w:color="auto" w:sz="4" w:space="0"/>
              <w:left w:val="single" w:color="auto" w:sz="4" w:space="0"/>
              <w:bottom w:val="single" w:color="auto" w:sz="4" w:space="0"/>
              <w:right w:val="single" w:color="auto" w:sz="4" w:space="0"/>
            </w:tcBorders>
            <w:shd w:val="clear" w:color="auto" w:fill="A6A6A6" w:themeFill="background1" w:themeFillShade="A6"/>
            <w:noWrap/>
            <w:vAlign w:val="center"/>
            <w:hideMark/>
          </w:tcPr>
          <w:p w:rsidRPr="00575564" w:rsidR="00575564" w:rsidP="00575564" w:rsidRDefault="00575564" w14:paraId="693EECEC" w14:textId="77777777">
            <w:pPr>
              <w:spacing w:after="0" w:line="240" w:lineRule="auto"/>
              <w:jc w:val="center"/>
              <w:rPr>
                <w:rFonts w:ascii="Verdana" w:hAnsi="Verdana" w:eastAsia="Times New Roman" w:cs="Calibri"/>
                <w:b/>
                <w:bCs/>
                <w:color w:val="000000"/>
                <w:sz w:val="16"/>
                <w:szCs w:val="16"/>
                <w:lang w:eastAsia="es-CO"/>
              </w:rPr>
            </w:pPr>
            <w:r w:rsidRPr="00575564">
              <w:rPr>
                <w:rFonts w:ascii="Verdana" w:hAnsi="Verdana" w:eastAsia="Times New Roman" w:cs="Calibri"/>
                <w:b/>
                <w:bCs/>
                <w:color w:val="000000"/>
                <w:sz w:val="16"/>
                <w:szCs w:val="16"/>
                <w:lang w:eastAsia="es-CO"/>
              </w:rPr>
              <w:t>Obligaciones</w:t>
            </w:r>
          </w:p>
        </w:tc>
        <w:tc>
          <w:tcPr>
            <w:tcW w:w="1151" w:type="dxa"/>
            <w:tcBorders>
              <w:top w:val="single" w:color="auto" w:sz="4" w:space="0"/>
              <w:left w:val="single" w:color="auto" w:sz="4" w:space="0"/>
              <w:bottom w:val="single" w:color="auto" w:sz="4" w:space="0"/>
              <w:right w:val="single" w:color="auto" w:sz="4" w:space="0"/>
            </w:tcBorders>
            <w:shd w:val="clear" w:color="auto" w:fill="A6A6A6" w:themeFill="background1" w:themeFillShade="A6"/>
            <w:noWrap/>
            <w:vAlign w:val="center"/>
            <w:hideMark/>
          </w:tcPr>
          <w:p w:rsidR="00B06BDB" w:rsidP="00575564" w:rsidRDefault="00575564" w14:paraId="2E14182D" w14:textId="77777777">
            <w:pPr>
              <w:spacing w:after="0" w:line="240" w:lineRule="auto"/>
              <w:jc w:val="center"/>
              <w:rPr>
                <w:rFonts w:ascii="Verdana" w:hAnsi="Verdana" w:eastAsia="Times New Roman" w:cs="Calibri"/>
                <w:b/>
                <w:bCs/>
                <w:color w:val="000000"/>
                <w:sz w:val="16"/>
                <w:szCs w:val="16"/>
                <w:lang w:eastAsia="es-CO"/>
              </w:rPr>
            </w:pPr>
            <w:r w:rsidRPr="00575564">
              <w:rPr>
                <w:rFonts w:ascii="Verdana" w:hAnsi="Verdana" w:eastAsia="Times New Roman" w:cs="Calibri"/>
                <w:b/>
                <w:bCs/>
                <w:color w:val="000000"/>
                <w:sz w:val="16"/>
                <w:szCs w:val="16"/>
                <w:lang w:eastAsia="es-CO"/>
              </w:rPr>
              <w:t>%</w:t>
            </w:r>
          </w:p>
          <w:p w:rsidRPr="00575564" w:rsidR="00575564" w:rsidP="00575564" w:rsidRDefault="00575564" w14:paraId="53F050DC" w14:textId="77777777">
            <w:pPr>
              <w:spacing w:after="0" w:line="240" w:lineRule="auto"/>
              <w:jc w:val="center"/>
              <w:rPr>
                <w:rFonts w:ascii="Verdana" w:hAnsi="Verdana" w:eastAsia="Times New Roman" w:cs="Calibri"/>
                <w:b/>
                <w:bCs/>
                <w:color w:val="000000"/>
                <w:sz w:val="16"/>
                <w:szCs w:val="16"/>
                <w:lang w:eastAsia="es-CO"/>
              </w:rPr>
            </w:pPr>
            <w:r w:rsidRPr="00575564">
              <w:rPr>
                <w:rFonts w:ascii="Verdana" w:hAnsi="Verdana" w:eastAsia="Times New Roman" w:cs="Calibri"/>
                <w:b/>
                <w:bCs/>
                <w:color w:val="000000"/>
                <w:sz w:val="16"/>
                <w:szCs w:val="16"/>
                <w:lang w:eastAsia="es-CO"/>
              </w:rPr>
              <w:t>Ejecución</w:t>
            </w:r>
          </w:p>
        </w:tc>
      </w:tr>
      <w:tr w:rsidRPr="00575564" w:rsidR="00575564" w:rsidTr="00B06BDB" w14:paraId="62DC2C64" w14:textId="77777777">
        <w:trPr>
          <w:trHeight w:val="381"/>
        </w:trPr>
        <w:tc>
          <w:tcPr>
            <w:tcW w:w="1317" w:type="dxa"/>
            <w:tcBorders>
              <w:top w:val="single" w:color="auto" w:sz="4" w:space="0"/>
              <w:left w:val="single" w:color="auto" w:sz="4" w:space="0"/>
              <w:bottom w:val="single" w:color="auto" w:sz="4" w:space="0"/>
              <w:right w:val="nil"/>
            </w:tcBorders>
            <w:vAlign w:val="center"/>
            <w:hideMark/>
          </w:tcPr>
          <w:p w:rsidRPr="00575564" w:rsidR="00575564" w:rsidP="00575564" w:rsidRDefault="00575564" w14:paraId="4D00AB94" w14:textId="77777777">
            <w:pPr>
              <w:spacing w:after="0" w:line="240" w:lineRule="auto"/>
              <w:jc w:val="center"/>
              <w:rPr>
                <w:rFonts w:ascii="Verdana" w:hAnsi="Verdana" w:eastAsia="Times New Roman" w:cs="Calibri"/>
                <w:color w:val="000000"/>
                <w:sz w:val="16"/>
                <w:szCs w:val="16"/>
                <w:lang w:eastAsia="es-CO"/>
              </w:rPr>
            </w:pPr>
            <w:r w:rsidRPr="00575564">
              <w:rPr>
                <w:rFonts w:ascii="Verdana" w:hAnsi="Verdana" w:eastAsia="Times New Roman" w:cs="Calibri"/>
                <w:color w:val="000000"/>
                <w:sz w:val="16"/>
                <w:szCs w:val="16"/>
                <w:lang w:eastAsia="es-CO"/>
              </w:rPr>
              <w:t>Subsidios de Energía</w:t>
            </w:r>
            <w:r w:rsidRPr="00575564">
              <w:rPr>
                <w:rFonts w:ascii="Arial" w:hAnsi="Arial" w:eastAsia="Times New Roman" w:cs="Arial"/>
                <w:color w:val="000000"/>
                <w:sz w:val="16"/>
                <w:szCs w:val="16"/>
                <w:lang w:eastAsia="es-CO"/>
              </w:rPr>
              <w:t>​</w:t>
            </w:r>
          </w:p>
        </w:tc>
        <w:tc>
          <w:tcPr>
            <w:tcW w:w="1533" w:type="dxa"/>
            <w:tcBorders>
              <w:top w:val="single" w:color="auto" w:sz="4" w:space="0"/>
              <w:left w:val="single" w:color="auto" w:sz="4" w:space="0"/>
              <w:bottom w:val="single" w:color="auto" w:sz="4" w:space="0"/>
              <w:right w:val="single" w:color="auto" w:sz="4" w:space="0"/>
            </w:tcBorders>
            <w:noWrap/>
            <w:vAlign w:val="center"/>
            <w:hideMark/>
          </w:tcPr>
          <w:p w:rsidRPr="00575564" w:rsidR="00575564" w:rsidP="00575564" w:rsidRDefault="00575564" w14:paraId="2DC31E5D"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$4.222.960</w:t>
            </w:r>
          </w:p>
        </w:tc>
        <w:tc>
          <w:tcPr>
            <w:tcW w:w="1533" w:type="dxa"/>
            <w:tcBorders>
              <w:top w:val="single" w:color="auto" w:sz="4" w:space="0"/>
              <w:left w:val="nil"/>
              <w:bottom w:val="single" w:color="auto" w:sz="4" w:space="0"/>
              <w:right w:val="single" w:color="auto" w:sz="4" w:space="0"/>
            </w:tcBorders>
            <w:noWrap/>
            <w:vAlign w:val="center"/>
            <w:hideMark/>
          </w:tcPr>
          <w:p w:rsidRPr="00575564" w:rsidR="00575564" w:rsidP="00575564" w:rsidRDefault="00575564" w14:paraId="3170A835"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$4.050.400</w:t>
            </w:r>
          </w:p>
        </w:tc>
        <w:tc>
          <w:tcPr>
            <w:tcW w:w="1533" w:type="dxa"/>
            <w:tcBorders>
              <w:top w:val="single" w:color="auto" w:sz="4" w:space="0"/>
              <w:left w:val="nil"/>
              <w:bottom w:val="single" w:color="auto" w:sz="4" w:space="0"/>
              <w:right w:val="single" w:color="auto" w:sz="4" w:space="0"/>
            </w:tcBorders>
            <w:noWrap/>
            <w:vAlign w:val="center"/>
            <w:hideMark/>
          </w:tcPr>
          <w:p w:rsidRPr="00575564" w:rsidR="00575564" w:rsidP="00575564" w:rsidRDefault="00575564" w14:paraId="49F1CB9A"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$4.037.991</w:t>
            </w:r>
          </w:p>
        </w:tc>
        <w:tc>
          <w:tcPr>
            <w:tcW w:w="1025" w:type="dxa"/>
            <w:tcBorders>
              <w:top w:val="single" w:color="auto" w:sz="4" w:space="0"/>
              <w:left w:val="nil"/>
              <w:bottom w:val="single" w:color="auto" w:sz="4" w:space="0"/>
              <w:right w:val="single" w:color="auto" w:sz="4" w:space="0"/>
            </w:tcBorders>
            <w:noWrap/>
            <w:vAlign w:val="center"/>
            <w:hideMark/>
          </w:tcPr>
          <w:p w:rsidRPr="00575564" w:rsidR="00575564" w:rsidP="00575564" w:rsidRDefault="00575564" w14:paraId="5C1C9E52"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99,7%</w:t>
            </w:r>
          </w:p>
        </w:tc>
        <w:tc>
          <w:tcPr>
            <w:tcW w:w="1559" w:type="dxa"/>
            <w:tcBorders>
              <w:top w:val="single" w:color="auto" w:sz="4" w:space="0"/>
              <w:left w:val="nil"/>
              <w:bottom w:val="single" w:color="auto" w:sz="4" w:space="0"/>
              <w:right w:val="single" w:color="auto" w:sz="4" w:space="0"/>
            </w:tcBorders>
            <w:noWrap/>
            <w:vAlign w:val="center"/>
            <w:hideMark/>
          </w:tcPr>
          <w:p w:rsidRPr="00575564" w:rsidR="00575564" w:rsidP="00575564" w:rsidRDefault="00575564" w14:paraId="50F2A5A7"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$3.068.531</w:t>
            </w:r>
          </w:p>
        </w:tc>
        <w:tc>
          <w:tcPr>
            <w:tcW w:w="1151" w:type="dxa"/>
            <w:tcBorders>
              <w:top w:val="single" w:color="auto" w:sz="4" w:space="0"/>
              <w:left w:val="nil"/>
              <w:bottom w:val="single" w:color="auto" w:sz="4" w:space="0"/>
              <w:right w:val="single" w:color="auto" w:sz="4" w:space="0"/>
            </w:tcBorders>
            <w:noWrap/>
            <w:vAlign w:val="center"/>
            <w:hideMark/>
          </w:tcPr>
          <w:p w:rsidRPr="00575564" w:rsidR="00575564" w:rsidP="00575564" w:rsidRDefault="00575564" w14:paraId="07C9C6CC"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75,8%</w:t>
            </w:r>
          </w:p>
        </w:tc>
      </w:tr>
      <w:tr w:rsidRPr="00575564" w:rsidR="00575564" w:rsidTr="00B06BDB" w14:paraId="5C5D992B" w14:textId="77777777">
        <w:trPr>
          <w:trHeight w:val="381"/>
        </w:trPr>
        <w:tc>
          <w:tcPr>
            <w:tcW w:w="1317" w:type="dxa"/>
            <w:tcBorders>
              <w:top w:val="single" w:color="auto" w:sz="4" w:space="0"/>
              <w:left w:val="single" w:color="auto" w:sz="4" w:space="0"/>
              <w:bottom w:val="single" w:color="auto" w:sz="4" w:space="0"/>
              <w:right w:val="nil"/>
            </w:tcBorders>
            <w:vAlign w:val="center"/>
            <w:hideMark/>
          </w:tcPr>
          <w:p w:rsidRPr="00575564" w:rsidR="00575564" w:rsidP="00575564" w:rsidRDefault="00575564" w14:paraId="339FDF95" w14:textId="77777777">
            <w:pPr>
              <w:spacing w:after="0" w:line="240" w:lineRule="auto"/>
              <w:jc w:val="center"/>
              <w:rPr>
                <w:rFonts w:ascii="Verdana" w:hAnsi="Verdana" w:eastAsia="Times New Roman" w:cs="Calibri"/>
                <w:color w:val="000000"/>
                <w:sz w:val="16"/>
                <w:szCs w:val="16"/>
                <w:lang w:eastAsia="es-CO"/>
              </w:rPr>
            </w:pPr>
            <w:r w:rsidRPr="00575564">
              <w:rPr>
                <w:rFonts w:ascii="Verdana" w:hAnsi="Verdana" w:eastAsia="Times New Roman" w:cs="Calibri"/>
                <w:color w:val="000000"/>
                <w:sz w:val="16"/>
                <w:szCs w:val="16"/>
                <w:lang w:eastAsia="es-CO"/>
              </w:rPr>
              <w:t>Subsidios Gas por Red</w:t>
            </w:r>
            <w:r w:rsidRPr="00575564">
              <w:rPr>
                <w:rFonts w:ascii="Arial" w:hAnsi="Arial" w:eastAsia="Times New Roman" w:cs="Arial"/>
                <w:color w:val="000000"/>
                <w:sz w:val="16"/>
                <w:szCs w:val="16"/>
                <w:lang w:eastAsia="es-CO"/>
              </w:rPr>
              <w:t>​</w:t>
            </w:r>
          </w:p>
        </w:tc>
        <w:tc>
          <w:tcPr>
            <w:tcW w:w="1533" w:type="dxa"/>
            <w:tcBorders>
              <w:top w:val="single" w:color="auto" w:sz="4" w:space="0"/>
              <w:left w:val="single" w:color="auto" w:sz="4" w:space="0"/>
              <w:bottom w:val="single" w:color="auto" w:sz="4" w:space="0"/>
              <w:right w:val="single" w:color="auto" w:sz="4" w:space="0"/>
            </w:tcBorders>
            <w:noWrap/>
            <w:vAlign w:val="center"/>
            <w:hideMark/>
          </w:tcPr>
          <w:p w:rsidRPr="00575564" w:rsidR="00575564" w:rsidP="00575564" w:rsidRDefault="00575564" w14:paraId="17511625"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$1.207.582</w:t>
            </w:r>
          </w:p>
        </w:tc>
        <w:tc>
          <w:tcPr>
            <w:tcW w:w="1533" w:type="dxa"/>
            <w:tcBorders>
              <w:top w:val="single" w:color="auto" w:sz="4" w:space="0"/>
              <w:left w:val="nil"/>
              <w:bottom w:val="single" w:color="auto" w:sz="4" w:space="0"/>
              <w:right w:val="single" w:color="auto" w:sz="4" w:space="0"/>
            </w:tcBorders>
            <w:noWrap/>
            <w:vAlign w:val="center"/>
            <w:hideMark/>
          </w:tcPr>
          <w:p w:rsidRPr="00575564" w:rsidR="00575564" w:rsidP="00575564" w:rsidRDefault="00575564" w14:paraId="1CCB5A11"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$922.300</w:t>
            </w:r>
          </w:p>
        </w:tc>
        <w:tc>
          <w:tcPr>
            <w:tcW w:w="1533" w:type="dxa"/>
            <w:tcBorders>
              <w:top w:val="single" w:color="auto" w:sz="4" w:space="0"/>
              <w:left w:val="nil"/>
              <w:bottom w:val="single" w:color="auto" w:sz="4" w:space="0"/>
              <w:right w:val="single" w:color="auto" w:sz="4" w:space="0"/>
            </w:tcBorders>
            <w:noWrap/>
            <w:vAlign w:val="center"/>
            <w:hideMark/>
          </w:tcPr>
          <w:p w:rsidRPr="00575564" w:rsidR="00575564" w:rsidP="00575564" w:rsidRDefault="00575564" w14:paraId="404B02BC"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$922.300</w:t>
            </w:r>
          </w:p>
        </w:tc>
        <w:tc>
          <w:tcPr>
            <w:tcW w:w="1025" w:type="dxa"/>
            <w:tcBorders>
              <w:top w:val="single" w:color="auto" w:sz="4" w:space="0"/>
              <w:left w:val="nil"/>
              <w:bottom w:val="single" w:color="auto" w:sz="4" w:space="0"/>
              <w:right w:val="single" w:color="auto" w:sz="4" w:space="0"/>
            </w:tcBorders>
            <w:noWrap/>
            <w:vAlign w:val="center"/>
            <w:hideMark/>
          </w:tcPr>
          <w:p w:rsidRPr="00575564" w:rsidR="00575564" w:rsidP="00575564" w:rsidRDefault="00575564" w14:paraId="18B4C7DB"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100,0%</w:t>
            </w:r>
          </w:p>
        </w:tc>
        <w:tc>
          <w:tcPr>
            <w:tcW w:w="1559" w:type="dxa"/>
            <w:tcBorders>
              <w:top w:val="single" w:color="auto" w:sz="4" w:space="0"/>
              <w:left w:val="nil"/>
              <w:bottom w:val="single" w:color="auto" w:sz="4" w:space="0"/>
              <w:right w:val="single" w:color="auto" w:sz="4" w:space="0"/>
            </w:tcBorders>
            <w:noWrap/>
            <w:vAlign w:val="center"/>
            <w:hideMark/>
          </w:tcPr>
          <w:p w:rsidRPr="00575564" w:rsidR="00575564" w:rsidP="00575564" w:rsidRDefault="00575564" w14:paraId="6A63E310"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$485.048</w:t>
            </w:r>
          </w:p>
        </w:tc>
        <w:tc>
          <w:tcPr>
            <w:tcW w:w="1151" w:type="dxa"/>
            <w:tcBorders>
              <w:top w:val="single" w:color="auto" w:sz="4" w:space="0"/>
              <w:left w:val="nil"/>
              <w:bottom w:val="single" w:color="auto" w:sz="4" w:space="0"/>
              <w:right w:val="single" w:color="auto" w:sz="4" w:space="0"/>
            </w:tcBorders>
            <w:noWrap/>
            <w:vAlign w:val="center"/>
            <w:hideMark/>
          </w:tcPr>
          <w:p w:rsidRPr="00575564" w:rsidR="00575564" w:rsidP="00575564" w:rsidRDefault="00575564" w14:paraId="150ADA18"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52,6%</w:t>
            </w:r>
          </w:p>
        </w:tc>
      </w:tr>
      <w:tr w:rsidRPr="00575564" w:rsidR="00575564" w:rsidTr="00B06BDB" w14:paraId="17567917" w14:textId="77777777">
        <w:trPr>
          <w:trHeight w:val="309"/>
        </w:trPr>
        <w:tc>
          <w:tcPr>
            <w:tcW w:w="1317" w:type="dxa"/>
            <w:tcBorders>
              <w:top w:val="single" w:color="auto" w:sz="4" w:space="0"/>
              <w:left w:val="single" w:color="auto" w:sz="4" w:space="0"/>
              <w:bottom w:val="single" w:color="auto" w:sz="4" w:space="0"/>
              <w:right w:val="nil"/>
            </w:tcBorders>
            <w:vAlign w:val="center"/>
            <w:hideMark/>
          </w:tcPr>
          <w:p w:rsidRPr="00575564" w:rsidR="00575564" w:rsidP="00575564" w:rsidRDefault="00575564" w14:paraId="0DC9E748" w14:textId="77777777">
            <w:pPr>
              <w:spacing w:after="0" w:line="240" w:lineRule="auto"/>
              <w:jc w:val="center"/>
              <w:rPr>
                <w:rFonts w:ascii="Verdana" w:hAnsi="Verdana" w:eastAsia="Times New Roman" w:cs="Calibri"/>
                <w:color w:val="000000"/>
                <w:sz w:val="16"/>
                <w:szCs w:val="16"/>
                <w:lang w:eastAsia="es-CO"/>
              </w:rPr>
            </w:pPr>
            <w:r w:rsidRPr="00575564">
              <w:rPr>
                <w:rFonts w:ascii="Verdana" w:hAnsi="Verdana" w:eastAsia="Times New Roman" w:cs="Calibri"/>
                <w:color w:val="000000"/>
                <w:sz w:val="16"/>
                <w:szCs w:val="16"/>
                <w:lang w:eastAsia="es-CO"/>
              </w:rPr>
              <w:t>Otros Subsidios</w:t>
            </w:r>
            <w:r w:rsidRPr="00575564">
              <w:rPr>
                <w:rFonts w:ascii="Arial" w:hAnsi="Arial" w:eastAsia="Times New Roman" w:cs="Arial"/>
                <w:color w:val="000000"/>
                <w:sz w:val="16"/>
                <w:szCs w:val="16"/>
                <w:lang w:eastAsia="es-CO"/>
              </w:rPr>
              <w:t>​</w:t>
            </w:r>
          </w:p>
        </w:tc>
        <w:tc>
          <w:tcPr>
            <w:tcW w:w="1533" w:type="dxa"/>
            <w:tcBorders>
              <w:top w:val="single" w:color="auto" w:sz="4" w:space="0"/>
              <w:left w:val="single" w:color="auto" w:sz="4" w:space="0"/>
              <w:bottom w:val="single" w:color="auto" w:sz="4" w:space="0"/>
              <w:right w:val="single" w:color="auto" w:sz="4" w:space="0"/>
            </w:tcBorders>
            <w:noWrap/>
            <w:vAlign w:val="center"/>
            <w:hideMark/>
          </w:tcPr>
          <w:p w:rsidRPr="00575564" w:rsidR="00575564" w:rsidP="00575564" w:rsidRDefault="00575564" w14:paraId="15BA74C6"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$376.914</w:t>
            </w:r>
          </w:p>
        </w:tc>
        <w:tc>
          <w:tcPr>
            <w:tcW w:w="1533" w:type="dxa"/>
            <w:tcBorders>
              <w:top w:val="single" w:color="auto" w:sz="4" w:space="0"/>
              <w:left w:val="nil"/>
              <w:bottom w:val="single" w:color="auto" w:sz="4" w:space="0"/>
              <w:right w:val="single" w:color="auto" w:sz="4" w:space="0"/>
            </w:tcBorders>
            <w:noWrap/>
            <w:vAlign w:val="center"/>
            <w:hideMark/>
          </w:tcPr>
          <w:p w:rsidRPr="00575564" w:rsidR="00575564" w:rsidP="00575564" w:rsidRDefault="00575564" w14:paraId="2D1E8B93"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$376.371</w:t>
            </w:r>
          </w:p>
        </w:tc>
        <w:tc>
          <w:tcPr>
            <w:tcW w:w="1533" w:type="dxa"/>
            <w:tcBorders>
              <w:top w:val="single" w:color="auto" w:sz="4" w:space="0"/>
              <w:left w:val="nil"/>
              <w:bottom w:val="single" w:color="auto" w:sz="4" w:space="0"/>
              <w:right w:val="single" w:color="auto" w:sz="4" w:space="0"/>
            </w:tcBorders>
            <w:noWrap/>
            <w:vAlign w:val="center"/>
            <w:hideMark/>
          </w:tcPr>
          <w:p w:rsidRPr="00575564" w:rsidR="00575564" w:rsidP="00575564" w:rsidRDefault="00575564" w14:paraId="07DD505C"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$368.838</w:t>
            </w:r>
          </w:p>
        </w:tc>
        <w:tc>
          <w:tcPr>
            <w:tcW w:w="1025" w:type="dxa"/>
            <w:tcBorders>
              <w:top w:val="single" w:color="auto" w:sz="4" w:space="0"/>
              <w:left w:val="nil"/>
              <w:bottom w:val="single" w:color="auto" w:sz="4" w:space="0"/>
              <w:right w:val="single" w:color="auto" w:sz="4" w:space="0"/>
            </w:tcBorders>
            <w:noWrap/>
            <w:vAlign w:val="center"/>
            <w:hideMark/>
          </w:tcPr>
          <w:p w:rsidRPr="00575564" w:rsidR="00575564" w:rsidP="00575564" w:rsidRDefault="00575564" w14:paraId="5060979D"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98,0%</w:t>
            </w:r>
          </w:p>
        </w:tc>
        <w:tc>
          <w:tcPr>
            <w:tcW w:w="1559" w:type="dxa"/>
            <w:tcBorders>
              <w:top w:val="single" w:color="auto" w:sz="4" w:space="0"/>
              <w:left w:val="nil"/>
              <w:bottom w:val="single" w:color="auto" w:sz="4" w:space="0"/>
              <w:right w:val="single" w:color="auto" w:sz="4" w:space="0"/>
            </w:tcBorders>
            <w:noWrap/>
            <w:vAlign w:val="center"/>
            <w:hideMark/>
          </w:tcPr>
          <w:p w:rsidRPr="00575564" w:rsidR="00575564" w:rsidP="00575564" w:rsidRDefault="00575564" w14:paraId="24A532BC"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$227.349</w:t>
            </w:r>
          </w:p>
        </w:tc>
        <w:tc>
          <w:tcPr>
            <w:tcW w:w="1151" w:type="dxa"/>
            <w:tcBorders>
              <w:top w:val="single" w:color="auto" w:sz="4" w:space="0"/>
              <w:left w:val="nil"/>
              <w:bottom w:val="single" w:color="auto" w:sz="4" w:space="0"/>
              <w:right w:val="single" w:color="auto" w:sz="4" w:space="0"/>
            </w:tcBorders>
            <w:noWrap/>
            <w:vAlign w:val="center"/>
            <w:hideMark/>
          </w:tcPr>
          <w:p w:rsidRPr="00575564" w:rsidR="00575564" w:rsidP="00575564" w:rsidRDefault="00575564" w14:paraId="709821D2"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60,4%</w:t>
            </w:r>
          </w:p>
        </w:tc>
      </w:tr>
      <w:tr w:rsidRPr="00575564" w:rsidR="00575564" w:rsidTr="00B06BDB" w14:paraId="04E8AB98" w14:textId="77777777">
        <w:trPr>
          <w:trHeight w:val="309"/>
        </w:trPr>
        <w:tc>
          <w:tcPr>
            <w:tcW w:w="1317" w:type="dxa"/>
            <w:tcBorders>
              <w:top w:val="single" w:color="auto" w:sz="4" w:space="0"/>
              <w:left w:val="single" w:color="auto" w:sz="4" w:space="0"/>
              <w:bottom w:val="single" w:color="auto" w:sz="4" w:space="0"/>
              <w:right w:val="nil"/>
            </w:tcBorders>
            <w:vAlign w:val="center"/>
            <w:hideMark/>
          </w:tcPr>
          <w:p w:rsidRPr="00575564" w:rsidR="00575564" w:rsidP="00575564" w:rsidRDefault="00575564" w14:paraId="6B702E4F" w14:textId="77777777">
            <w:pPr>
              <w:spacing w:after="0" w:line="240" w:lineRule="auto"/>
              <w:jc w:val="center"/>
              <w:rPr>
                <w:rFonts w:ascii="Verdana" w:hAnsi="Verdana" w:eastAsia="Times New Roman" w:cs="Calibri"/>
                <w:color w:val="000000"/>
                <w:sz w:val="16"/>
                <w:szCs w:val="16"/>
                <w:lang w:eastAsia="es-CO"/>
              </w:rPr>
            </w:pPr>
            <w:r w:rsidRPr="00575564">
              <w:rPr>
                <w:rFonts w:ascii="Verdana" w:hAnsi="Verdana" w:eastAsia="Times New Roman" w:cs="Calibri"/>
                <w:color w:val="000000"/>
                <w:sz w:val="16"/>
                <w:szCs w:val="16"/>
                <w:lang w:eastAsia="es-CO"/>
              </w:rPr>
              <w:t>Fondos</w:t>
            </w:r>
            <w:r w:rsidRPr="00575564">
              <w:rPr>
                <w:rFonts w:ascii="Arial" w:hAnsi="Arial" w:eastAsia="Times New Roman" w:cs="Arial"/>
                <w:color w:val="000000"/>
                <w:sz w:val="16"/>
                <w:szCs w:val="16"/>
                <w:lang w:eastAsia="es-CO"/>
              </w:rPr>
              <w:t>​</w:t>
            </w:r>
          </w:p>
        </w:tc>
        <w:tc>
          <w:tcPr>
            <w:tcW w:w="1533" w:type="dxa"/>
            <w:tcBorders>
              <w:top w:val="single" w:color="auto" w:sz="4" w:space="0"/>
              <w:left w:val="single" w:color="auto" w:sz="4" w:space="0"/>
              <w:bottom w:val="single" w:color="auto" w:sz="4" w:space="0"/>
              <w:right w:val="single" w:color="auto" w:sz="4" w:space="0"/>
            </w:tcBorders>
            <w:noWrap/>
            <w:vAlign w:val="center"/>
            <w:hideMark/>
          </w:tcPr>
          <w:p w:rsidRPr="00575564" w:rsidR="00575564" w:rsidP="00575564" w:rsidRDefault="00575564" w14:paraId="49AD8D6D"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$1.154.713</w:t>
            </w:r>
          </w:p>
        </w:tc>
        <w:tc>
          <w:tcPr>
            <w:tcW w:w="1533" w:type="dxa"/>
            <w:tcBorders>
              <w:top w:val="single" w:color="auto" w:sz="4" w:space="0"/>
              <w:left w:val="nil"/>
              <w:bottom w:val="single" w:color="auto" w:sz="4" w:space="0"/>
              <w:right w:val="single" w:color="auto" w:sz="4" w:space="0"/>
            </w:tcBorders>
            <w:noWrap/>
            <w:vAlign w:val="center"/>
            <w:hideMark/>
          </w:tcPr>
          <w:p w:rsidRPr="00575564" w:rsidR="00575564" w:rsidP="00575564" w:rsidRDefault="00575564" w14:paraId="22176AD6"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$1.154.713</w:t>
            </w:r>
          </w:p>
        </w:tc>
        <w:tc>
          <w:tcPr>
            <w:tcW w:w="1533" w:type="dxa"/>
            <w:tcBorders>
              <w:top w:val="single" w:color="auto" w:sz="4" w:space="0"/>
              <w:left w:val="nil"/>
              <w:bottom w:val="single" w:color="auto" w:sz="4" w:space="0"/>
              <w:right w:val="single" w:color="auto" w:sz="4" w:space="0"/>
            </w:tcBorders>
            <w:noWrap/>
            <w:vAlign w:val="center"/>
            <w:hideMark/>
          </w:tcPr>
          <w:p w:rsidRPr="00575564" w:rsidR="00575564" w:rsidP="00575564" w:rsidRDefault="00575564" w14:paraId="776A5E38"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$840.924</w:t>
            </w:r>
          </w:p>
        </w:tc>
        <w:tc>
          <w:tcPr>
            <w:tcW w:w="1025" w:type="dxa"/>
            <w:tcBorders>
              <w:top w:val="single" w:color="auto" w:sz="4" w:space="0"/>
              <w:left w:val="nil"/>
              <w:bottom w:val="single" w:color="auto" w:sz="4" w:space="0"/>
              <w:right w:val="single" w:color="auto" w:sz="4" w:space="0"/>
            </w:tcBorders>
            <w:noWrap/>
            <w:vAlign w:val="center"/>
            <w:hideMark/>
          </w:tcPr>
          <w:p w:rsidRPr="00575564" w:rsidR="00575564" w:rsidP="00575564" w:rsidRDefault="00575564" w14:paraId="46AD7950"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72,8%</w:t>
            </w:r>
          </w:p>
        </w:tc>
        <w:tc>
          <w:tcPr>
            <w:tcW w:w="1559" w:type="dxa"/>
            <w:tcBorders>
              <w:top w:val="single" w:color="auto" w:sz="4" w:space="0"/>
              <w:left w:val="nil"/>
              <w:bottom w:val="single" w:color="auto" w:sz="4" w:space="0"/>
              <w:right w:val="single" w:color="auto" w:sz="4" w:space="0"/>
            </w:tcBorders>
            <w:noWrap/>
            <w:vAlign w:val="center"/>
            <w:hideMark/>
          </w:tcPr>
          <w:p w:rsidRPr="00575564" w:rsidR="00575564" w:rsidP="00575564" w:rsidRDefault="00575564" w14:paraId="0813CC5B"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$85.742</w:t>
            </w:r>
          </w:p>
        </w:tc>
        <w:tc>
          <w:tcPr>
            <w:tcW w:w="1151" w:type="dxa"/>
            <w:tcBorders>
              <w:top w:val="single" w:color="auto" w:sz="4" w:space="0"/>
              <w:left w:val="nil"/>
              <w:bottom w:val="single" w:color="auto" w:sz="4" w:space="0"/>
              <w:right w:val="single" w:color="auto" w:sz="4" w:space="0"/>
            </w:tcBorders>
            <w:noWrap/>
            <w:vAlign w:val="center"/>
            <w:hideMark/>
          </w:tcPr>
          <w:p w:rsidRPr="00575564" w:rsidR="00575564" w:rsidP="00575564" w:rsidRDefault="00575564" w14:paraId="7A936DD0"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7,4%</w:t>
            </w:r>
          </w:p>
        </w:tc>
      </w:tr>
      <w:tr w:rsidRPr="00575564" w:rsidR="00575564" w:rsidTr="00B06BDB" w14:paraId="53B42581" w14:textId="77777777">
        <w:trPr>
          <w:trHeight w:val="298"/>
        </w:trPr>
        <w:tc>
          <w:tcPr>
            <w:tcW w:w="1317" w:type="dxa"/>
            <w:tcBorders>
              <w:top w:val="single" w:color="auto" w:sz="4" w:space="0"/>
              <w:left w:val="single" w:color="auto" w:sz="4" w:space="0"/>
              <w:bottom w:val="single" w:color="auto" w:sz="4" w:space="0"/>
              <w:right w:val="single" w:color="auto" w:sz="4" w:space="0"/>
            </w:tcBorders>
            <w:shd w:val="clear" w:color="auto" w:fill="BFBFBF" w:themeFill="background1" w:themeFillShade="BF"/>
            <w:vAlign w:val="center"/>
            <w:hideMark/>
          </w:tcPr>
          <w:p w:rsidRPr="00575564" w:rsidR="00575564" w:rsidP="00575564" w:rsidRDefault="00575564" w14:paraId="6D0B9067" w14:textId="77777777">
            <w:pPr>
              <w:spacing w:after="0" w:line="240" w:lineRule="auto"/>
              <w:jc w:val="center"/>
              <w:rPr>
                <w:rFonts w:ascii="Verdana" w:hAnsi="Verdana" w:eastAsia="Times New Roman" w:cs="Calibri"/>
                <w:b/>
                <w:bCs/>
                <w:color w:val="000000"/>
                <w:sz w:val="16"/>
                <w:szCs w:val="16"/>
                <w:lang w:eastAsia="es-CO"/>
              </w:rPr>
            </w:pPr>
            <w:r w:rsidRPr="00575564">
              <w:rPr>
                <w:rFonts w:ascii="Verdana" w:hAnsi="Verdana" w:eastAsia="Times New Roman" w:cs="Calibri"/>
                <w:b/>
                <w:bCs/>
                <w:color w:val="000000"/>
                <w:sz w:val="16"/>
                <w:szCs w:val="16"/>
                <w:lang w:eastAsia="es-CO"/>
              </w:rPr>
              <w:t>Total</w:t>
            </w:r>
          </w:p>
        </w:tc>
        <w:tc>
          <w:tcPr>
            <w:tcW w:w="1533" w:type="dxa"/>
            <w:tcBorders>
              <w:top w:val="single" w:color="auto" w:sz="4" w:space="0"/>
              <w:left w:val="single" w:color="auto" w:sz="4" w:space="0"/>
              <w:bottom w:val="single" w:color="auto" w:sz="4" w:space="0"/>
              <w:right w:val="single" w:color="auto" w:sz="4" w:space="0"/>
            </w:tcBorders>
            <w:shd w:val="clear" w:color="auto" w:fill="BFBFBF" w:themeFill="background1" w:themeFillShade="BF"/>
            <w:noWrap/>
            <w:vAlign w:val="center"/>
            <w:hideMark/>
          </w:tcPr>
          <w:p w:rsidRPr="00575564" w:rsidR="00575564" w:rsidP="00575564" w:rsidRDefault="00575564" w14:paraId="6FAFA35F"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$6.962.169</w:t>
            </w:r>
          </w:p>
        </w:tc>
        <w:tc>
          <w:tcPr>
            <w:tcW w:w="1533" w:type="dxa"/>
            <w:tcBorders>
              <w:top w:val="single" w:color="auto" w:sz="4" w:space="0"/>
              <w:left w:val="single" w:color="auto" w:sz="4" w:space="0"/>
              <w:bottom w:val="single" w:color="auto" w:sz="4" w:space="0"/>
              <w:right w:val="single" w:color="auto" w:sz="4" w:space="0"/>
            </w:tcBorders>
            <w:shd w:val="clear" w:color="auto" w:fill="BFBFBF" w:themeFill="background1" w:themeFillShade="BF"/>
            <w:noWrap/>
            <w:vAlign w:val="center"/>
            <w:hideMark/>
          </w:tcPr>
          <w:p w:rsidRPr="00575564" w:rsidR="00575564" w:rsidP="00575564" w:rsidRDefault="00575564" w14:paraId="401B5957"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$6.503.784</w:t>
            </w:r>
          </w:p>
        </w:tc>
        <w:tc>
          <w:tcPr>
            <w:tcW w:w="1533" w:type="dxa"/>
            <w:tcBorders>
              <w:top w:val="single" w:color="auto" w:sz="4" w:space="0"/>
              <w:left w:val="single" w:color="auto" w:sz="4" w:space="0"/>
              <w:bottom w:val="single" w:color="auto" w:sz="4" w:space="0"/>
              <w:right w:val="single" w:color="auto" w:sz="4" w:space="0"/>
            </w:tcBorders>
            <w:shd w:val="clear" w:color="auto" w:fill="BFBFBF" w:themeFill="background1" w:themeFillShade="BF"/>
            <w:noWrap/>
            <w:vAlign w:val="center"/>
            <w:hideMark/>
          </w:tcPr>
          <w:p w:rsidRPr="00575564" w:rsidR="00575564" w:rsidP="00575564" w:rsidRDefault="00575564" w14:paraId="743F32BF"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$6.170.053</w:t>
            </w:r>
          </w:p>
        </w:tc>
        <w:tc>
          <w:tcPr>
            <w:tcW w:w="1025" w:type="dxa"/>
            <w:tcBorders>
              <w:top w:val="single" w:color="auto" w:sz="4" w:space="0"/>
              <w:left w:val="single" w:color="auto" w:sz="4" w:space="0"/>
              <w:bottom w:val="single" w:color="auto" w:sz="4" w:space="0"/>
              <w:right w:val="single" w:color="auto" w:sz="4" w:space="0"/>
            </w:tcBorders>
            <w:shd w:val="clear" w:color="auto" w:fill="BFBFBF" w:themeFill="background1" w:themeFillShade="BF"/>
            <w:noWrap/>
            <w:vAlign w:val="center"/>
            <w:hideMark/>
          </w:tcPr>
          <w:p w:rsidRPr="00575564" w:rsidR="00575564" w:rsidP="00575564" w:rsidRDefault="00575564" w14:paraId="378AC8EA"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94,8%</w:t>
            </w:r>
          </w:p>
        </w:tc>
        <w:tc>
          <w:tcPr>
            <w:tcW w:w="1559" w:type="dxa"/>
            <w:tcBorders>
              <w:top w:val="single" w:color="auto" w:sz="4" w:space="0"/>
              <w:left w:val="single" w:color="auto" w:sz="4" w:space="0"/>
              <w:bottom w:val="single" w:color="auto" w:sz="4" w:space="0"/>
              <w:right w:val="single" w:color="auto" w:sz="4" w:space="0"/>
            </w:tcBorders>
            <w:shd w:val="clear" w:color="auto" w:fill="BFBFBF" w:themeFill="background1" w:themeFillShade="BF"/>
            <w:noWrap/>
            <w:vAlign w:val="center"/>
            <w:hideMark/>
          </w:tcPr>
          <w:p w:rsidRPr="00575564" w:rsidR="00575564" w:rsidP="00575564" w:rsidRDefault="00575564" w14:paraId="624A98D7"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$3.866.671</w:t>
            </w:r>
          </w:p>
        </w:tc>
        <w:tc>
          <w:tcPr>
            <w:tcW w:w="1151" w:type="dxa"/>
            <w:tcBorders>
              <w:top w:val="single" w:color="auto" w:sz="4" w:space="0"/>
              <w:left w:val="single" w:color="auto" w:sz="4" w:space="0"/>
              <w:bottom w:val="single" w:color="auto" w:sz="4" w:space="0"/>
              <w:right w:val="single" w:color="auto" w:sz="4" w:space="0"/>
            </w:tcBorders>
            <w:shd w:val="clear" w:color="auto" w:fill="BFBFBF" w:themeFill="background1" w:themeFillShade="BF"/>
            <w:noWrap/>
            <w:vAlign w:val="center"/>
            <w:hideMark/>
          </w:tcPr>
          <w:p w:rsidRPr="00575564" w:rsidR="00575564" w:rsidP="00575564" w:rsidRDefault="00575564" w14:paraId="62D65628"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59,0%</w:t>
            </w:r>
          </w:p>
        </w:tc>
      </w:tr>
    </w:tbl>
    <w:p w:rsidRPr="00575564" w:rsidR="00575564" w:rsidP="30CF4445" w:rsidRDefault="00575564" w14:paraId="410FB20F" w14:textId="377B8DE2">
      <w:pPr>
        <w:spacing w:after="0" w:line="240" w:lineRule="auto"/>
        <w:jc w:val="center"/>
        <w:rPr>
          <w:rFonts w:ascii="Verdana" w:hAnsi="Verdana"/>
          <w:sz w:val="18"/>
          <w:szCs w:val="18"/>
        </w:rPr>
      </w:pPr>
      <w:r w:rsidRPr="30CF4445" w:rsidR="230081E1">
        <w:rPr>
          <w:rFonts w:ascii="Verdana" w:hAnsi="Verdana"/>
          <w:sz w:val="18"/>
          <w:szCs w:val="18"/>
        </w:rPr>
        <w:t>Fuente: Elaboración propia del Grupo de Programación y Gestión Estratégica de Proyectos con información del SIIF Nación del MinHacienda. Corte a 31 de diciembre de 2024.</w:t>
      </w:r>
    </w:p>
    <w:p w:rsidR="00575564" w:rsidP="006A0A13" w:rsidRDefault="00575564" w14:paraId="122ECE61" w14:textId="77777777">
      <w:pPr>
        <w:tabs>
          <w:tab w:val="left" w:pos="2700"/>
        </w:tabs>
        <w:spacing w:after="0" w:line="360" w:lineRule="auto"/>
        <w:rPr>
          <w:rFonts w:ascii="Verdana" w:hAnsi="Verdana"/>
        </w:rPr>
      </w:pPr>
    </w:p>
    <w:p w:rsidRPr="00575564" w:rsidR="00575564" w:rsidP="006A0A13" w:rsidRDefault="00575564" w14:paraId="28B02C6B" w14:textId="77777777">
      <w:pPr>
        <w:tabs>
          <w:tab w:val="left" w:pos="2700"/>
        </w:tabs>
        <w:spacing w:after="0" w:line="360" w:lineRule="auto"/>
        <w:jc w:val="both"/>
        <w:rPr>
          <w:rFonts w:ascii="Verdana" w:hAnsi="Verdana"/>
          <w:sz w:val="24"/>
          <w:szCs w:val="24"/>
        </w:rPr>
      </w:pPr>
      <w:r w:rsidRPr="00575564">
        <w:rPr>
          <w:rFonts w:ascii="Verdana" w:hAnsi="Verdana"/>
          <w:sz w:val="24"/>
          <w:szCs w:val="24"/>
        </w:rPr>
        <w:t>Para la vigencia 2024, los programas de Subsidios y Fondos registraron una apropiación vigente total de $6.503.784 millones, de los cuales se comprometieron recursos por $6.170.053 millones, equivalentes al 94,8% de ejecución en compromisos.</w:t>
      </w:r>
    </w:p>
    <w:p w:rsidR="00575564" w:rsidP="006A0A13" w:rsidRDefault="00575564" w14:paraId="09A4BBCC" w14:textId="77777777">
      <w:pPr>
        <w:tabs>
          <w:tab w:val="left" w:pos="2700"/>
        </w:tabs>
        <w:spacing w:after="0" w:line="360" w:lineRule="auto"/>
        <w:jc w:val="both"/>
        <w:rPr>
          <w:rFonts w:ascii="Verdana" w:hAnsi="Verdana"/>
          <w:sz w:val="24"/>
          <w:szCs w:val="24"/>
        </w:rPr>
      </w:pPr>
    </w:p>
    <w:p w:rsidRPr="00575564" w:rsidR="00575564" w:rsidP="006A0A13" w:rsidRDefault="00575564" w14:paraId="0FC53A0F" w14:textId="5CE87EF5">
      <w:pPr>
        <w:tabs>
          <w:tab w:val="left" w:pos="2700"/>
        </w:tabs>
        <w:spacing w:after="0" w:line="360" w:lineRule="auto"/>
        <w:jc w:val="both"/>
        <w:rPr>
          <w:rFonts w:ascii="Verdana" w:hAnsi="Verdana"/>
          <w:sz w:val="24"/>
          <w:szCs w:val="24"/>
        </w:rPr>
      </w:pPr>
      <w:r w:rsidRPr="30CF4445" w:rsidR="230081E1">
        <w:rPr>
          <w:rFonts w:ascii="Verdana" w:hAnsi="Verdana"/>
          <w:sz w:val="24"/>
          <w:szCs w:val="24"/>
        </w:rPr>
        <w:t xml:space="preserve">Se destaca una alta capacidad de compromiso de los recursos, particularmente en los Subsidios de Energía, los mismos registraron compromisos por $4.037.991 millones, equivalentes al 99,7% de ejecución; </w:t>
      </w:r>
      <w:r w:rsidRPr="30CF4445" w:rsidR="230081E1">
        <w:rPr>
          <w:rFonts w:ascii="Verdana" w:hAnsi="Verdana"/>
          <w:sz w:val="24"/>
          <w:szCs w:val="24"/>
        </w:rPr>
        <w:t>de la misma forma</w:t>
      </w:r>
      <w:r w:rsidRPr="30CF4445" w:rsidR="207259C9">
        <w:rPr>
          <w:rFonts w:ascii="Verdana" w:hAnsi="Verdana"/>
          <w:sz w:val="24"/>
          <w:szCs w:val="24"/>
        </w:rPr>
        <w:t>,</w:t>
      </w:r>
      <w:r w:rsidRPr="30CF4445" w:rsidR="230081E1">
        <w:rPr>
          <w:rFonts w:ascii="Verdana" w:hAnsi="Verdana"/>
          <w:sz w:val="24"/>
          <w:szCs w:val="24"/>
        </w:rPr>
        <w:t xml:space="preserve"> los Subsidios</w:t>
      </w:r>
      <w:r w:rsidRPr="30CF4445" w:rsidR="230081E1">
        <w:rPr>
          <w:rFonts w:ascii="Verdana" w:hAnsi="Verdana"/>
          <w:sz w:val="24"/>
          <w:szCs w:val="24"/>
        </w:rPr>
        <w:t xml:space="preserve"> de Gas por Red, que alcanzaron una ejecución del 100% en compromisos, mientras que el rubro de Otros Subsidios reportó compromisos por $368.838 millones, alcanzando una ejecución del 98,0%.</w:t>
      </w:r>
    </w:p>
    <w:p w:rsidR="00575564" w:rsidP="006A0A13" w:rsidRDefault="00575564" w14:paraId="1C5106BA" w14:textId="77777777">
      <w:pPr>
        <w:tabs>
          <w:tab w:val="left" w:pos="2700"/>
        </w:tabs>
        <w:spacing w:after="0" w:line="360" w:lineRule="auto"/>
        <w:jc w:val="both"/>
        <w:rPr>
          <w:rFonts w:ascii="Verdana" w:hAnsi="Verdana"/>
          <w:sz w:val="24"/>
          <w:szCs w:val="24"/>
        </w:rPr>
      </w:pPr>
    </w:p>
    <w:p w:rsidR="00575564" w:rsidP="006A0A13" w:rsidRDefault="00575564" w14:paraId="6B7BC6AA" w14:textId="77777777">
      <w:pPr>
        <w:tabs>
          <w:tab w:val="left" w:pos="2700"/>
        </w:tabs>
        <w:spacing w:after="0" w:line="360" w:lineRule="auto"/>
        <w:jc w:val="both"/>
        <w:rPr>
          <w:rFonts w:ascii="Verdana" w:hAnsi="Verdana"/>
          <w:sz w:val="24"/>
          <w:szCs w:val="24"/>
        </w:rPr>
      </w:pPr>
      <w:r w:rsidRPr="00575564">
        <w:rPr>
          <w:rFonts w:ascii="Verdana" w:hAnsi="Verdana"/>
          <w:sz w:val="24"/>
          <w:szCs w:val="24"/>
        </w:rPr>
        <w:t>Por su parte, los Fondos registraron compromisos por $840.924 millones, correspondientes al 72,8% de su apropiación, reflejando una dinámica de ejecución asociada a los procesos de estructuración, formulación y desarrollo de proyectos financiados a través de estos recursos.</w:t>
      </w:r>
    </w:p>
    <w:p w:rsidRPr="00575564" w:rsidR="00575564" w:rsidP="006A0A13" w:rsidRDefault="00575564" w14:paraId="06815156" w14:textId="77777777">
      <w:pPr>
        <w:tabs>
          <w:tab w:val="left" w:pos="2700"/>
        </w:tabs>
        <w:spacing w:after="0" w:line="360" w:lineRule="auto"/>
        <w:jc w:val="both"/>
        <w:rPr>
          <w:rFonts w:ascii="Verdana" w:hAnsi="Verdana"/>
          <w:sz w:val="24"/>
          <w:szCs w:val="24"/>
        </w:rPr>
      </w:pPr>
    </w:p>
    <w:p w:rsidRPr="00575564" w:rsidR="00575564" w:rsidP="006A0A13" w:rsidRDefault="0154D97B" w14:paraId="2A1A012C" w14:textId="77777777">
      <w:pPr>
        <w:spacing w:after="0" w:line="360" w:lineRule="auto"/>
        <w:rPr>
          <w:rFonts w:ascii="Verdana" w:hAnsi="Verdana" w:eastAsiaTheme="majorEastAsia" w:cstheme="majorBidi"/>
          <w:b/>
          <w:bCs/>
          <w:sz w:val="24"/>
          <w:szCs w:val="24"/>
        </w:rPr>
      </w:pPr>
      <w:r w:rsidRPr="180099B3">
        <w:rPr>
          <w:rFonts w:ascii="Verdana" w:hAnsi="Verdana" w:eastAsiaTheme="majorEastAsia" w:cstheme="majorBidi"/>
          <w:b/>
          <w:bCs/>
          <w:sz w:val="24"/>
          <w:szCs w:val="24"/>
        </w:rPr>
        <w:t>Subsidios y fondos vigencia 2025</w:t>
      </w:r>
    </w:p>
    <w:p w:rsidR="180099B3" w:rsidP="180099B3" w:rsidRDefault="180099B3" w14:paraId="42ABBFEA" w14:textId="77777777">
      <w:pPr>
        <w:rPr>
          <w:rFonts w:ascii="Verdana" w:hAnsi="Verdana" w:eastAsiaTheme="majorEastAsia" w:cstheme="majorBidi"/>
          <w:b/>
          <w:bCs/>
          <w:sz w:val="24"/>
          <w:szCs w:val="24"/>
        </w:rPr>
      </w:pPr>
    </w:p>
    <w:p w:rsidRPr="00575564" w:rsidR="00575564" w:rsidP="00575564" w:rsidRDefault="0154D97B" w14:paraId="51EE400F" w14:textId="77777777">
      <w:pPr>
        <w:spacing w:after="0"/>
        <w:jc w:val="center"/>
        <w:rPr>
          <w:rFonts w:ascii="Verdana" w:hAnsi="Verdana"/>
          <w:sz w:val="18"/>
          <w:szCs w:val="18"/>
        </w:rPr>
      </w:pPr>
      <w:r w:rsidRPr="180099B3">
        <w:rPr>
          <w:rFonts w:ascii="Verdana" w:hAnsi="Verdana"/>
          <w:sz w:val="18"/>
          <w:szCs w:val="18"/>
        </w:rPr>
        <w:t>Tabla</w:t>
      </w:r>
      <w:r w:rsidRPr="180099B3" w:rsidR="2471B690">
        <w:rPr>
          <w:rFonts w:ascii="Verdana" w:hAnsi="Verdana"/>
          <w:sz w:val="18"/>
          <w:szCs w:val="18"/>
        </w:rPr>
        <w:t xml:space="preserve"> No. </w:t>
      </w:r>
      <w:r w:rsidRPr="180099B3" w:rsidR="7E5D9961">
        <w:rPr>
          <w:rFonts w:ascii="Verdana" w:hAnsi="Verdana"/>
          <w:sz w:val="18"/>
          <w:szCs w:val="18"/>
        </w:rPr>
        <w:t>51</w:t>
      </w:r>
      <w:r w:rsidRPr="180099B3">
        <w:rPr>
          <w:rFonts w:ascii="Verdana" w:hAnsi="Verdana"/>
          <w:sz w:val="18"/>
          <w:szCs w:val="18"/>
        </w:rPr>
        <w:t>. Ejecución vigencia 2025 Subsidios y Fondos</w:t>
      </w:r>
    </w:p>
    <w:tbl>
      <w:tblPr>
        <w:tblW w:w="9634" w:type="dxa"/>
        <w:tblCellMar>
          <w:left w:w="70" w:type="dxa"/>
          <w:right w:w="70" w:type="dxa"/>
        </w:tblCellMar>
        <w:tblLook w:val="04A0" w:firstRow="1" w:lastRow="0" w:firstColumn="1" w:lastColumn="0" w:noHBand="0" w:noVBand="1"/>
      </w:tblPr>
      <w:tblGrid>
        <w:gridCol w:w="1285"/>
        <w:gridCol w:w="1496"/>
        <w:gridCol w:w="1496"/>
        <w:gridCol w:w="1534"/>
        <w:gridCol w:w="1001"/>
        <w:gridCol w:w="1405"/>
        <w:gridCol w:w="1417"/>
      </w:tblGrid>
      <w:tr w:rsidRPr="00575564" w:rsidR="00575564" w:rsidTr="00B06BDB" w14:paraId="56363AB6" w14:textId="77777777">
        <w:trPr>
          <w:trHeight w:val="317"/>
        </w:trPr>
        <w:tc>
          <w:tcPr>
            <w:tcW w:w="1285" w:type="dxa"/>
            <w:tcBorders>
              <w:top w:val="single" w:color="auto" w:sz="4" w:space="0"/>
              <w:left w:val="single" w:color="auto" w:sz="4" w:space="0"/>
              <w:bottom w:val="single" w:color="auto" w:sz="4" w:space="0"/>
              <w:right w:val="single" w:color="auto" w:sz="4" w:space="0"/>
            </w:tcBorders>
            <w:shd w:val="clear" w:color="auto" w:fill="A6A6A6" w:themeFill="background1" w:themeFillShade="A6"/>
            <w:noWrap/>
            <w:vAlign w:val="center"/>
            <w:hideMark/>
          </w:tcPr>
          <w:p w:rsidRPr="00575564" w:rsidR="00575564" w:rsidP="00575564" w:rsidRDefault="00575564" w14:paraId="3C1C674D" w14:textId="77777777">
            <w:pPr>
              <w:spacing w:after="0" w:line="240" w:lineRule="auto"/>
              <w:jc w:val="center"/>
              <w:rPr>
                <w:rFonts w:ascii="Verdana" w:hAnsi="Verdana" w:eastAsia="Times New Roman" w:cs="Calibri"/>
                <w:b/>
                <w:bCs/>
                <w:sz w:val="16"/>
                <w:szCs w:val="16"/>
                <w:lang w:eastAsia="es-CO"/>
              </w:rPr>
            </w:pPr>
            <w:r w:rsidRPr="00575564">
              <w:rPr>
                <w:rFonts w:ascii="Verdana" w:hAnsi="Verdana" w:eastAsia="Times New Roman" w:cs="Calibri"/>
                <w:b/>
                <w:bCs/>
                <w:sz w:val="16"/>
                <w:szCs w:val="16"/>
                <w:lang w:eastAsia="es-CO"/>
              </w:rPr>
              <w:t>Concepto</w:t>
            </w:r>
          </w:p>
        </w:tc>
        <w:tc>
          <w:tcPr>
            <w:tcW w:w="1496" w:type="dxa"/>
            <w:tcBorders>
              <w:top w:val="single" w:color="auto" w:sz="4" w:space="0"/>
              <w:left w:val="single" w:color="auto" w:sz="4" w:space="0"/>
              <w:bottom w:val="single" w:color="auto" w:sz="4" w:space="0"/>
              <w:right w:val="single" w:color="auto" w:sz="4" w:space="0"/>
            </w:tcBorders>
            <w:shd w:val="clear" w:color="auto" w:fill="A6A6A6" w:themeFill="background1" w:themeFillShade="A6"/>
            <w:noWrap/>
            <w:vAlign w:val="center"/>
            <w:hideMark/>
          </w:tcPr>
          <w:p w:rsidRPr="00575564" w:rsidR="00575564" w:rsidP="00575564" w:rsidRDefault="00575564" w14:paraId="28B3C55F" w14:textId="77777777">
            <w:pPr>
              <w:spacing w:after="0" w:line="240" w:lineRule="auto"/>
              <w:jc w:val="center"/>
              <w:rPr>
                <w:rFonts w:ascii="Verdana" w:hAnsi="Verdana" w:eastAsia="Times New Roman" w:cs="Calibri"/>
                <w:b/>
                <w:bCs/>
                <w:sz w:val="16"/>
                <w:szCs w:val="16"/>
                <w:lang w:eastAsia="es-CO"/>
              </w:rPr>
            </w:pPr>
            <w:r w:rsidRPr="00575564">
              <w:rPr>
                <w:rFonts w:ascii="Verdana" w:hAnsi="Verdana" w:eastAsia="Times New Roman" w:cs="Calibri"/>
                <w:b/>
                <w:bCs/>
                <w:sz w:val="16"/>
                <w:szCs w:val="16"/>
                <w:lang w:eastAsia="es-CO"/>
              </w:rPr>
              <w:t>Apropiación Inicial</w:t>
            </w:r>
          </w:p>
        </w:tc>
        <w:tc>
          <w:tcPr>
            <w:tcW w:w="1496" w:type="dxa"/>
            <w:tcBorders>
              <w:top w:val="single" w:color="auto" w:sz="4" w:space="0"/>
              <w:left w:val="single" w:color="auto" w:sz="4" w:space="0"/>
              <w:bottom w:val="single" w:color="auto" w:sz="4" w:space="0"/>
              <w:right w:val="single" w:color="auto" w:sz="4" w:space="0"/>
            </w:tcBorders>
            <w:shd w:val="clear" w:color="auto" w:fill="A6A6A6" w:themeFill="background1" w:themeFillShade="A6"/>
            <w:noWrap/>
            <w:vAlign w:val="center"/>
            <w:hideMark/>
          </w:tcPr>
          <w:p w:rsidRPr="00575564" w:rsidR="00575564" w:rsidP="00575564" w:rsidRDefault="00575564" w14:paraId="13A7A388" w14:textId="77777777">
            <w:pPr>
              <w:spacing w:after="0" w:line="240" w:lineRule="auto"/>
              <w:jc w:val="center"/>
              <w:rPr>
                <w:rFonts w:ascii="Verdana" w:hAnsi="Verdana" w:eastAsia="Times New Roman" w:cs="Calibri"/>
                <w:b/>
                <w:bCs/>
                <w:sz w:val="16"/>
                <w:szCs w:val="16"/>
                <w:lang w:eastAsia="es-CO"/>
              </w:rPr>
            </w:pPr>
            <w:r w:rsidRPr="00575564">
              <w:rPr>
                <w:rFonts w:ascii="Verdana" w:hAnsi="Verdana" w:eastAsia="Times New Roman" w:cs="Calibri"/>
                <w:b/>
                <w:bCs/>
                <w:sz w:val="16"/>
                <w:szCs w:val="16"/>
                <w:lang w:eastAsia="es-CO"/>
              </w:rPr>
              <w:t>Apropiación Vigente</w:t>
            </w:r>
          </w:p>
        </w:tc>
        <w:tc>
          <w:tcPr>
            <w:tcW w:w="1534" w:type="dxa"/>
            <w:tcBorders>
              <w:top w:val="single" w:color="auto" w:sz="4" w:space="0"/>
              <w:left w:val="single" w:color="auto" w:sz="4" w:space="0"/>
              <w:bottom w:val="single" w:color="auto" w:sz="4" w:space="0"/>
              <w:right w:val="single" w:color="auto" w:sz="4" w:space="0"/>
            </w:tcBorders>
            <w:shd w:val="clear" w:color="auto" w:fill="A6A6A6" w:themeFill="background1" w:themeFillShade="A6"/>
            <w:noWrap/>
            <w:vAlign w:val="center"/>
            <w:hideMark/>
          </w:tcPr>
          <w:p w:rsidRPr="00575564" w:rsidR="00575564" w:rsidP="00575564" w:rsidRDefault="00575564" w14:paraId="21395FF7" w14:textId="77777777">
            <w:pPr>
              <w:spacing w:after="0" w:line="240" w:lineRule="auto"/>
              <w:jc w:val="center"/>
              <w:rPr>
                <w:rFonts w:ascii="Verdana" w:hAnsi="Verdana" w:eastAsia="Times New Roman" w:cs="Calibri"/>
                <w:b/>
                <w:bCs/>
                <w:sz w:val="16"/>
                <w:szCs w:val="16"/>
                <w:lang w:eastAsia="es-CO"/>
              </w:rPr>
            </w:pPr>
            <w:r w:rsidRPr="00575564">
              <w:rPr>
                <w:rFonts w:ascii="Verdana" w:hAnsi="Verdana" w:eastAsia="Times New Roman" w:cs="Calibri"/>
                <w:b/>
                <w:bCs/>
                <w:sz w:val="16"/>
                <w:szCs w:val="16"/>
                <w:lang w:eastAsia="es-CO"/>
              </w:rPr>
              <w:t>Compromisos</w:t>
            </w:r>
          </w:p>
        </w:tc>
        <w:tc>
          <w:tcPr>
            <w:tcW w:w="1001" w:type="dxa"/>
            <w:tcBorders>
              <w:top w:val="single" w:color="auto" w:sz="4" w:space="0"/>
              <w:left w:val="single" w:color="auto" w:sz="4" w:space="0"/>
              <w:bottom w:val="single" w:color="auto" w:sz="4" w:space="0"/>
              <w:right w:val="single" w:color="auto" w:sz="4" w:space="0"/>
            </w:tcBorders>
            <w:shd w:val="clear" w:color="auto" w:fill="A6A6A6" w:themeFill="background1" w:themeFillShade="A6"/>
            <w:noWrap/>
            <w:vAlign w:val="center"/>
            <w:hideMark/>
          </w:tcPr>
          <w:p w:rsidR="00B06BDB" w:rsidP="00575564" w:rsidRDefault="00575564" w14:paraId="31234C1E" w14:textId="77777777">
            <w:pPr>
              <w:spacing w:after="0" w:line="240" w:lineRule="auto"/>
              <w:jc w:val="center"/>
              <w:rPr>
                <w:rFonts w:ascii="Verdana" w:hAnsi="Verdana" w:eastAsia="Times New Roman" w:cs="Calibri"/>
                <w:b/>
                <w:bCs/>
                <w:sz w:val="16"/>
                <w:szCs w:val="16"/>
                <w:lang w:eastAsia="es-CO"/>
              </w:rPr>
            </w:pPr>
            <w:r w:rsidRPr="00575564">
              <w:rPr>
                <w:rFonts w:ascii="Verdana" w:hAnsi="Verdana" w:eastAsia="Times New Roman" w:cs="Calibri"/>
                <w:b/>
                <w:bCs/>
                <w:sz w:val="16"/>
                <w:szCs w:val="16"/>
                <w:lang w:eastAsia="es-CO"/>
              </w:rPr>
              <w:t>%</w:t>
            </w:r>
          </w:p>
          <w:p w:rsidRPr="00575564" w:rsidR="00575564" w:rsidP="00575564" w:rsidRDefault="00575564" w14:paraId="322BD605" w14:textId="77777777">
            <w:pPr>
              <w:spacing w:after="0" w:line="240" w:lineRule="auto"/>
              <w:jc w:val="center"/>
              <w:rPr>
                <w:rFonts w:ascii="Verdana" w:hAnsi="Verdana" w:eastAsia="Times New Roman" w:cs="Calibri"/>
                <w:b/>
                <w:bCs/>
                <w:sz w:val="16"/>
                <w:szCs w:val="16"/>
                <w:lang w:eastAsia="es-CO"/>
              </w:rPr>
            </w:pPr>
            <w:r w:rsidRPr="00575564">
              <w:rPr>
                <w:rFonts w:ascii="Verdana" w:hAnsi="Verdana" w:eastAsia="Times New Roman" w:cs="Calibri"/>
                <w:b/>
                <w:bCs/>
                <w:sz w:val="16"/>
                <w:szCs w:val="16"/>
                <w:lang w:eastAsia="es-CO"/>
              </w:rPr>
              <w:t>Ejecución</w:t>
            </w:r>
          </w:p>
        </w:tc>
        <w:tc>
          <w:tcPr>
            <w:tcW w:w="1405" w:type="dxa"/>
            <w:tcBorders>
              <w:top w:val="single" w:color="auto" w:sz="4" w:space="0"/>
              <w:left w:val="single" w:color="auto" w:sz="4" w:space="0"/>
              <w:bottom w:val="single" w:color="auto" w:sz="4" w:space="0"/>
              <w:right w:val="single" w:color="auto" w:sz="4" w:space="0"/>
            </w:tcBorders>
            <w:shd w:val="clear" w:color="auto" w:fill="A6A6A6" w:themeFill="background1" w:themeFillShade="A6"/>
            <w:noWrap/>
            <w:vAlign w:val="center"/>
            <w:hideMark/>
          </w:tcPr>
          <w:p w:rsidRPr="00575564" w:rsidR="00575564" w:rsidP="00575564" w:rsidRDefault="00575564" w14:paraId="56BE3D5B" w14:textId="77777777">
            <w:pPr>
              <w:spacing w:after="0" w:line="240" w:lineRule="auto"/>
              <w:jc w:val="center"/>
              <w:rPr>
                <w:rFonts w:ascii="Verdana" w:hAnsi="Verdana" w:eastAsia="Times New Roman" w:cs="Calibri"/>
                <w:b/>
                <w:bCs/>
                <w:sz w:val="16"/>
                <w:szCs w:val="16"/>
                <w:lang w:eastAsia="es-CO"/>
              </w:rPr>
            </w:pPr>
            <w:r w:rsidRPr="00575564">
              <w:rPr>
                <w:rFonts w:ascii="Verdana" w:hAnsi="Verdana" w:eastAsia="Times New Roman" w:cs="Calibri"/>
                <w:b/>
                <w:bCs/>
                <w:sz w:val="16"/>
                <w:szCs w:val="16"/>
                <w:lang w:eastAsia="es-CO"/>
              </w:rPr>
              <w:t>Obligaciones</w:t>
            </w:r>
          </w:p>
        </w:tc>
        <w:tc>
          <w:tcPr>
            <w:tcW w:w="1417" w:type="dxa"/>
            <w:tcBorders>
              <w:top w:val="single" w:color="auto" w:sz="4" w:space="0"/>
              <w:left w:val="single" w:color="auto" w:sz="4" w:space="0"/>
              <w:bottom w:val="single" w:color="auto" w:sz="4" w:space="0"/>
              <w:right w:val="single" w:color="auto" w:sz="4" w:space="0"/>
            </w:tcBorders>
            <w:shd w:val="clear" w:color="auto" w:fill="A6A6A6" w:themeFill="background1" w:themeFillShade="A6"/>
            <w:noWrap/>
            <w:vAlign w:val="center"/>
            <w:hideMark/>
          </w:tcPr>
          <w:p w:rsidR="00B06BDB" w:rsidP="00575564" w:rsidRDefault="00575564" w14:paraId="5B44A718" w14:textId="77777777">
            <w:pPr>
              <w:spacing w:after="0" w:line="240" w:lineRule="auto"/>
              <w:jc w:val="center"/>
              <w:rPr>
                <w:rFonts w:ascii="Verdana" w:hAnsi="Verdana" w:eastAsia="Times New Roman" w:cs="Calibri"/>
                <w:b/>
                <w:bCs/>
                <w:sz w:val="16"/>
                <w:szCs w:val="16"/>
                <w:lang w:eastAsia="es-CO"/>
              </w:rPr>
            </w:pPr>
            <w:r w:rsidRPr="00575564">
              <w:rPr>
                <w:rFonts w:ascii="Verdana" w:hAnsi="Verdana" w:eastAsia="Times New Roman" w:cs="Calibri"/>
                <w:b/>
                <w:bCs/>
                <w:sz w:val="16"/>
                <w:szCs w:val="16"/>
                <w:lang w:eastAsia="es-CO"/>
              </w:rPr>
              <w:t>%</w:t>
            </w:r>
          </w:p>
          <w:p w:rsidRPr="00575564" w:rsidR="00575564" w:rsidP="00575564" w:rsidRDefault="00575564" w14:paraId="73CB3828" w14:textId="77777777">
            <w:pPr>
              <w:spacing w:after="0" w:line="240" w:lineRule="auto"/>
              <w:jc w:val="center"/>
              <w:rPr>
                <w:rFonts w:ascii="Verdana" w:hAnsi="Verdana" w:eastAsia="Times New Roman" w:cs="Calibri"/>
                <w:b/>
                <w:bCs/>
                <w:sz w:val="16"/>
                <w:szCs w:val="16"/>
                <w:lang w:eastAsia="es-CO"/>
              </w:rPr>
            </w:pPr>
            <w:r w:rsidRPr="00575564">
              <w:rPr>
                <w:rFonts w:ascii="Verdana" w:hAnsi="Verdana" w:eastAsia="Times New Roman" w:cs="Calibri"/>
                <w:b/>
                <w:bCs/>
                <w:sz w:val="16"/>
                <w:szCs w:val="16"/>
                <w:lang w:eastAsia="es-CO"/>
              </w:rPr>
              <w:t>Ejecución</w:t>
            </w:r>
          </w:p>
        </w:tc>
      </w:tr>
      <w:tr w:rsidRPr="00575564" w:rsidR="00575564" w:rsidTr="00B06BDB" w14:paraId="24BABC91" w14:textId="77777777">
        <w:trPr>
          <w:trHeight w:val="404"/>
        </w:trPr>
        <w:tc>
          <w:tcPr>
            <w:tcW w:w="1285" w:type="dxa"/>
            <w:tcBorders>
              <w:top w:val="single" w:color="auto" w:sz="4" w:space="0"/>
              <w:left w:val="single" w:color="auto" w:sz="4" w:space="0"/>
              <w:bottom w:val="single" w:color="auto" w:sz="4" w:space="0"/>
              <w:right w:val="nil"/>
            </w:tcBorders>
            <w:vAlign w:val="center"/>
            <w:hideMark/>
          </w:tcPr>
          <w:p w:rsidRPr="00575564" w:rsidR="00575564" w:rsidP="00575564" w:rsidRDefault="00575564" w14:paraId="79772C69"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Subsidios de Energía</w:t>
            </w:r>
            <w:r w:rsidRPr="00575564">
              <w:rPr>
                <w:rFonts w:ascii="Arial" w:hAnsi="Arial" w:eastAsia="Times New Roman" w:cs="Arial"/>
                <w:sz w:val="16"/>
                <w:szCs w:val="16"/>
                <w:lang w:eastAsia="es-CO"/>
              </w:rPr>
              <w:t>​</w:t>
            </w:r>
          </w:p>
        </w:tc>
        <w:tc>
          <w:tcPr>
            <w:tcW w:w="1496" w:type="dxa"/>
            <w:tcBorders>
              <w:top w:val="single" w:color="auto" w:sz="4" w:space="0"/>
              <w:left w:val="single" w:color="auto" w:sz="4" w:space="0"/>
              <w:bottom w:val="single" w:color="auto" w:sz="4" w:space="0"/>
              <w:right w:val="single" w:color="auto" w:sz="4" w:space="0"/>
            </w:tcBorders>
            <w:noWrap/>
            <w:vAlign w:val="center"/>
          </w:tcPr>
          <w:p w:rsidRPr="00575564" w:rsidR="00575564" w:rsidP="00575564" w:rsidRDefault="00575564" w14:paraId="6BEF9F3E"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$3.160.360</w:t>
            </w:r>
          </w:p>
        </w:tc>
        <w:tc>
          <w:tcPr>
            <w:tcW w:w="1496" w:type="dxa"/>
            <w:tcBorders>
              <w:top w:val="single" w:color="auto" w:sz="4" w:space="0"/>
              <w:left w:val="nil"/>
              <w:bottom w:val="single" w:color="auto" w:sz="4" w:space="0"/>
              <w:right w:val="single" w:color="auto" w:sz="4" w:space="0"/>
            </w:tcBorders>
            <w:noWrap/>
            <w:vAlign w:val="center"/>
          </w:tcPr>
          <w:p w:rsidRPr="00575564" w:rsidR="00575564" w:rsidP="00575564" w:rsidRDefault="00575564" w14:paraId="62BD0B54"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$3.160.360</w:t>
            </w:r>
          </w:p>
        </w:tc>
        <w:tc>
          <w:tcPr>
            <w:tcW w:w="1534" w:type="dxa"/>
            <w:tcBorders>
              <w:top w:val="single" w:color="auto" w:sz="4" w:space="0"/>
              <w:left w:val="nil"/>
              <w:bottom w:val="single" w:color="auto" w:sz="4" w:space="0"/>
              <w:right w:val="single" w:color="auto" w:sz="4" w:space="0"/>
            </w:tcBorders>
            <w:noWrap/>
            <w:vAlign w:val="center"/>
          </w:tcPr>
          <w:p w:rsidRPr="00575564" w:rsidR="00575564" w:rsidP="00575564" w:rsidRDefault="00575564" w14:paraId="09686E76"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$3.091.891</w:t>
            </w:r>
          </w:p>
        </w:tc>
        <w:tc>
          <w:tcPr>
            <w:tcW w:w="1001" w:type="dxa"/>
            <w:tcBorders>
              <w:top w:val="single" w:color="auto" w:sz="4" w:space="0"/>
              <w:left w:val="nil"/>
              <w:bottom w:val="single" w:color="auto" w:sz="4" w:space="0"/>
              <w:right w:val="single" w:color="auto" w:sz="4" w:space="0"/>
            </w:tcBorders>
            <w:noWrap/>
            <w:vAlign w:val="center"/>
          </w:tcPr>
          <w:p w:rsidRPr="00575564" w:rsidR="00575564" w:rsidP="00575564" w:rsidRDefault="00575564" w14:paraId="06624949"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97,8%</w:t>
            </w:r>
          </w:p>
        </w:tc>
        <w:tc>
          <w:tcPr>
            <w:tcW w:w="1405" w:type="dxa"/>
            <w:tcBorders>
              <w:top w:val="single" w:color="auto" w:sz="4" w:space="0"/>
              <w:left w:val="nil"/>
              <w:bottom w:val="single" w:color="auto" w:sz="4" w:space="0"/>
              <w:right w:val="single" w:color="auto" w:sz="4" w:space="0"/>
            </w:tcBorders>
            <w:noWrap/>
            <w:vAlign w:val="center"/>
          </w:tcPr>
          <w:p w:rsidRPr="00575564" w:rsidR="00575564" w:rsidP="00575564" w:rsidRDefault="00575564" w14:paraId="03A233A4"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$2.869.361</w:t>
            </w:r>
          </w:p>
        </w:tc>
        <w:tc>
          <w:tcPr>
            <w:tcW w:w="1417" w:type="dxa"/>
            <w:tcBorders>
              <w:top w:val="single" w:color="auto" w:sz="4" w:space="0"/>
              <w:left w:val="nil"/>
              <w:bottom w:val="single" w:color="auto" w:sz="4" w:space="0"/>
              <w:right w:val="single" w:color="auto" w:sz="4" w:space="0"/>
            </w:tcBorders>
            <w:noWrap/>
            <w:vAlign w:val="center"/>
          </w:tcPr>
          <w:p w:rsidRPr="00575564" w:rsidR="00575564" w:rsidP="00575564" w:rsidRDefault="00575564" w14:paraId="00A3BDF3"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90,8%</w:t>
            </w:r>
          </w:p>
        </w:tc>
      </w:tr>
      <w:tr w:rsidRPr="00575564" w:rsidR="00575564" w:rsidTr="00B06BDB" w14:paraId="72E62EF1" w14:textId="77777777">
        <w:trPr>
          <w:trHeight w:val="404"/>
        </w:trPr>
        <w:tc>
          <w:tcPr>
            <w:tcW w:w="1285" w:type="dxa"/>
            <w:tcBorders>
              <w:top w:val="single" w:color="auto" w:sz="4" w:space="0"/>
              <w:left w:val="single" w:color="auto" w:sz="4" w:space="0"/>
              <w:bottom w:val="single" w:color="auto" w:sz="4" w:space="0"/>
              <w:right w:val="nil"/>
            </w:tcBorders>
            <w:vAlign w:val="center"/>
            <w:hideMark/>
          </w:tcPr>
          <w:p w:rsidRPr="00575564" w:rsidR="00575564" w:rsidP="00575564" w:rsidRDefault="00575564" w14:paraId="2AE0BD60"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Subsidios Gas por Red</w:t>
            </w:r>
            <w:r w:rsidRPr="00575564">
              <w:rPr>
                <w:rFonts w:ascii="Arial" w:hAnsi="Arial" w:eastAsia="Times New Roman" w:cs="Arial"/>
                <w:sz w:val="16"/>
                <w:szCs w:val="16"/>
                <w:lang w:eastAsia="es-CO"/>
              </w:rPr>
              <w:t>​</w:t>
            </w:r>
          </w:p>
        </w:tc>
        <w:tc>
          <w:tcPr>
            <w:tcW w:w="1496" w:type="dxa"/>
            <w:tcBorders>
              <w:top w:val="single" w:color="auto" w:sz="4" w:space="0"/>
              <w:left w:val="single" w:color="auto" w:sz="4" w:space="0"/>
              <w:bottom w:val="single" w:color="auto" w:sz="4" w:space="0"/>
              <w:right w:val="single" w:color="auto" w:sz="4" w:space="0"/>
            </w:tcBorders>
            <w:noWrap/>
            <w:vAlign w:val="center"/>
          </w:tcPr>
          <w:p w:rsidRPr="00575564" w:rsidR="00575564" w:rsidP="00575564" w:rsidRDefault="00575564" w14:paraId="0ACDE1C9"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$947.859</w:t>
            </w:r>
          </w:p>
        </w:tc>
        <w:tc>
          <w:tcPr>
            <w:tcW w:w="1496" w:type="dxa"/>
            <w:tcBorders>
              <w:top w:val="single" w:color="auto" w:sz="4" w:space="0"/>
              <w:left w:val="nil"/>
              <w:bottom w:val="single" w:color="auto" w:sz="4" w:space="0"/>
              <w:right w:val="single" w:color="auto" w:sz="4" w:space="0"/>
            </w:tcBorders>
            <w:noWrap/>
            <w:vAlign w:val="center"/>
          </w:tcPr>
          <w:p w:rsidRPr="00575564" w:rsidR="00575564" w:rsidP="00575564" w:rsidRDefault="00575564" w14:paraId="175B85F2"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$839.055</w:t>
            </w:r>
          </w:p>
        </w:tc>
        <w:tc>
          <w:tcPr>
            <w:tcW w:w="1534" w:type="dxa"/>
            <w:tcBorders>
              <w:top w:val="single" w:color="auto" w:sz="4" w:space="0"/>
              <w:left w:val="nil"/>
              <w:bottom w:val="single" w:color="auto" w:sz="4" w:space="0"/>
              <w:right w:val="single" w:color="auto" w:sz="4" w:space="0"/>
            </w:tcBorders>
            <w:noWrap/>
            <w:vAlign w:val="center"/>
          </w:tcPr>
          <w:p w:rsidRPr="00575564" w:rsidR="00575564" w:rsidP="00575564" w:rsidRDefault="00575564" w14:paraId="2D2E4D4D"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$839.055</w:t>
            </w:r>
          </w:p>
        </w:tc>
        <w:tc>
          <w:tcPr>
            <w:tcW w:w="1001" w:type="dxa"/>
            <w:tcBorders>
              <w:top w:val="single" w:color="auto" w:sz="4" w:space="0"/>
              <w:left w:val="nil"/>
              <w:bottom w:val="single" w:color="auto" w:sz="4" w:space="0"/>
              <w:right w:val="single" w:color="auto" w:sz="4" w:space="0"/>
            </w:tcBorders>
            <w:noWrap/>
            <w:vAlign w:val="center"/>
          </w:tcPr>
          <w:p w:rsidRPr="00575564" w:rsidR="00575564" w:rsidP="00575564" w:rsidRDefault="00575564" w14:paraId="64583D87"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100,0%</w:t>
            </w:r>
          </w:p>
        </w:tc>
        <w:tc>
          <w:tcPr>
            <w:tcW w:w="1405" w:type="dxa"/>
            <w:tcBorders>
              <w:top w:val="single" w:color="auto" w:sz="4" w:space="0"/>
              <w:left w:val="nil"/>
              <w:bottom w:val="single" w:color="auto" w:sz="4" w:space="0"/>
              <w:right w:val="single" w:color="auto" w:sz="4" w:space="0"/>
            </w:tcBorders>
            <w:noWrap/>
            <w:vAlign w:val="center"/>
          </w:tcPr>
          <w:p w:rsidRPr="00575564" w:rsidR="00575564" w:rsidP="00575564" w:rsidRDefault="00575564" w14:paraId="283D4F3B"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$839.055</w:t>
            </w:r>
          </w:p>
        </w:tc>
        <w:tc>
          <w:tcPr>
            <w:tcW w:w="1417" w:type="dxa"/>
            <w:tcBorders>
              <w:top w:val="single" w:color="auto" w:sz="4" w:space="0"/>
              <w:left w:val="nil"/>
              <w:bottom w:val="single" w:color="auto" w:sz="4" w:space="0"/>
              <w:right w:val="single" w:color="auto" w:sz="4" w:space="0"/>
            </w:tcBorders>
            <w:noWrap/>
            <w:vAlign w:val="center"/>
          </w:tcPr>
          <w:p w:rsidRPr="00575564" w:rsidR="00575564" w:rsidP="00575564" w:rsidRDefault="00575564" w14:paraId="53154ADF"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100,0%</w:t>
            </w:r>
          </w:p>
        </w:tc>
      </w:tr>
      <w:tr w:rsidRPr="00575564" w:rsidR="00575564" w:rsidTr="00B06BDB" w14:paraId="06B59601" w14:textId="77777777">
        <w:trPr>
          <w:trHeight w:val="328"/>
        </w:trPr>
        <w:tc>
          <w:tcPr>
            <w:tcW w:w="1285" w:type="dxa"/>
            <w:tcBorders>
              <w:top w:val="single" w:color="auto" w:sz="4" w:space="0"/>
              <w:left w:val="single" w:color="auto" w:sz="4" w:space="0"/>
              <w:bottom w:val="single" w:color="auto" w:sz="4" w:space="0"/>
              <w:right w:val="nil"/>
            </w:tcBorders>
            <w:vAlign w:val="center"/>
            <w:hideMark/>
          </w:tcPr>
          <w:p w:rsidRPr="00575564" w:rsidR="00575564" w:rsidP="00575564" w:rsidRDefault="00575564" w14:paraId="03A3BCE7"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Otros Subsidios</w:t>
            </w:r>
            <w:r w:rsidRPr="00575564">
              <w:rPr>
                <w:rFonts w:ascii="Arial" w:hAnsi="Arial" w:eastAsia="Times New Roman" w:cs="Arial"/>
                <w:sz w:val="16"/>
                <w:szCs w:val="16"/>
                <w:lang w:eastAsia="es-CO"/>
              </w:rPr>
              <w:t>​</w:t>
            </w:r>
          </w:p>
        </w:tc>
        <w:tc>
          <w:tcPr>
            <w:tcW w:w="1496" w:type="dxa"/>
            <w:tcBorders>
              <w:top w:val="single" w:color="auto" w:sz="4" w:space="0"/>
              <w:left w:val="single" w:color="auto" w:sz="4" w:space="0"/>
              <w:bottom w:val="single" w:color="auto" w:sz="4" w:space="0"/>
              <w:right w:val="single" w:color="auto" w:sz="4" w:space="0"/>
            </w:tcBorders>
            <w:noWrap/>
            <w:vAlign w:val="center"/>
          </w:tcPr>
          <w:p w:rsidRPr="00575564" w:rsidR="00575564" w:rsidP="00575564" w:rsidRDefault="00575564" w14:paraId="3B92AC61"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$335.658</w:t>
            </w:r>
          </w:p>
        </w:tc>
        <w:tc>
          <w:tcPr>
            <w:tcW w:w="1496" w:type="dxa"/>
            <w:tcBorders>
              <w:top w:val="single" w:color="auto" w:sz="4" w:space="0"/>
              <w:left w:val="nil"/>
              <w:bottom w:val="single" w:color="auto" w:sz="4" w:space="0"/>
              <w:right w:val="single" w:color="auto" w:sz="4" w:space="0"/>
            </w:tcBorders>
            <w:noWrap/>
            <w:vAlign w:val="center"/>
          </w:tcPr>
          <w:p w:rsidRPr="00575564" w:rsidR="00575564" w:rsidP="00575564" w:rsidRDefault="00575564" w14:paraId="04EBE381"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$366.281</w:t>
            </w:r>
          </w:p>
        </w:tc>
        <w:tc>
          <w:tcPr>
            <w:tcW w:w="1534" w:type="dxa"/>
            <w:tcBorders>
              <w:top w:val="single" w:color="auto" w:sz="4" w:space="0"/>
              <w:left w:val="nil"/>
              <w:bottom w:val="single" w:color="auto" w:sz="4" w:space="0"/>
              <w:right w:val="single" w:color="auto" w:sz="4" w:space="0"/>
            </w:tcBorders>
            <w:noWrap/>
            <w:vAlign w:val="center"/>
          </w:tcPr>
          <w:p w:rsidRPr="00575564" w:rsidR="00575564" w:rsidP="00575564" w:rsidRDefault="00575564" w14:paraId="68836C4E"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$357.753</w:t>
            </w:r>
          </w:p>
        </w:tc>
        <w:tc>
          <w:tcPr>
            <w:tcW w:w="1001" w:type="dxa"/>
            <w:tcBorders>
              <w:top w:val="single" w:color="auto" w:sz="4" w:space="0"/>
              <w:left w:val="nil"/>
              <w:bottom w:val="single" w:color="auto" w:sz="4" w:space="0"/>
              <w:right w:val="single" w:color="auto" w:sz="4" w:space="0"/>
            </w:tcBorders>
            <w:noWrap/>
            <w:vAlign w:val="center"/>
          </w:tcPr>
          <w:p w:rsidRPr="00575564" w:rsidR="00575564" w:rsidP="00575564" w:rsidRDefault="00575564" w14:paraId="14DEDF21"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97,7%</w:t>
            </w:r>
          </w:p>
        </w:tc>
        <w:tc>
          <w:tcPr>
            <w:tcW w:w="1405" w:type="dxa"/>
            <w:tcBorders>
              <w:top w:val="single" w:color="auto" w:sz="4" w:space="0"/>
              <w:left w:val="nil"/>
              <w:bottom w:val="single" w:color="auto" w:sz="4" w:space="0"/>
              <w:right w:val="single" w:color="auto" w:sz="4" w:space="0"/>
            </w:tcBorders>
            <w:noWrap/>
            <w:vAlign w:val="center"/>
          </w:tcPr>
          <w:p w:rsidRPr="00575564" w:rsidR="00575564" w:rsidP="00575564" w:rsidRDefault="00575564" w14:paraId="4522B2F4"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$273.177</w:t>
            </w:r>
          </w:p>
        </w:tc>
        <w:tc>
          <w:tcPr>
            <w:tcW w:w="1417" w:type="dxa"/>
            <w:tcBorders>
              <w:top w:val="single" w:color="auto" w:sz="4" w:space="0"/>
              <w:left w:val="nil"/>
              <w:bottom w:val="single" w:color="auto" w:sz="4" w:space="0"/>
              <w:right w:val="single" w:color="auto" w:sz="4" w:space="0"/>
            </w:tcBorders>
            <w:noWrap/>
            <w:vAlign w:val="center"/>
          </w:tcPr>
          <w:p w:rsidRPr="00575564" w:rsidR="00575564" w:rsidP="00575564" w:rsidRDefault="00575564" w14:paraId="5F381CCC"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74,6%</w:t>
            </w:r>
          </w:p>
        </w:tc>
      </w:tr>
      <w:tr w:rsidRPr="00575564" w:rsidR="00575564" w:rsidTr="00B06BDB" w14:paraId="6DE6487C" w14:textId="77777777">
        <w:trPr>
          <w:trHeight w:val="328"/>
        </w:trPr>
        <w:tc>
          <w:tcPr>
            <w:tcW w:w="1285" w:type="dxa"/>
            <w:tcBorders>
              <w:top w:val="single" w:color="auto" w:sz="4" w:space="0"/>
              <w:left w:val="single" w:color="auto" w:sz="4" w:space="0"/>
              <w:bottom w:val="single" w:color="auto" w:sz="4" w:space="0"/>
              <w:right w:val="nil"/>
            </w:tcBorders>
            <w:vAlign w:val="center"/>
            <w:hideMark/>
          </w:tcPr>
          <w:p w:rsidRPr="00575564" w:rsidR="00575564" w:rsidP="00575564" w:rsidRDefault="00575564" w14:paraId="7F485A4F"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Fondos</w:t>
            </w:r>
            <w:r w:rsidRPr="00575564">
              <w:rPr>
                <w:rFonts w:ascii="Arial" w:hAnsi="Arial" w:eastAsia="Times New Roman" w:cs="Arial"/>
                <w:sz w:val="16"/>
                <w:szCs w:val="16"/>
                <w:lang w:eastAsia="es-CO"/>
              </w:rPr>
              <w:t>​</w:t>
            </w:r>
          </w:p>
        </w:tc>
        <w:tc>
          <w:tcPr>
            <w:tcW w:w="1496" w:type="dxa"/>
            <w:tcBorders>
              <w:top w:val="single" w:color="auto" w:sz="4" w:space="0"/>
              <w:left w:val="single" w:color="auto" w:sz="4" w:space="0"/>
              <w:bottom w:val="single" w:color="auto" w:sz="4" w:space="0"/>
              <w:right w:val="single" w:color="auto" w:sz="4" w:space="0"/>
            </w:tcBorders>
            <w:noWrap/>
            <w:vAlign w:val="center"/>
          </w:tcPr>
          <w:p w:rsidRPr="00575564" w:rsidR="00575564" w:rsidP="00575564" w:rsidRDefault="00575564" w14:paraId="15BD8083"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$868.717</w:t>
            </w:r>
          </w:p>
        </w:tc>
        <w:tc>
          <w:tcPr>
            <w:tcW w:w="1496" w:type="dxa"/>
            <w:tcBorders>
              <w:top w:val="single" w:color="auto" w:sz="4" w:space="0"/>
              <w:left w:val="nil"/>
              <w:bottom w:val="single" w:color="auto" w:sz="4" w:space="0"/>
              <w:right w:val="single" w:color="auto" w:sz="4" w:space="0"/>
            </w:tcBorders>
            <w:noWrap/>
            <w:vAlign w:val="center"/>
          </w:tcPr>
          <w:p w:rsidRPr="00575564" w:rsidR="00575564" w:rsidP="00575564" w:rsidRDefault="00575564" w14:paraId="21F7E627"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$868.717</w:t>
            </w:r>
          </w:p>
        </w:tc>
        <w:tc>
          <w:tcPr>
            <w:tcW w:w="1534" w:type="dxa"/>
            <w:tcBorders>
              <w:top w:val="single" w:color="auto" w:sz="4" w:space="0"/>
              <w:left w:val="nil"/>
              <w:bottom w:val="single" w:color="auto" w:sz="4" w:space="0"/>
              <w:right w:val="single" w:color="auto" w:sz="4" w:space="0"/>
            </w:tcBorders>
            <w:noWrap/>
            <w:vAlign w:val="center"/>
          </w:tcPr>
          <w:p w:rsidRPr="00575564" w:rsidR="00575564" w:rsidP="00575564" w:rsidRDefault="00575564" w14:paraId="3E45215D"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$611.104</w:t>
            </w:r>
          </w:p>
        </w:tc>
        <w:tc>
          <w:tcPr>
            <w:tcW w:w="1001" w:type="dxa"/>
            <w:tcBorders>
              <w:top w:val="single" w:color="auto" w:sz="4" w:space="0"/>
              <w:left w:val="nil"/>
              <w:bottom w:val="single" w:color="auto" w:sz="4" w:space="0"/>
              <w:right w:val="single" w:color="auto" w:sz="4" w:space="0"/>
            </w:tcBorders>
            <w:noWrap/>
            <w:vAlign w:val="center"/>
          </w:tcPr>
          <w:p w:rsidRPr="00575564" w:rsidR="00575564" w:rsidP="00575564" w:rsidRDefault="00575564" w14:paraId="7D1DB34A"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70,3%</w:t>
            </w:r>
          </w:p>
        </w:tc>
        <w:tc>
          <w:tcPr>
            <w:tcW w:w="1405" w:type="dxa"/>
            <w:tcBorders>
              <w:top w:val="single" w:color="auto" w:sz="4" w:space="0"/>
              <w:left w:val="nil"/>
              <w:bottom w:val="single" w:color="auto" w:sz="4" w:space="0"/>
              <w:right w:val="single" w:color="auto" w:sz="4" w:space="0"/>
            </w:tcBorders>
            <w:noWrap/>
            <w:vAlign w:val="center"/>
          </w:tcPr>
          <w:p w:rsidRPr="00575564" w:rsidR="00575564" w:rsidP="00575564" w:rsidRDefault="00575564" w14:paraId="77741B29"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$103.138</w:t>
            </w:r>
          </w:p>
        </w:tc>
        <w:tc>
          <w:tcPr>
            <w:tcW w:w="1417" w:type="dxa"/>
            <w:tcBorders>
              <w:top w:val="single" w:color="auto" w:sz="4" w:space="0"/>
              <w:left w:val="nil"/>
              <w:bottom w:val="single" w:color="auto" w:sz="4" w:space="0"/>
              <w:right w:val="single" w:color="auto" w:sz="4" w:space="0"/>
            </w:tcBorders>
            <w:noWrap/>
            <w:vAlign w:val="center"/>
          </w:tcPr>
          <w:p w:rsidRPr="00575564" w:rsidR="00575564" w:rsidP="00575564" w:rsidRDefault="00575564" w14:paraId="3C42E8B5"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11,9%</w:t>
            </w:r>
          </w:p>
        </w:tc>
      </w:tr>
      <w:tr w:rsidRPr="00575564" w:rsidR="00575564" w:rsidTr="00B06BDB" w14:paraId="6EF81D44" w14:textId="77777777">
        <w:trPr>
          <w:trHeight w:val="317"/>
        </w:trPr>
        <w:tc>
          <w:tcPr>
            <w:tcW w:w="1285" w:type="dxa"/>
            <w:tcBorders>
              <w:top w:val="single" w:color="auto" w:sz="4" w:space="0"/>
              <w:left w:val="single" w:color="auto" w:sz="4" w:space="0"/>
              <w:bottom w:val="single" w:color="auto" w:sz="4" w:space="0"/>
              <w:right w:val="single" w:color="auto" w:sz="4" w:space="0"/>
            </w:tcBorders>
            <w:shd w:val="clear" w:color="auto" w:fill="BFBFBF" w:themeFill="background1" w:themeFillShade="BF"/>
            <w:vAlign w:val="center"/>
            <w:hideMark/>
          </w:tcPr>
          <w:p w:rsidRPr="00575564" w:rsidR="00575564" w:rsidP="00575564" w:rsidRDefault="00575564" w14:paraId="3677A9FE" w14:textId="77777777">
            <w:pPr>
              <w:spacing w:after="0" w:line="240" w:lineRule="auto"/>
              <w:jc w:val="center"/>
              <w:rPr>
                <w:rFonts w:ascii="Verdana" w:hAnsi="Verdana" w:eastAsia="Times New Roman" w:cs="Calibri"/>
                <w:b/>
                <w:bCs/>
                <w:sz w:val="16"/>
                <w:szCs w:val="16"/>
                <w:lang w:eastAsia="es-CO"/>
              </w:rPr>
            </w:pPr>
            <w:r w:rsidRPr="00575564">
              <w:rPr>
                <w:rFonts w:ascii="Verdana" w:hAnsi="Verdana" w:eastAsia="Times New Roman" w:cs="Calibri"/>
                <w:b/>
                <w:bCs/>
                <w:sz w:val="16"/>
                <w:szCs w:val="16"/>
                <w:lang w:eastAsia="es-CO"/>
              </w:rPr>
              <w:t>Total</w:t>
            </w:r>
          </w:p>
        </w:tc>
        <w:tc>
          <w:tcPr>
            <w:tcW w:w="1496" w:type="dxa"/>
            <w:tcBorders>
              <w:top w:val="single" w:color="auto" w:sz="4" w:space="0"/>
              <w:left w:val="single" w:color="auto" w:sz="4" w:space="0"/>
              <w:bottom w:val="single" w:color="auto" w:sz="4" w:space="0"/>
              <w:right w:val="single" w:color="auto" w:sz="4" w:space="0"/>
            </w:tcBorders>
            <w:shd w:val="clear" w:color="auto" w:fill="BFBFBF" w:themeFill="background1" w:themeFillShade="BF"/>
            <w:noWrap/>
            <w:vAlign w:val="center"/>
          </w:tcPr>
          <w:p w:rsidRPr="00575564" w:rsidR="00575564" w:rsidP="00575564" w:rsidRDefault="00575564" w14:paraId="27C1534F" w14:textId="77777777">
            <w:pPr>
              <w:spacing w:after="0" w:line="240" w:lineRule="auto"/>
              <w:jc w:val="center"/>
              <w:rPr>
                <w:rFonts w:ascii="Verdana" w:hAnsi="Verdana" w:cs="Calibri"/>
                <w:sz w:val="16"/>
                <w:szCs w:val="16"/>
              </w:rPr>
            </w:pPr>
          </w:p>
          <w:p w:rsidRPr="00575564" w:rsidR="00575564" w:rsidP="00575564" w:rsidRDefault="00575564" w14:paraId="3EA5D5F7" w14:textId="77777777">
            <w:pPr>
              <w:spacing w:after="0" w:line="240" w:lineRule="auto"/>
              <w:jc w:val="center"/>
              <w:rPr>
                <w:rFonts w:ascii="Verdana" w:hAnsi="Verdana" w:cs="Calibri"/>
                <w:sz w:val="16"/>
                <w:szCs w:val="16"/>
              </w:rPr>
            </w:pPr>
            <w:r w:rsidRPr="00575564">
              <w:rPr>
                <w:rFonts w:ascii="Verdana" w:hAnsi="Verdana" w:cs="Calibri"/>
                <w:sz w:val="16"/>
                <w:szCs w:val="16"/>
              </w:rPr>
              <w:t>$5.312.594</w:t>
            </w:r>
          </w:p>
          <w:p w:rsidRPr="00575564" w:rsidR="00575564" w:rsidP="00575564" w:rsidRDefault="00575564" w14:paraId="7B0E3D84" w14:textId="77777777">
            <w:pPr>
              <w:spacing w:after="0" w:line="240" w:lineRule="auto"/>
              <w:jc w:val="center"/>
              <w:rPr>
                <w:rFonts w:ascii="Verdana" w:hAnsi="Verdana" w:eastAsia="Times New Roman" w:cs="Calibri"/>
                <w:sz w:val="16"/>
                <w:szCs w:val="16"/>
                <w:lang w:eastAsia="es-CO"/>
              </w:rPr>
            </w:pPr>
          </w:p>
        </w:tc>
        <w:tc>
          <w:tcPr>
            <w:tcW w:w="1496" w:type="dxa"/>
            <w:tcBorders>
              <w:top w:val="single" w:color="auto" w:sz="4" w:space="0"/>
              <w:left w:val="single" w:color="auto" w:sz="4" w:space="0"/>
              <w:bottom w:val="single" w:color="auto" w:sz="4" w:space="0"/>
              <w:right w:val="single" w:color="auto" w:sz="4" w:space="0"/>
            </w:tcBorders>
            <w:shd w:val="clear" w:color="auto" w:fill="BFBFBF" w:themeFill="background1" w:themeFillShade="BF"/>
            <w:noWrap/>
            <w:vAlign w:val="center"/>
          </w:tcPr>
          <w:p w:rsidRPr="00575564" w:rsidR="00575564" w:rsidP="00575564" w:rsidRDefault="00575564" w14:paraId="6C5AFA85" w14:textId="77777777">
            <w:pPr>
              <w:spacing w:after="0" w:line="240" w:lineRule="auto"/>
              <w:jc w:val="center"/>
              <w:rPr>
                <w:rFonts w:ascii="Verdana" w:hAnsi="Verdana" w:cs="Calibri"/>
                <w:sz w:val="16"/>
                <w:szCs w:val="16"/>
              </w:rPr>
            </w:pPr>
          </w:p>
          <w:p w:rsidRPr="00575564" w:rsidR="00575564" w:rsidP="00575564" w:rsidRDefault="00575564" w14:paraId="7949AD09" w14:textId="77777777">
            <w:pPr>
              <w:spacing w:after="0" w:line="240" w:lineRule="auto"/>
              <w:jc w:val="center"/>
              <w:rPr>
                <w:rFonts w:ascii="Verdana" w:hAnsi="Verdana" w:cs="Calibri"/>
                <w:sz w:val="16"/>
                <w:szCs w:val="16"/>
              </w:rPr>
            </w:pPr>
            <w:r w:rsidRPr="00575564">
              <w:rPr>
                <w:rFonts w:ascii="Verdana" w:hAnsi="Verdana" w:cs="Calibri"/>
                <w:sz w:val="16"/>
                <w:szCs w:val="16"/>
              </w:rPr>
              <w:t>$5.234.413</w:t>
            </w:r>
          </w:p>
          <w:p w:rsidRPr="00575564" w:rsidR="00575564" w:rsidP="00575564" w:rsidRDefault="00575564" w14:paraId="1A8021B1" w14:textId="77777777">
            <w:pPr>
              <w:spacing w:after="0" w:line="240" w:lineRule="auto"/>
              <w:jc w:val="center"/>
              <w:rPr>
                <w:rFonts w:ascii="Verdana" w:hAnsi="Verdana" w:eastAsia="Times New Roman" w:cs="Calibri"/>
                <w:sz w:val="16"/>
                <w:szCs w:val="16"/>
                <w:lang w:eastAsia="es-CO"/>
              </w:rPr>
            </w:pPr>
          </w:p>
        </w:tc>
        <w:tc>
          <w:tcPr>
            <w:tcW w:w="1534" w:type="dxa"/>
            <w:tcBorders>
              <w:top w:val="single" w:color="auto" w:sz="4" w:space="0"/>
              <w:left w:val="single" w:color="auto" w:sz="4" w:space="0"/>
              <w:bottom w:val="single" w:color="auto" w:sz="4" w:space="0"/>
              <w:right w:val="single" w:color="auto" w:sz="4" w:space="0"/>
            </w:tcBorders>
            <w:shd w:val="clear" w:color="auto" w:fill="BFBFBF" w:themeFill="background1" w:themeFillShade="BF"/>
            <w:noWrap/>
            <w:vAlign w:val="center"/>
          </w:tcPr>
          <w:p w:rsidRPr="00575564" w:rsidR="00575564" w:rsidP="00575564" w:rsidRDefault="00575564" w14:paraId="40993AAC" w14:textId="77777777">
            <w:pPr>
              <w:spacing w:after="0" w:line="240" w:lineRule="auto"/>
              <w:jc w:val="center"/>
              <w:rPr>
                <w:rFonts w:ascii="Verdana" w:hAnsi="Verdana" w:cs="Calibri"/>
                <w:sz w:val="16"/>
                <w:szCs w:val="16"/>
              </w:rPr>
            </w:pPr>
          </w:p>
          <w:p w:rsidRPr="00575564" w:rsidR="00575564" w:rsidP="00575564" w:rsidRDefault="00575564" w14:paraId="516CBB3D" w14:textId="77777777">
            <w:pPr>
              <w:spacing w:after="0" w:line="240" w:lineRule="auto"/>
              <w:jc w:val="center"/>
              <w:rPr>
                <w:rFonts w:ascii="Verdana" w:hAnsi="Verdana" w:cs="Calibri"/>
                <w:sz w:val="16"/>
                <w:szCs w:val="16"/>
              </w:rPr>
            </w:pPr>
            <w:r w:rsidRPr="00575564">
              <w:rPr>
                <w:rFonts w:ascii="Verdana" w:hAnsi="Verdana" w:cs="Calibri"/>
                <w:sz w:val="16"/>
                <w:szCs w:val="16"/>
              </w:rPr>
              <w:t>$4.899.803</w:t>
            </w:r>
          </w:p>
          <w:p w:rsidRPr="00575564" w:rsidR="00575564" w:rsidP="00575564" w:rsidRDefault="00575564" w14:paraId="5357FC6F" w14:textId="77777777">
            <w:pPr>
              <w:spacing w:after="0" w:line="240" w:lineRule="auto"/>
              <w:jc w:val="center"/>
              <w:rPr>
                <w:rFonts w:ascii="Verdana" w:hAnsi="Verdana" w:eastAsia="Times New Roman" w:cs="Calibri"/>
                <w:sz w:val="16"/>
                <w:szCs w:val="16"/>
                <w:lang w:eastAsia="es-CO"/>
              </w:rPr>
            </w:pPr>
          </w:p>
        </w:tc>
        <w:tc>
          <w:tcPr>
            <w:tcW w:w="1001" w:type="dxa"/>
            <w:tcBorders>
              <w:top w:val="single" w:color="auto" w:sz="4" w:space="0"/>
              <w:left w:val="single" w:color="auto" w:sz="4" w:space="0"/>
              <w:bottom w:val="single" w:color="auto" w:sz="4" w:space="0"/>
              <w:right w:val="single" w:color="auto" w:sz="4" w:space="0"/>
            </w:tcBorders>
            <w:shd w:val="clear" w:color="auto" w:fill="BFBFBF" w:themeFill="background1" w:themeFillShade="BF"/>
            <w:noWrap/>
            <w:vAlign w:val="center"/>
          </w:tcPr>
          <w:p w:rsidRPr="00575564" w:rsidR="00575564" w:rsidP="00575564" w:rsidRDefault="00575564" w14:paraId="717C1007"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93,6%</w:t>
            </w:r>
          </w:p>
        </w:tc>
        <w:tc>
          <w:tcPr>
            <w:tcW w:w="1405" w:type="dxa"/>
            <w:tcBorders>
              <w:top w:val="single" w:color="auto" w:sz="4" w:space="0"/>
              <w:left w:val="single" w:color="auto" w:sz="4" w:space="0"/>
              <w:bottom w:val="single" w:color="auto" w:sz="4" w:space="0"/>
              <w:right w:val="single" w:color="auto" w:sz="4" w:space="0"/>
            </w:tcBorders>
            <w:shd w:val="clear" w:color="auto" w:fill="BFBFBF" w:themeFill="background1" w:themeFillShade="BF"/>
            <w:noWrap/>
            <w:vAlign w:val="center"/>
          </w:tcPr>
          <w:p w:rsidRPr="00575564" w:rsidR="00575564" w:rsidP="00575564" w:rsidRDefault="00575564" w14:paraId="3F7FD75A" w14:textId="77777777">
            <w:pPr>
              <w:spacing w:after="0" w:line="240" w:lineRule="auto"/>
              <w:jc w:val="center"/>
              <w:rPr>
                <w:rFonts w:ascii="Verdana" w:hAnsi="Verdana" w:cs="Calibri"/>
                <w:sz w:val="16"/>
                <w:szCs w:val="16"/>
              </w:rPr>
            </w:pPr>
          </w:p>
          <w:p w:rsidRPr="00575564" w:rsidR="00575564" w:rsidP="00575564" w:rsidRDefault="00575564" w14:paraId="26756672" w14:textId="77777777">
            <w:pPr>
              <w:spacing w:after="0" w:line="240" w:lineRule="auto"/>
              <w:jc w:val="center"/>
              <w:rPr>
                <w:rFonts w:ascii="Verdana" w:hAnsi="Verdana" w:cs="Calibri"/>
                <w:sz w:val="16"/>
                <w:szCs w:val="16"/>
              </w:rPr>
            </w:pPr>
            <w:r w:rsidRPr="00575564">
              <w:rPr>
                <w:rFonts w:ascii="Verdana" w:hAnsi="Verdana" w:cs="Calibri"/>
                <w:sz w:val="16"/>
                <w:szCs w:val="16"/>
              </w:rPr>
              <w:t>$4.084.733</w:t>
            </w:r>
          </w:p>
          <w:p w:rsidRPr="00575564" w:rsidR="00575564" w:rsidP="00575564" w:rsidRDefault="00575564" w14:paraId="00E7F996" w14:textId="77777777">
            <w:pPr>
              <w:spacing w:after="0" w:line="240" w:lineRule="auto"/>
              <w:jc w:val="center"/>
              <w:rPr>
                <w:rFonts w:ascii="Verdana" w:hAnsi="Verdana" w:eastAsia="Times New Roman" w:cs="Calibri"/>
                <w:sz w:val="16"/>
                <w:szCs w:val="16"/>
                <w:lang w:eastAsia="es-CO"/>
              </w:rPr>
            </w:pPr>
          </w:p>
        </w:tc>
        <w:tc>
          <w:tcPr>
            <w:tcW w:w="1417" w:type="dxa"/>
            <w:tcBorders>
              <w:top w:val="single" w:color="auto" w:sz="4" w:space="0"/>
              <w:left w:val="single" w:color="auto" w:sz="4" w:space="0"/>
              <w:bottom w:val="single" w:color="auto" w:sz="4" w:space="0"/>
              <w:right w:val="single" w:color="auto" w:sz="4" w:space="0"/>
            </w:tcBorders>
            <w:shd w:val="clear" w:color="auto" w:fill="BFBFBF" w:themeFill="background1" w:themeFillShade="BF"/>
            <w:noWrap/>
            <w:vAlign w:val="center"/>
          </w:tcPr>
          <w:p w:rsidRPr="00575564" w:rsidR="00575564" w:rsidP="00575564" w:rsidRDefault="00575564" w14:paraId="5E5E9E9F"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78,0%</w:t>
            </w:r>
          </w:p>
        </w:tc>
      </w:tr>
    </w:tbl>
    <w:p w:rsidRPr="00575564" w:rsidR="00575564" w:rsidP="30CF4445" w:rsidRDefault="00575564" w14:paraId="3F87A766" w14:textId="39D4F4F4">
      <w:pPr>
        <w:spacing w:after="0" w:line="240" w:lineRule="auto"/>
        <w:jc w:val="center"/>
        <w:rPr>
          <w:rFonts w:ascii="Verdana" w:hAnsi="Verdana"/>
          <w:sz w:val="18"/>
          <w:szCs w:val="18"/>
        </w:rPr>
      </w:pPr>
      <w:r w:rsidRPr="30CF4445" w:rsidR="230081E1">
        <w:rPr>
          <w:rFonts w:ascii="Verdana" w:hAnsi="Verdana"/>
          <w:sz w:val="18"/>
          <w:szCs w:val="18"/>
        </w:rPr>
        <w:t>Fuente: Elaboración propia del Grupo de Programación y Gestión Estratégica de Proyectos con información del SIIF Nación del MinHacienda. Corte a 31 de diciembre de 2025.</w:t>
      </w:r>
    </w:p>
    <w:p w:rsidR="00B06BDB" w:rsidP="006A0A13" w:rsidRDefault="00B06BDB" w14:paraId="522DCAE5" w14:textId="77777777">
      <w:pPr>
        <w:tabs>
          <w:tab w:val="left" w:pos="2700"/>
        </w:tabs>
        <w:spacing w:after="0" w:line="360" w:lineRule="auto"/>
        <w:jc w:val="both"/>
        <w:rPr>
          <w:rFonts w:ascii="Verdana" w:hAnsi="Verdana"/>
          <w:sz w:val="24"/>
          <w:szCs w:val="24"/>
        </w:rPr>
      </w:pPr>
    </w:p>
    <w:p w:rsidRPr="00575564" w:rsidR="00575564" w:rsidP="006A0A13" w:rsidRDefault="00575564" w14:paraId="41CDA109" w14:textId="77777777">
      <w:pPr>
        <w:tabs>
          <w:tab w:val="left" w:pos="2700"/>
        </w:tabs>
        <w:spacing w:after="0" w:line="360" w:lineRule="auto"/>
        <w:jc w:val="both"/>
        <w:rPr>
          <w:rFonts w:ascii="Verdana" w:hAnsi="Verdana"/>
          <w:sz w:val="24"/>
          <w:szCs w:val="24"/>
        </w:rPr>
      </w:pPr>
      <w:r w:rsidRPr="00575564">
        <w:rPr>
          <w:rFonts w:ascii="Verdana" w:hAnsi="Verdana"/>
          <w:sz w:val="24"/>
          <w:szCs w:val="24"/>
        </w:rPr>
        <w:t xml:space="preserve">Para la vigencia 2025, los programas de Subsidios y Fondos registraron una apropiación vigente total de $5.234.413 millones, de los cuales se comprometieron recursos por $4.899.803 millones, equivalentes al 93,6% de ejecución en compromisos. </w:t>
      </w:r>
    </w:p>
    <w:p w:rsidR="00575564" w:rsidP="006A0A13" w:rsidRDefault="00575564" w14:paraId="08A7BB0D" w14:textId="77777777">
      <w:pPr>
        <w:tabs>
          <w:tab w:val="left" w:pos="2700"/>
        </w:tabs>
        <w:spacing w:after="0" w:line="360" w:lineRule="auto"/>
        <w:jc w:val="both"/>
        <w:rPr>
          <w:rFonts w:ascii="Verdana" w:hAnsi="Verdana"/>
          <w:sz w:val="24"/>
          <w:szCs w:val="24"/>
        </w:rPr>
      </w:pPr>
    </w:p>
    <w:p w:rsidRPr="00575564" w:rsidR="00575564" w:rsidP="006A0A13" w:rsidRDefault="00575564" w14:paraId="25BFA0F7" w14:textId="77777777">
      <w:pPr>
        <w:tabs>
          <w:tab w:val="left" w:pos="2700"/>
        </w:tabs>
        <w:spacing w:after="0" w:line="360" w:lineRule="auto"/>
        <w:jc w:val="both"/>
        <w:rPr>
          <w:rFonts w:ascii="Verdana" w:hAnsi="Verdana"/>
          <w:sz w:val="24"/>
          <w:szCs w:val="24"/>
        </w:rPr>
      </w:pPr>
      <w:r w:rsidRPr="00575564">
        <w:rPr>
          <w:rFonts w:ascii="Verdana" w:hAnsi="Verdana"/>
          <w:sz w:val="24"/>
          <w:szCs w:val="24"/>
        </w:rPr>
        <w:t>En el análisis por componentes, los Subsidios de Energía registraron una ejecución sobresaliente, con compromisos por $3.091.891 millones, equivalentes al 97,8% de su apropiación, reflejando una adecuada gestión presupuestal durante la vigencia; los Subsidios de Gas por Red presentaron el mejor desempeño, alcanzando una ejecución del 100% en compromisos, lo que evidencia la ejecución total de los recursos asignados para este concepto.</w:t>
      </w:r>
    </w:p>
    <w:p w:rsidR="00575564" w:rsidP="006A0A13" w:rsidRDefault="00575564" w14:paraId="438EE2E5" w14:textId="77777777">
      <w:pPr>
        <w:tabs>
          <w:tab w:val="left" w:pos="2700"/>
        </w:tabs>
        <w:spacing w:after="0" w:line="360" w:lineRule="auto"/>
        <w:jc w:val="both"/>
        <w:rPr>
          <w:rFonts w:ascii="Verdana" w:hAnsi="Verdana"/>
          <w:sz w:val="24"/>
          <w:szCs w:val="24"/>
        </w:rPr>
      </w:pPr>
    </w:p>
    <w:p w:rsidRPr="00575564" w:rsidR="00575564" w:rsidP="006A0A13" w:rsidRDefault="00575564" w14:paraId="5BA349C0" w14:textId="77777777">
      <w:pPr>
        <w:tabs>
          <w:tab w:val="left" w:pos="2700"/>
        </w:tabs>
        <w:spacing w:after="0" w:line="360" w:lineRule="auto"/>
        <w:jc w:val="both"/>
        <w:rPr>
          <w:rFonts w:ascii="Verdana" w:hAnsi="Verdana"/>
          <w:sz w:val="24"/>
          <w:szCs w:val="24"/>
        </w:rPr>
      </w:pPr>
      <w:r w:rsidRPr="00575564">
        <w:rPr>
          <w:rFonts w:ascii="Verdana" w:hAnsi="Verdana"/>
          <w:sz w:val="24"/>
          <w:szCs w:val="24"/>
        </w:rPr>
        <w:t>Por su parte, el rubro de Otros Subsidios alcanzó compromisos por $357.753 millones, correspondientes al 97,7% de ejecución, manteniendo niveles favorables de gestión y asignación de recursos.</w:t>
      </w:r>
    </w:p>
    <w:p w:rsidRPr="00575564" w:rsidR="00575564" w:rsidP="006A0A13" w:rsidRDefault="00575564" w14:paraId="22512D6F" w14:textId="77777777">
      <w:pPr>
        <w:tabs>
          <w:tab w:val="left" w:pos="2700"/>
        </w:tabs>
        <w:spacing w:after="0" w:line="360" w:lineRule="auto"/>
        <w:jc w:val="both"/>
        <w:rPr>
          <w:rFonts w:ascii="Verdana" w:hAnsi="Verdana"/>
          <w:sz w:val="24"/>
          <w:szCs w:val="24"/>
        </w:rPr>
      </w:pPr>
      <w:r w:rsidRPr="00575564">
        <w:rPr>
          <w:rFonts w:ascii="Verdana" w:hAnsi="Verdana"/>
          <w:sz w:val="24"/>
          <w:szCs w:val="24"/>
        </w:rPr>
        <w:t>Finalmente, los Fondos evidenciaron el menor nivel de ejecución, con compromisos por $611.104 millones, equivalentes al 70,3% de su apropiación. Este comportamiento puede asociarse a los tiempos requeridos para la estructuración, formulación y ejecución de los proyectos financiados mediante estos recursos.</w:t>
      </w:r>
    </w:p>
    <w:p w:rsidR="00575564" w:rsidP="006A0A13" w:rsidRDefault="00575564" w14:paraId="1F48B745" w14:textId="77777777">
      <w:pPr>
        <w:tabs>
          <w:tab w:val="left" w:pos="2700"/>
        </w:tabs>
        <w:spacing w:after="0" w:line="360" w:lineRule="auto"/>
        <w:rPr>
          <w:rFonts w:ascii="Verdana" w:hAnsi="Verdana"/>
        </w:rPr>
      </w:pPr>
    </w:p>
    <w:p w:rsidRPr="00575564" w:rsidR="00575564" w:rsidP="006A0A13" w:rsidRDefault="0154D97B" w14:paraId="43AB9188" w14:textId="77777777">
      <w:pPr>
        <w:spacing w:after="0" w:line="360" w:lineRule="auto"/>
        <w:rPr>
          <w:rFonts w:ascii="Verdana" w:hAnsi="Verdana"/>
          <w:b/>
          <w:bCs/>
          <w:sz w:val="24"/>
          <w:szCs w:val="24"/>
        </w:rPr>
      </w:pPr>
      <w:r w:rsidRPr="180099B3">
        <w:rPr>
          <w:rFonts w:ascii="Verdana" w:hAnsi="Verdana" w:eastAsiaTheme="majorEastAsia" w:cstheme="majorBidi"/>
          <w:b/>
          <w:bCs/>
          <w:sz w:val="24"/>
          <w:szCs w:val="24"/>
        </w:rPr>
        <w:t>Subsidios y fondos vigencia 2026</w:t>
      </w:r>
    </w:p>
    <w:p w:rsidR="180099B3" w:rsidP="006A0A13" w:rsidRDefault="180099B3" w14:paraId="27FAE27A" w14:textId="77777777">
      <w:pPr>
        <w:spacing w:after="0" w:line="360" w:lineRule="auto"/>
        <w:rPr>
          <w:rFonts w:ascii="Verdana" w:hAnsi="Verdana" w:eastAsiaTheme="majorEastAsia" w:cstheme="majorBidi"/>
          <w:b/>
          <w:bCs/>
          <w:sz w:val="24"/>
          <w:szCs w:val="24"/>
        </w:rPr>
      </w:pPr>
    </w:p>
    <w:p w:rsidRPr="00575564" w:rsidR="00575564" w:rsidP="00E52256" w:rsidRDefault="0154D97B" w14:paraId="5ECF3484" w14:textId="77777777">
      <w:pPr>
        <w:spacing w:after="0" w:line="240" w:lineRule="auto"/>
        <w:jc w:val="center"/>
        <w:rPr>
          <w:rFonts w:ascii="Verdana" w:hAnsi="Verdana"/>
          <w:sz w:val="18"/>
          <w:szCs w:val="18"/>
        </w:rPr>
      </w:pPr>
      <w:r w:rsidRPr="180099B3">
        <w:rPr>
          <w:rFonts w:ascii="Verdana" w:hAnsi="Verdana"/>
          <w:sz w:val="18"/>
          <w:szCs w:val="18"/>
        </w:rPr>
        <w:t>Tabla</w:t>
      </w:r>
      <w:r w:rsidRPr="180099B3" w:rsidR="2471B690">
        <w:rPr>
          <w:rFonts w:ascii="Verdana" w:hAnsi="Verdana"/>
          <w:sz w:val="18"/>
          <w:szCs w:val="18"/>
        </w:rPr>
        <w:t xml:space="preserve"> No. 5</w:t>
      </w:r>
      <w:r w:rsidRPr="180099B3" w:rsidR="6583F44C">
        <w:rPr>
          <w:rFonts w:ascii="Verdana" w:hAnsi="Verdana"/>
          <w:sz w:val="18"/>
          <w:szCs w:val="18"/>
        </w:rPr>
        <w:t>2</w:t>
      </w:r>
      <w:r w:rsidRPr="180099B3" w:rsidR="5EDD2324">
        <w:rPr>
          <w:rFonts w:ascii="Verdana" w:hAnsi="Verdana"/>
          <w:sz w:val="18"/>
          <w:szCs w:val="18"/>
        </w:rPr>
        <w:t xml:space="preserve">. </w:t>
      </w:r>
      <w:r w:rsidRPr="180099B3">
        <w:rPr>
          <w:rFonts w:ascii="Verdana" w:hAnsi="Verdana"/>
          <w:sz w:val="18"/>
          <w:szCs w:val="18"/>
        </w:rPr>
        <w:t>Ejecución vigencia 2026 Subsidios y Fondos</w:t>
      </w:r>
      <w:r w:rsidRPr="180099B3" w:rsidR="5EDD2324">
        <w:rPr>
          <w:rFonts w:ascii="Verdana" w:hAnsi="Verdana"/>
          <w:sz w:val="18"/>
          <w:szCs w:val="18"/>
        </w:rPr>
        <w:t xml:space="preserve"> - </w:t>
      </w:r>
      <w:r w:rsidRPr="180099B3">
        <w:rPr>
          <w:rFonts w:ascii="Verdana" w:hAnsi="Verdana"/>
          <w:sz w:val="18"/>
          <w:szCs w:val="18"/>
        </w:rPr>
        <w:t>30 abril</w:t>
      </w:r>
    </w:p>
    <w:tbl>
      <w:tblPr>
        <w:tblW w:w="8926" w:type="dxa"/>
        <w:tblCellMar>
          <w:left w:w="70" w:type="dxa"/>
          <w:right w:w="70" w:type="dxa"/>
        </w:tblCellMar>
        <w:tblLook w:val="04A0" w:firstRow="1" w:lastRow="0" w:firstColumn="1" w:lastColumn="0" w:noHBand="0" w:noVBand="1"/>
      </w:tblPr>
      <w:tblGrid>
        <w:gridCol w:w="1298"/>
        <w:gridCol w:w="1511"/>
        <w:gridCol w:w="1297"/>
        <w:gridCol w:w="1360"/>
        <w:gridCol w:w="1205"/>
        <w:gridCol w:w="1290"/>
        <w:gridCol w:w="1001"/>
      </w:tblGrid>
      <w:tr w:rsidRPr="00575564" w:rsidR="00575564" w:rsidTr="00B06BDB" w14:paraId="5EA06C06" w14:textId="77777777">
        <w:trPr>
          <w:trHeight w:val="310"/>
        </w:trPr>
        <w:tc>
          <w:tcPr>
            <w:tcW w:w="1298" w:type="dxa"/>
            <w:tcBorders>
              <w:top w:val="single" w:color="auto" w:sz="4" w:space="0"/>
              <w:left w:val="single" w:color="auto" w:sz="4" w:space="0"/>
              <w:bottom w:val="single" w:color="auto" w:sz="4" w:space="0"/>
              <w:right w:val="single" w:color="auto" w:sz="4" w:space="0"/>
            </w:tcBorders>
            <w:shd w:val="clear" w:color="auto" w:fill="A6A6A6" w:themeFill="background1" w:themeFillShade="A6"/>
            <w:noWrap/>
            <w:vAlign w:val="center"/>
            <w:hideMark/>
          </w:tcPr>
          <w:p w:rsidRPr="00575564" w:rsidR="00575564" w:rsidP="00575564" w:rsidRDefault="00575564" w14:paraId="4E1E8FC2" w14:textId="77777777">
            <w:pPr>
              <w:spacing w:after="0" w:line="240" w:lineRule="auto"/>
              <w:jc w:val="center"/>
              <w:rPr>
                <w:rFonts w:ascii="Verdana" w:hAnsi="Verdana" w:eastAsia="Times New Roman" w:cs="Calibri"/>
                <w:b/>
                <w:bCs/>
                <w:color w:val="000000"/>
                <w:sz w:val="16"/>
                <w:szCs w:val="16"/>
                <w:lang w:eastAsia="es-CO"/>
              </w:rPr>
            </w:pPr>
            <w:r w:rsidRPr="00575564">
              <w:rPr>
                <w:rFonts w:ascii="Verdana" w:hAnsi="Verdana" w:eastAsia="Times New Roman" w:cs="Calibri"/>
                <w:b/>
                <w:bCs/>
                <w:color w:val="000000"/>
                <w:sz w:val="16"/>
                <w:szCs w:val="16"/>
                <w:lang w:eastAsia="es-CO"/>
              </w:rPr>
              <w:t>Concepto</w:t>
            </w:r>
          </w:p>
        </w:tc>
        <w:tc>
          <w:tcPr>
            <w:tcW w:w="1511" w:type="dxa"/>
            <w:tcBorders>
              <w:top w:val="single" w:color="auto" w:sz="4" w:space="0"/>
              <w:left w:val="single" w:color="auto" w:sz="4" w:space="0"/>
              <w:bottom w:val="single" w:color="auto" w:sz="4" w:space="0"/>
              <w:right w:val="single" w:color="auto" w:sz="4" w:space="0"/>
            </w:tcBorders>
            <w:shd w:val="clear" w:color="auto" w:fill="A6A6A6" w:themeFill="background1" w:themeFillShade="A6"/>
            <w:noWrap/>
            <w:vAlign w:val="center"/>
            <w:hideMark/>
          </w:tcPr>
          <w:p w:rsidRPr="00575564" w:rsidR="00575564" w:rsidP="00575564" w:rsidRDefault="00575564" w14:paraId="057DDD39" w14:textId="77777777">
            <w:pPr>
              <w:spacing w:after="0" w:line="240" w:lineRule="auto"/>
              <w:jc w:val="center"/>
              <w:rPr>
                <w:rFonts w:ascii="Verdana" w:hAnsi="Verdana" w:eastAsia="Times New Roman" w:cs="Calibri"/>
                <w:b/>
                <w:bCs/>
                <w:color w:val="000000"/>
                <w:sz w:val="16"/>
                <w:szCs w:val="16"/>
                <w:lang w:eastAsia="es-CO"/>
              </w:rPr>
            </w:pPr>
            <w:r w:rsidRPr="00575564">
              <w:rPr>
                <w:rFonts w:ascii="Verdana" w:hAnsi="Verdana" w:eastAsia="Times New Roman" w:cs="Calibri"/>
                <w:b/>
                <w:bCs/>
                <w:color w:val="000000"/>
                <w:sz w:val="16"/>
                <w:szCs w:val="16"/>
                <w:lang w:eastAsia="es-CO"/>
              </w:rPr>
              <w:t>Apropiación Inicial</w:t>
            </w:r>
          </w:p>
        </w:tc>
        <w:tc>
          <w:tcPr>
            <w:tcW w:w="1297" w:type="dxa"/>
            <w:tcBorders>
              <w:top w:val="single" w:color="auto" w:sz="4" w:space="0"/>
              <w:left w:val="single" w:color="auto" w:sz="4" w:space="0"/>
              <w:bottom w:val="single" w:color="auto" w:sz="4" w:space="0"/>
              <w:right w:val="single" w:color="auto" w:sz="4" w:space="0"/>
            </w:tcBorders>
            <w:shd w:val="clear" w:color="auto" w:fill="A6A6A6" w:themeFill="background1" w:themeFillShade="A6"/>
            <w:noWrap/>
            <w:vAlign w:val="center"/>
            <w:hideMark/>
          </w:tcPr>
          <w:p w:rsidRPr="00575564" w:rsidR="00575564" w:rsidP="00575564" w:rsidRDefault="00575564" w14:paraId="489C7BB8" w14:textId="77777777">
            <w:pPr>
              <w:spacing w:after="0" w:line="240" w:lineRule="auto"/>
              <w:jc w:val="center"/>
              <w:rPr>
                <w:rFonts w:ascii="Verdana" w:hAnsi="Verdana" w:eastAsia="Times New Roman" w:cs="Calibri"/>
                <w:b/>
                <w:bCs/>
                <w:color w:val="000000"/>
                <w:sz w:val="16"/>
                <w:szCs w:val="16"/>
                <w:lang w:eastAsia="es-CO"/>
              </w:rPr>
            </w:pPr>
            <w:r w:rsidRPr="00575564">
              <w:rPr>
                <w:rFonts w:ascii="Verdana" w:hAnsi="Verdana" w:eastAsia="Times New Roman" w:cs="Calibri"/>
                <w:b/>
                <w:bCs/>
                <w:color w:val="000000"/>
                <w:sz w:val="16"/>
                <w:szCs w:val="16"/>
                <w:lang w:eastAsia="es-CO"/>
              </w:rPr>
              <w:t>Apropiación Vigente</w:t>
            </w:r>
          </w:p>
        </w:tc>
        <w:tc>
          <w:tcPr>
            <w:tcW w:w="1360" w:type="dxa"/>
            <w:tcBorders>
              <w:top w:val="single" w:color="auto" w:sz="4" w:space="0"/>
              <w:left w:val="single" w:color="auto" w:sz="4" w:space="0"/>
              <w:bottom w:val="single" w:color="auto" w:sz="4" w:space="0"/>
              <w:right w:val="single" w:color="auto" w:sz="4" w:space="0"/>
            </w:tcBorders>
            <w:shd w:val="clear" w:color="auto" w:fill="A6A6A6" w:themeFill="background1" w:themeFillShade="A6"/>
            <w:noWrap/>
            <w:vAlign w:val="center"/>
            <w:hideMark/>
          </w:tcPr>
          <w:p w:rsidRPr="00575564" w:rsidR="00575564" w:rsidP="00575564" w:rsidRDefault="00575564" w14:paraId="36431B89" w14:textId="77777777">
            <w:pPr>
              <w:spacing w:after="0" w:line="240" w:lineRule="auto"/>
              <w:jc w:val="center"/>
              <w:rPr>
                <w:rFonts w:ascii="Verdana" w:hAnsi="Verdana" w:eastAsia="Times New Roman" w:cs="Calibri"/>
                <w:b/>
                <w:bCs/>
                <w:color w:val="000000"/>
                <w:sz w:val="16"/>
                <w:szCs w:val="16"/>
                <w:lang w:eastAsia="es-CO"/>
              </w:rPr>
            </w:pPr>
            <w:r w:rsidRPr="00575564">
              <w:rPr>
                <w:rFonts w:ascii="Verdana" w:hAnsi="Verdana" w:eastAsia="Times New Roman" w:cs="Calibri"/>
                <w:b/>
                <w:bCs/>
                <w:color w:val="000000"/>
                <w:sz w:val="16"/>
                <w:szCs w:val="16"/>
                <w:lang w:eastAsia="es-CO"/>
              </w:rPr>
              <w:t>Compromisos</w:t>
            </w:r>
          </w:p>
        </w:tc>
        <w:tc>
          <w:tcPr>
            <w:tcW w:w="1205" w:type="dxa"/>
            <w:tcBorders>
              <w:top w:val="single" w:color="auto" w:sz="4" w:space="0"/>
              <w:left w:val="single" w:color="auto" w:sz="4" w:space="0"/>
              <w:bottom w:val="single" w:color="auto" w:sz="4" w:space="0"/>
              <w:right w:val="single" w:color="auto" w:sz="4" w:space="0"/>
            </w:tcBorders>
            <w:shd w:val="clear" w:color="auto" w:fill="A6A6A6" w:themeFill="background1" w:themeFillShade="A6"/>
            <w:noWrap/>
            <w:vAlign w:val="center"/>
            <w:hideMark/>
          </w:tcPr>
          <w:p w:rsidR="00B06BDB" w:rsidP="00575564" w:rsidRDefault="00575564" w14:paraId="47841A81" w14:textId="77777777">
            <w:pPr>
              <w:spacing w:after="0" w:line="240" w:lineRule="auto"/>
              <w:jc w:val="center"/>
              <w:rPr>
                <w:rFonts w:ascii="Verdana" w:hAnsi="Verdana" w:eastAsia="Times New Roman" w:cs="Calibri"/>
                <w:b/>
                <w:bCs/>
                <w:color w:val="000000"/>
                <w:sz w:val="16"/>
                <w:szCs w:val="16"/>
                <w:lang w:eastAsia="es-CO"/>
              </w:rPr>
            </w:pPr>
            <w:r w:rsidRPr="00575564">
              <w:rPr>
                <w:rFonts w:ascii="Verdana" w:hAnsi="Verdana" w:eastAsia="Times New Roman" w:cs="Calibri"/>
                <w:b/>
                <w:bCs/>
                <w:color w:val="000000"/>
                <w:sz w:val="16"/>
                <w:szCs w:val="16"/>
                <w:lang w:eastAsia="es-CO"/>
              </w:rPr>
              <w:t>%</w:t>
            </w:r>
          </w:p>
          <w:p w:rsidRPr="00575564" w:rsidR="00575564" w:rsidP="00575564" w:rsidRDefault="00575564" w14:paraId="31F9A87F" w14:textId="77777777">
            <w:pPr>
              <w:spacing w:after="0" w:line="240" w:lineRule="auto"/>
              <w:jc w:val="center"/>
              <w:rPr>
                <w:rFonts w:ascii="Verdana" w:hAnsi="Verdana" w:eastAsia="Times New Roman" w:cs="Calibri"/>
                <w:b/>
                <w:bCs/>
                <w:color w:val="000000"/>
                <w:sz w:val="16"/>
                <w:szCs w:val="16"/>
                <w:lang w:eastAsia="es-CO"/>
              </w:rPr>
            </w:pPr>
            <w:r w:rsidRPr="00575564">
              <w:rPr>
                <w:rFonts w:ascii="Verdana" w:hAnsi="Verdana" w:eastAsia="Times New Roman" w:cs="Calibri"/>
                <w:b/>
                <w:bCs/>
                <w:color w:val="000000"/>
                <w:sz w:val="16"/>
                <w:szCs w:val="16"/>
                <w:lang w:eastAsia="es-CO"/>
              </w:rPr>
              <w:t>Ejecución</w:t>
            </w:r>
          </w:p>
        </w:tc>
        <w:tc>
          <w:tcPr>
            <w:tcW w:w="1290" w:type="dxa"/>
            <w:tcBorders>
              <w:top w:val="single" w:color="auto" w:sz="4" w:space="0"/>
              <w:left w:val="single" w:color="auto" w:sz="4" w:space="0"/>
              <w:bottom w:val="single" w:color="auto" w:sz="4" w:space="0"/>
              <w:right w:val="single" w:color="auto" w:sz="4" w:space="0"/>
            </w:tcBorders>
            <w:shd w:val="clear" w:color="auto" w:fill="A6A6A6" w:themeFill="background1" w:themeFillShade="A6"/>
            <w:noWrap/>
            <w:vAlign w:val="center"/>
            <w:hideMark/>
          </w:tcPr>
          <w:p w:rsidRPr="00575564" w:rsidR="00575564" w:rsidP="00575564" w:rsidRDefault="00575564" w14:paraId="51C1DD9D" w14:textId="77777777">
            <w:pPr>
              <w:spacing w:after="0" w:line="240" w:lineRule="auto"/>
              <w:jc w:val="center"/>
              <w:rPr>
                <w:rFonts w:ascii="Verdana" w:hAnsi="Verdana" w:eastAsia="Times New Roman" w:cs="Calibri"/>
                <w:b/>
                <w:bCs/>
                <w:color w:val="000000"/>
                <w:sz w:val="16"/>
                <w:szCs w:val="16"/>
                <w:lang w:eastAsia="es-CO"/>
              </w:rPr>
            </w:pPr>
            <w:r w:rsidRPr="00575564">
              <w:rPr>
                <w:rFonts w:ascii="Verdana" w:hAnsi="Verdana" w:eastAsia="Times New Roman" w:cs="Calibri"/>
                <w:b/>
                <w:bCs/>
                <w:color w:val="000000"/>
                <w:sz w:val="16"/>
                <w:szCs w:val="16"/>
                <w:lang w:eastAsia="es-CO"/>
              </w:rPr>
              <w:t>Obligaciones</w:t>
            </w:r>
          </w:p>
        </w:tc>
        <w:tc>
          <w:tcPr>
            <w:tcW w:w="965" w:type="dxa"/>
            <w:tcBorders>
              <w:top w:val="single" w:color="auto" w:sz="4" w:space="0"/>
              <w:left w:val="single" w:color="auto" w:sz="4" w:space="0"/>
              <w:bottom w:val="single" w:color="auto" w:sz="4" w:space="0"/>
              <w:right w:val="single" w:color="auto" w:sz="4" w:space="0"/>
            </w:tcBorders>
            <w:shd w:val="clear" w:color="auto" w:fill="A6A6A6" w:themeFill="background1" w:themeFillShade="A6"/>
            <w:noWrap/>
            <w:vAlign w:val="center"/>
            <w:hideMark/>
          </w:tcPr>
          <w:p w:rsidR="00B06BDB" w:rsidP="00575564" w:rsidRDefault="00575564" w14:paraId="155FA2D5" w14:textId="77777777">
            <w:pPr>
              <w:spacing w:after="0" w:line="240" w:lineRule="auto"/>
              <w:jc w:val="center"/>
              <w:rPr>
                <w:rFonts w:ascii="Verdana" w:hAnsi="Verdana" w:eastAsia="Times New Roman" w:cs="Calibri"/>
                <w:b/>
                <w:bCs/>
                <w:color w:val="000000"/>
                <w:sz w:val="16"/>
                <w:szCs w:val="16"/>
                <w:lang w:eastAsia="es-CO"/>
              </w:rPr>
            </w:pPr>
            <w:r w:rsidRPr="00575564">
              <w:rPr>
                <w:rFonts w:ascii="Verdana" w:hAnsi="Verdana" w:eastAsia="Times New Roman" w:cs="Calibri"/>
                <w:b/>
                <w:bCs/>
                <w:color w:val="000000"/>
                <w:sz w:val="16"/>
                <w:szCs w:val="16"/>
                <w:lang w:eastAsia="es-CO"/>
              </w:rPr>
              <w:t>%</w:t>
            </w:r>
          </w:p>
          <w:p w:rsidRPr="00575564" w:rsidR="00575564" w:rsidP="00575564" w:rsidRDefault="00575564" w14:paraId="10F69435" w14:textId="77777777">
            <w:pPr>
              <w:spacing w:after="0" w:line="240" w:lineRule="auto"/>
              <w:jc w:val="center"/>
              <w:rPr>
                <w:rFonts w:ascii="Verdana" w:hAnsi="Verdana" w:eastAsia="Times New Roman" w:cs="Calibri"/>
                <w:b/>
                <w:bCs/>
                <w:color w:val="000000"/>
                <w:sz w:val="16"/>
                <w:szCs w:val="16"/>
                <w:lang w:eastAsia="es-CO"/>
              </w:rPr>
            </w:pPr>
            <w:r w:rsidRPr="00575564">
              <w:rPr>
                <w:rFonts w:ascii="Verdana" w:hAnsi="Verdana" w:eastAsia="Times New Roman" w:cs="Calibri"/>
                <w:b/>
                <w:bCs/>
                <w:color w:val="000000"/>
                <w:sz w:val="16"/>
                <w:szCs w:val="16"/>
                <w:lang w:eastAsia="es-CO"/>
              </w:rPr>
              <w:t>Ejecución</w:t>
            </w:r>
          </w:p>
        </w:tc>
      </w:tr>
      <w:tr w:rsidRPr="00575564" w:rsidR="00575564" w:rsidTr="00B06BDB" w14:paraId="0744E923" w14:textId="77777777">
        <w:trPr>
          <w:trHeight w:val="395"/>
        </w:trPr>
        <w:tc>
          <w:tcPr>
            <w:tcW w:w="1298" w:type="dxa"/>
            <w:tcBorders>
              <w:top w:val="single" w:color="auto" w:sz="4" w:space="0"/>
              <w:left w:val="single" w:color="auto" w:sz="4" w:space="0"/>
              <w:bottom w:val="single" w:color="auto" w:sz="4" w:space="0"/>
              <w:right w:val="nil"/>
            </w:tcBorders>
            <w:vAlign w:val="center"/>
            <w:hideMark/>
          </w:tcPr>
          <w:p w:rsidRPr="00575564" w:rsidR="00575564" w:rsidP="00575564" w:rsidRDefault="00575564" w14:paraId="4B5D19EA" w14:textId="77777777">
            <w:pPr>
              <w:spacing w:after="0" w:line="240" w:lineRule="auto"/>
              <w:jc w:val="center"/>
              <w:rPr>
                <w:rFonts w:ascii="Verdana" w:hAnsi="Verdana" w:eastAsia="Times New Roman" w:cs="Calibri"/>
                <w:color w:val="000000"/>
                <w:sz w:val="16"/>
                <w:szCs w:val="16"/>
                <w:lang w:eastAsia="es-CO"/>
              </w:rPr>
            </w:pPr>
            <w:r w:rsidRPr="00575564">
              <w:rPr>
                <w:rFonts w:ascii="Verdana" w:hAnsi="Verdana" w:eastAsia="Times New Roman" w:cs="Calibri"/>
                <w:color w:val="000000"/>
                <w:sz w:val="16"/>
                <w:szCs w:val="16"/>
                <w:lang w:eastAsia="es-CO"/>
              </w:rPr>
              <w:t>Subsidios de Energía</w:t>
            </w:r>
            <w:r w:rsidRPr="00575564">
              <w:rPr>
                <w:rFonts w:ascii="Arial" w:hAnsi="Arial" w:eastAsia="Times New Roman" w:cs="Arial"/>
                <w:color w:val="000000"/>
                <w:sz w:val="16"/>
                <w:szCs w:val="16"/>
                <w:lang w:eastAsia="es-CO"/>
              </w:rPr>
              <w:t>​</w:t>
            </w:r>
          </w:p>
        </w:tc>
        <w:tc>
          <w:tcPr>
            <w:tcW w:w="1511" w:type="dxa"/>
            <w:tcBorders>
              <w:top w:val="single" w:color="auto" w:sz="4" w:space="0"/>
              <w:left w:val="single" w:color="auto" w:sz="4" w:space="0"/>
              <w:bottom w:val="single" w:color="auto" w:sz="4" w:space="0"/>
              <w:right w:val="single" w:color="auto" w:sz="4" w:space="0"/>
            </w:tcBorders>
            <w:noWrap/>
            <w:vAlign w:val="center"/>
          </w:tcPr>
          <w:p w:rsidRPr="00575564" w:rsidR="00575564" w:rsidP="00575564" w:rsidRDefault="00575564" w14:paraId="4DB809E3"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$5.700.000</w:t>
            </w:r>
          </w:p>
        </w:tc>
        <w:tc>
          <w:tcPr>
            <w:tcW w:w="1297" w:type="dxa"/>
            <w:tcBorders>
              <w:top w:val="single" w:color="auto" w:sz="4" w:space="0"/>
              <w:left w:val="nil"/>
              <w:bottom w:val="single" w:color="auto" w:sz="4" w:space="0"/>
              <w:right w:val="single" w:color="auto" w:sz="4" w:space="0"/>
            </w:tcBorders>
            <w:noWrap/>
            <w:vAlign w:val="center"/>
          </w:tcPr>
          <w:p w:rsidRPr="00575564" w:rsidR="00575564" w:rsidP="00575564" w:rsidRDefault="00575564" w14:paraId="2860282D"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$5.700.000</w:t>
            </w:r>
          </w:p>
        </w:tc>
        <w:tc>
          <w:tcPr>
            <w:tcW w:w="1360" w:type="dxa"/>
            <w:tcBorders>
              <w:top w:val="single" w:color="auto" w:sz="4" w:space="0"/>
              <w:left w:val="nil"/>
              <w:bottom w:val="single" w:color="auto" w:sz="4" w:space="0"/>
              <w:right w:val="single" w:color="auto" w:sz="4" w:space="0"/>
            </w:tcBorders>
            <w:noWrap/>
            <w:vAlign w:val="center"/>
          </w:tcPr>
          <w:p w:rsidRPr="00575564" w:rsidR="00575564" w:rsidP="00575564" w:rsidRDefault="00575564" w14:paraId="0BF2109B"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$2.489.567</w:t>
            </w:r>
          </w:p>
        </w:tc>
        <w:tc>
          <w:tcPr>
            <w:tcW w:w="1205" w:type="dxa"/>
            <w:tcBorders>
              <w:top w:val="single" w:color="auto" w:sz="4" w:space="0"/>
              <w:left w:val="nil"/>
              <w:bottom w:val="single" w:color="auto" w:sz="4" w:space="0"/>
              <w:right w:val="single" w:color="auto" w:sz="4" w:space="0"/>
            </w:tcBorders>
            <w:noWrap/>
            <w:vAlign w:val="center"/>
          </w:tcPr>
          <w:p w:rsidRPr="00575564" w:rsidR="00575564" w:rsidP="00575564" w:rsidRDefault="00575564" w14:paraId="6073BE02"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43,7%</w:t>
            </w:r>
          </w:p>
        </w:tc>
        <w:tc>
          <w:tcPr>
            <w:tcW w:w="1290" w:type="dxa"/>
            <w:tcBorders>
              <w:top w:val="single" w:color="auto" w:sz="4" w:space="0"/>
              <w:left w:val="nil"/>
              <w:bottom w:val="single" w:color="auto" w:sz="4" w:space="0"/>
              <w:right w:val="single" w:color="auto" w:sz="4" w:space="0"/>
            </w:tcBorders>
            <w:noWrap/>
            <w:vAlign w:val="center"/>
          </w:tcPr>
          <w:p w:rsidRPr="00575564" w:rsidR="00575564" w:rsidP="00575564" w:rsidRDefault="00575564" w14:paraId="534D394D"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$1.577.711</w:t>
            </w:r>
          </w:p>
        </w:tc>
        <w:tc>
          <w:tcPr>
            <w:tcW w:w="965" w:type="dxa"/>
            <w:tcBorders>
              <w:top w:val="single" w:color="auto" w:sz="4" w:space="0"/>
              <w:left w:val="nil"/>
              <w:bottom w:val="single" w:color="auto" w:sz="4" w:space="0"/>
              <w:right w:val="single" w:color="auto" w:sz="4" w:space="0"/>
            </w:tcBorders>
            <w:noWrap/>
            <w:vAlign w:val="center"/>
          </w:tcPr>
          <w:p w:rsidRPr="00575564" w:rsidR="00575564" w:rsidP="00575564" w:rsidRDefault="00575564" w14:paraId="549C325C"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27,7%</w:t>
            </w:r>
          </w:p>
        </w:tc>
      </w:tr>
      <w:tr w:rsidRPr="00575564" w:rsidR="00575564" w:rsidTr="00B06BDB" w14:paraId="2475FD27" w14:textId="77777777">
        <w:trPr>
          <w:trHeight w:val="395"/>
        </w:trPr>
        <w:tc>
          <w:tcPr>
            <w:tcW w:w="1298" w:type="dxa"/>
            <w:tcBorders>
              <w:top w:val="single" w:color="auto" w:sz="4" w:space="0"/>
              <w:left w:val="single" w:color="auto" w:sz="4" w:space="0"/>
              <w:bottom w:val="single" w:color="auto" w:sz="4" w:space="0"/>
              <w:right w:val="nil"/>
            </w:tcBorders>
            <w:vAlign w:val="center"/>
            <w:hideMark/>
          </w:tcPr>
          <w:p w:rsidRPr="00575564" w:rsidR="00575564" w:rsidP="00575564" w:rsidRDefault="00575564" w14:paraId="79B0A4E6" w14:textId="77777777">
            <w:pPr>
              <w:spacing w:after="0" w:line="240" w:lineRule="auto"/>
              <w:jc w:val="center"/>
              <w:rPr>
                <w:rFonts w:ascii="Verdana" w:hAnsi="Verdana" w:eastAsia="Times New Roman" w:cs="Calibri"/>
                <w:color w:val="000000"/>
                <w:sz w:val="16"/>
                <w:szCs w:val="16"/>
                <w:lang w:eastAsia="es-CO"/>
              </w:rPr>
            </w:pPr>
            <w:r w:rsidRPr="00575564">
              <w:rPr>
                <w:rFonts w:ascii="Verdana" w:hAnsi="Verdana" w:eastAsia="Times New Roman" w:cs="Calibri"/>
                <w:color w:val="000000"/>
                <w:sz w:val="16"/>
                <w:szCs w:val="16"/>
                <w:lang w:eastAsia="es-CO"/>
              </w:rPr>
              <w:t>Subsidios Gas por Red</w:t>
            </w:r>
            <w:r w:rsidRPr="00575564">
              <w:rPr>
                <w:rFonts w:ascii="Arial" w:hAnsi="Arial" w:eastAsia="Times New Roman" w:cs="Arial"/>
                <w:color w:val="000000"/>
                <w:sz w:val="16"/>
                <w:szCs w:val="16"/>
                <w:lang w:eastAsia="es-CO"/>
              </w:rPr>
              <w:t>​</w:t>
            </w:r>
          </w:p>
        </w:tc>
        <w:tc>
          <w:tcPr>
            <w:tcW w:w="1511" w:type="dxa"/>
            <w:tcBorders>
              <w:top w:val="single" w:color="auto" w:sz="4" w:space="0"/>
              <w:left w:val="single" w:color="auto" w:sz="4" w:space="0"/>
              <w:bottom w:val="single" w:color="auto" w:sz="4" w:space="0"/>
              <w:right w:val="single" w:color="auto" w:sz="4" w:space="0"/>
            </w:tcBorders>
            <w:noWrap/>
            <w:vAlign w:val="center"/>
          </w:tcPr>
          <w:p w:rsidRPr="00575564" w:rsidR="00575564" w:rsidP="00575564" w:rsidRDefault="00575564" w14:paraId="08B30CCF"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$1.510.000</w:t>
            </w:r>
          </w:p>
        </w:tc>
        <w:tc>
          <w:tcPr>
            <w:tcW w:w="1297" w:type="dxa"/>
            <w:tcBorders>
              <w:top w:val="single" w:color="auto" w:sz="4" w:space="0"/>
              <w:left w:val="nil"/>
              <w:bottom w:val="single" w:color="auto" w:sz="4" w:space="0"/>
              <w:right w:val="single" w:color="auto" w:sz="4" w:space="0"/>
            </w:tcBorders>
            <w:noWrap/>
            <w:vAlign w:val="center"/>
          </w:tcPr>
          <w:p w:rsidRPr="00575564" w:rsidR="00575564" w:rsidP="00575564" w:rsidRDefault="00575564" w14:paraId="57FF2169"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$1.510.000</w:t>
            </w:r>
          </w:p>
        </w:tc>
        <w:tc>
          <w:tcPr>
            <w:tcW w:w="1360" w:type="dxa"/>
            <w:tcBorders>
              <w:top w:val="single" w:color="auto" w:sz="4" w:space="0"/>
              <w:left w:val="nil"/>
              <w:bottom w:val="single" w:color="auto" w:sz="4" w:space="0"/>
              <w:right w:val="single" w:color="auto" w:sz="4" w:space="0"/>
            </w:tcBorders>
            <w:noWrap/>
            <w:vAlign w:val="center"/>
          </w:tcPr>
          <w:p w:rsidRPr="00575564" w:rsidR="00575564" w:rsidP="00575564" w:rsidRDefault="00575564" w14:paraId="71B1AC88"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$719.380</w:t>
            </w:r>
          </w:p>
        </w:tc>
        <w:tc>
          <w:tcPr>
            <w:tcW w:w="1205" w:type="dxa"/>
            <w:tcBorders>
              <w:top w:val="single" w:color="auto" w:sz="4" w:space="0"/>
              <w:left w:val="nil"/>
              <w:bottom w:val="single" w:color="auto" w:sz="4" w:space="0"/>
              <w:right w:val="single" w:color="auto" w:sz="4" w:space="0"/>
            </w:tcBorders>
            <w:noWrap/>
            <w:vAlign w:val="center"/>
          </w:tcPr>
          <w:p w:rsidRPr="00575564" w:rsidR="00575564" w:rsidP="00575564" w:rsidRDefault="00575564" w14:paraId="4834D31E"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47,6%</w:t>
            </w:r>
          </w:p>
        </w:tc>
        <w:tc>
          <w:tcPr>
            <w:tcW w:w="1290" w:type="dxa"/>
            <w:tcBorders>
              <w:top w:val="single" w:color="auto" w:sz="4" w:space="0"/>
              <w:left w:val="nil"/>
              <w:bottom w:val="single" w:color="auto" w:sz="4" w:space="0"/>
              <w:right w:val="single" w:color="auto" w:sz="4" w:space="0"/>
            </w:tcBorders>
            <w:noWrap/>
            <w:vAlign w:val="center"/>
          </w:tcPr>
          <w:p w:rsidRPr="00575564" w:rsidR="00575564" w:rsidP="00575564" w:rsidRDefault="00575564" w14:paraId="2D940D87"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$481.925</w:t>
            </w:r>
          </w:p>
        </w:tc>
        <w:tc>
          <w:tcPr>
            <w:tcW w:w="965" w:type="dxa"/>
            <w:tcBorders>
              <w:top w:val="single" w:color="auto" w:sz="4" w:space="0"/>
              <w:left w:val="nil"/>
              <w:bottom w:val="single" w:color="auto" w:sz="4" w:space="0"/>
              <w:right w:val="single" w:color="auto" w:sz="4" w:space="0"/>
            </w:tcBorders>
            <w:noWrap/>
            <w:vAlign w:val="center"/>
          </w:tcPr>
          <w:p w:rsidRPr="00575564" w:rsidR="00575564" w:rsidP="00575564" w:rsidRDefault="00575564" w14:paraId="23D7AF8A"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31,9%</w:t>
            </w:r>
          </w:p>
        </w:tc>
      </w:tr>
      <w:tr w:rsidRPr="00575564" w:rsidR="00575564" w:rsidTr="00B06BDB" w14:paraId="2A378F7D" w14:textId="77777777">
        <w:trPr>
          <w:trHeight w:val="300"/>
        </w:trPr>
        <w:tc>
          <w:tcPr>
            <w:tcW w:w="1298" w:type="dxa"/>
            <w:tcBorders>
              <w:top w:val="single" w:color="auto" w:sz="4" w:space="0"/>
              <w:left w:val="single" w:color="auto" w:sz="4" w:space="0"/>
              <w:bottom w:val="single" w:color="auto" w:sz="4" w:space="0"/>
              <w:right w:val="nil"/>
            </w:tcBorders>
            <w:vAlign w:val="center"/>
            <w:hideMark/>
          </w:tcPr>
          <w:p w:rsidRPr="00575564" w:rsidR="00575564" w:rsidP="00575564" w:rsidRDefault="00575564" w14:paraId="5D7D8799" w14:textId="77777777">
            <w:pPr>
              <w:spacing w:after="0" w:line="240" w:lineRule="auto"/>
              <w:jc w:val="center"/>
              <w:rPr>
                <w:rFonts w:ascii="Verdana" w:hAnsi="Verdana" w:eastAsia="Times New Roman" w:cs="Calibri"/>
                <w:color w:val="000000"/>
                <w:sz w:val="16"/>
                <w:szCs w:val="16"/>
                <w:lang w:eastAsia="es-CO"/>
              </w:rPr>
            </w:pPr>
            <w:r w:rsidRPr="00575564">
              <w:rPr>
                <w:rFonts w:ascii="Verdana" w:hAnsi="Verdana" w:eastAsia="Times New Roman" w:cs="Calibri"/>
                <w:color w:val="000000"/>
                <w:sz w:val="16"/>
                <w:szCs w:val="16"/>
                <w:lang w:eastAsia="es-CO"/>
              </w:rPr>
              <w:t>Otros Subsidios</w:t>
            </w:r>
            <w:r w:rsidRPr="00575564">
              <w:rPr>
                <w:rFonts w:ascii="Arial" w:hAnsi="Arial" w:eastAsia="Times New Roman" w:cs="Arial"/>
                <w:color w:val="000000"/>
                <w:sz w:val="16"/>
                <w:szCs w:val="16"/>
                <w:lang w:eastAsia="es-CO"/>
              </w:rPr>
              <w:t>​</w:t>
            </w:r>
          </w:p>
        </w:tc>
        <w:tc>
          <w:tcPr>
            <w:tcW w:w="1511" w:type="dxa"/>
            <w:tcBorders>
              <w:top w:val="single" w:color="auto" w:sz="4" w:space="0"/>
              <w:left w:val="single" w:color="auto" w:sz="4" w:space="0"/>
              <w:bottom w:val="single" w:color="auto" w:sz="4" w:space="0"/>
              <w:right w:val="single" w:color="auto" w:sz="4" w:space="0"/>
            </w:tcBorders>
            <w:noWrap/>
            <w:vAlign w:val="center"/>
          </w:tcPr>
          <w:p w:rsidRPr="00575564" w:rsidR="00575564" w:rsidP="00575564" w:rsidRDefault="00575564" w14:paraId="33C7EEE5"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$389.515</w:t>
            </w:r>
          </w:p>
        </w:tc>
        <w:tc>
          <w:tcPr>
            <w:tcW w:w="1297" w:type="dxa"/>
            <w:tcBorders>
              <w:top w:val="single" w:color="auto" w:sz="4" w:space="0"/>
              <w:left w:val="nil"/>
              <w:bottom w:val="single" w:color="auto" w:sz="4" w:space="0"/>
              <w:right w:val="single" w:color="auto" w:sz="4" w:space="0"/>
            </w:tcBorders>
            <w:noWrap/>
            <w:vAlign w:val="center"/>
          </w:tcPr>
          <w:p w:rsidRPr="00575564" w:rsidR="00575564" w:rsidP="00575564" w:rsidRDefault="00575564" w14:paraId="182499C4"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$389.515</w:t>
            </w:r>
          </w:p>
        </w:tc>
        <w:tc>
          <w:tcPr>
            <w:tcW w:w="1360" w:type="dxa"/>
            <w:tcBorders>
              <w:top w:val="single" w:color="auto" w:sz="4" w:space="0"/>
              <w:left w:val="nil"/>
              <w:bottom w:val="single" w:color="auto" w:sz="4" w:space="0"/>
              <w:right w:val="single" w:color="auto" w:sz="4" w:space="0"/>
            </w:tcBorders>
            <w:noWrap/>
            <w:vAlign w:val="center"/>
          </w:tcPr>
          <w:p w:rsidRPr="00575564" w:rsidR="00575564" w:rsidP="00575564" w:rsidRDefault="00575564" w14:paraId="4F2BAE1F" w14:textId="77777777">
            <w:pPr>
              <w:spacing w:after="0" w:line="240" w:lineRule="auto"/>
              <w:jc w:val="center"/>
              <w:rPr>
                <w:rFonts w:ascii="Verdana" w:hAnsi="Verdana" w:cs="Calibri"/>
                <w:sz w:val="16"/>
                <w:szCs w:val="16"/>
                <w:lang w:eastAsia="es-CO"/>
              </w:rPr>
            </w:pPr>
            <w:r w:rsidRPr="00575564">
              <w:rPr>
                <w:rFonts w:ascii="Verdana" w:hAnsi="Verdana" w:cs="Calibri"/>
                <w:sz w:val="16"/>
                <w:szCs w:val="16"/>
              </w:rPr>
              <w:t>$74.904</w:t>
            </w:r>
          </w:p>
        </w:tc>
        <w:tc>
          <w:tcPr>
            <w:tcW w:w="1205" w:type="dxa"/>
            <w:tcBorders>
              <w:top w:val="single" w:color="auto" w:sz="4" w:space="0"/>
              <w:left w:val="nil"/>
              <w:bottom w:val="single" w:color="auto" w:sz="4" w:space="0"/>
              <w:right w:val="single" w:color="auto" w:sz="4" w:space="0"/>
            </w:tcBorders>
            <w:noWrap/>
            <w:vAlign w:val="center"/>
          </w:tcPr>
          <w:p w:rsidRPr="00575564" w:rsidR="00575564" w:rsidP="00575564" w:rsidRDefault="00575564" w14:paraId="59C3C4C2"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19,2%</w:t>
            </w:r>
          </w:p>
        </w:tc>
        <w:tc>
          <w:tcPr>
            <w:tcW w:w="1290" w:type="dxa"/>
            <w:tcBorders>
              <w:top w:val="single" w:color="auto" w:sz="4" w:space="0"/>
              <w:left w:val="nil"/>
              <w:bottom w:val="single" w:color="auto" w:sz="4" w:space="0"/>
              <w:right w:val="single" w:color="auto" w:sz="4" w:space="0"/>
            </w:tcBorders>
            <w:noWrap/>
            <w:vAlign w:val="center"/>
          </w:tcPr>
          <w:p w:rsidRPr="00575564" w:rsidR="00575564" w:rsidP="00575564" w:rsidRDefault="00575564" w14:paraId="46603D17" w14:textId="77777777">
            <w:pPr>
              <w:spacing w:after="0" w:line="240" w:lineRule="auto"/>
              <w:jc w:val="center"/>
              <w:rPr>
                <w:rFonts w:ascii="Verdana" w:hAnsi="Verdana" w:cs="Calibri"/>
                <w:sz w:val="16"/>
                <w:szCs w:val="16"/>
                <w:lang w:eastAsia="es-CO"/>
              </w:rPr>
            </w:pPr>
            <w:r w:rsidRPr="00575564">
              <w:rPr>
                <w:rFonts w:ascii="Verdana" w:hAnsi="Verdana" w:cs="Calibri"/>
                <w:sz w:val="16"/>
                <w:szCs w:val="16"/>
              </w:rPr>
              <w:t>$61.406</w:t>
            </w:r>
          </w:p>
        </w:tc>
        <w:tc>
          <w:tcPr>
            <w:tcW w:w="965" w:type="dxa"/>
            <w:tcBorders>
              <w:top w:val="single" w:color="auto" w:sz="4" w:space="0"/>
              <w:left w:val="nil"/>
              <w:bottom w:val="single" w:color="auto" w:sz="4" w:space="0"/>
              <w:right w:val="single" w:color="auto" w:sz="4" w:space="0"/>
            </w:tcBorders>
            <w:noWrap/>
            <w:vAlign w:val="center"/>
          </w:tcPr>
          <w:p w:rsidRPr="00575564" w:rsidR="00575564" w:rsidP="00575564" w:rsidRDefault="00575564" w14:paraId="7514636F" w14:textId="77777777">
            <w:pPr>
              <w:spacing w:after="0" w:line="240" w:lineRule="auto"/>
              <w:jc w:val="center"/>
              <w:rPr>
                <w:rFonts w:ascii="Verdana" w:hAnsi="Verdana" w:cs="Calibri"/>
                <w:sz w:val="16"/>
                <w:szCs w:val="16"/>
                <w:lang w:eastAsia="es-CO"/>
              </w:rPr>
            </w:pPr>
            <w:r w:rsidRPr="00575564">
              <w:rPr>
                <w:rFonts w:ascii="Verdana" w:hAnsi="Verdana" w:cs="Calibri"/>
                <w:sz w:val="16"/>
                <w:szCs w:val="16"/>
              </w:rPr>
              <w:t>15,8%</w:t>
            </w:r>
          </w:p>
        </w:tc>
      </w:tr>
      <w:tr w:rsidRPr="00575564" w:rsidR="00575564" w:rsidTr="00B06BDB" w14:paraId="2E8B75B6" w14:textId="77777777">
        <w:trPr>
          <w:trHeight w:val="320"/>
        </w:trPr>
        <w:tc>
          <w:tcPr>
            <w:tcW w:w="1298" w:type="dxa"/>
            <w:tcBorders>
              <w:top w:val="single" w:color="auto" w:sz="4" w:space="0"/>
              <w:left w:val="single" w:color="auto" w:sz="4" w:space="0"/>
              <w:bottom w:val="single" w:color="auto" w:sz="4" w:space="0"/>
              <w:right w:val="nil"/>
            </w:tcBorders>
            <w:vAlign w:val="center"/>
            <w:hideMark/>
          </w:tcPr>
          <w:p w:rsidRPr="00575564" w:rsidR="00575564" w:rsidP="00575564" w:rsidRDefault="00575564" w14:paraId="3088731F" w14:textId="77777777">
            <w:pPr>
              <w:spacing w:after="0" w:line="240" w:lineRule="auto"/>
              <w:jc w:val="center"/>
              <w:rPr>
                <w:rFonts w:ascii="Verdana" w:hAnsi="Verdana" w:eastAsia="Times New Roman" w:cs="Calibri"/>
                <w:color w:val="000000"/>
                <w:sz w:val="16"/>
                <w:szCs w:val="16"/>
                <w:lang w:eastAsia="es-CO"/>
              </w:rPr>
            </w:pPr>
            <w:r w:rsidRPr="00575564">
              <w:rPr>
                <w:rFonts w:ascii="Verdana" w:hAnsi="Verdana" w:eastAsia="Times New Roman" w:cs="Calibri"/>
                <w:color w:val="000000"/>
                <w:sz w:val="16"/>
                <w:szCs w:val="16"/>
                <w:lang w:eastAsia="es-CO"/>
              </w:rPr>
              <w:t>Fondos</w:t>
            </w:r>
            <w:r w:rsidRPr="00575564">
              <w:rPr>
                <w:rFonts w:ascii="Arial" w:hAnsi="Arial" w:eastAsia="Times New Roman" w:cs="Arial"/>
                <w:color w:val="000000"/>
                <w:sz w:val="16"/>
                <w:szCs w:val="16"/>
                <w:lang w:eastAsia="es-CO"/>
              </w:rPr>
              <w:t>​</w:t>
            </w:r>
          </w:p>
        </w:tc>
        <w:tc>
          <w:tcPr>
            <w:tcW w:w="1511" w:type="dxa"/>
            <w:tcBorders>
              <w:top w:val="single" w:color="auto" w:sz="4" w:space="0"/>
              <w:left w:val="single" w:color="auto" w:sz="4" w:space="0"/>
              <w:bottom w:val="single" w:color="auto" w:sz="4" w:space="0"/>
              <w:right w:val="single" w:color="auto" w:sz="4" w:space="0"/>
            </w:tcBorders>
            <w:noWrap/>
            <w:vAlign w:val="center"/>
          </w:tcPr>
          <w:p w:rsidRPr="00575564" w:rsidR="00575564" w:rsidP="00575564" w:rsidRDefault="00575564" w14:paraId="7DB53563"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$790.683</w:t>
            </w:r>
          </w:p>
        </w:tc>
        <w:tc>
          <w:tcPr>
            <w:tcW w:w="1297" w:type="dxa"/>
            <w:tcBorders>
              <w:top w:val="single" w:color="auto" w:sz="4" w:space="0"/>
              <w:left w:val="nil"/>
              <w:bottom w:val="single" w:color="auto" w:sz="4" w:space="0"/>
              <w:right w:val="single" w:color="auto" w:sz="4" w:space="0"/>
            </w:tcBorders>
            <w:noWrap/>
            <w:vAlign w:val="center"/>
          </w:tcPr>
          <w:p w:rsidRPr="00575564" w:rsidR="00575564" w:rsidP="00575564" w:rsidRDefault="00575564" w14:paraId="2BCE21F5"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$790.683</w:t>
            </w:r>
          </w:p>
        </w:tc>
        <w:tc>
          <w:tcPr>
            <w:tcW w:w="1360" w:type="dxa"/>
            <w:tcBorders>
              <w:top w:val="single" w:color="auto" w:sz="4" w:space="0"/>
              <w:left w:val="nil"/>
              <w:bottom w:val="single" w:color="auto" w:sz="4" w:space="0"/>
              <w:right w:val="single" w:color="auto" w:sz="4" w:space="0"/>
            </w:tcBorders>
            <w:noWrap/>
            <w:vAlign w:val="center"/>
          </w:tcPr>
          <w:p w:rsidRPr="00575564" w:rsidR="00575564" w:rsidP="00575564" w:rsidRDefault="00575564" w14:paraId="1DF98BBF"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$476.877</w:t>
            </w:r>
          </w:p>
        </w:tc>
        <w:tc>
          <w:tcPr>
            <w:tcW w:w="1205" w:type="dxa"/>
            <w:tcBorders>
              <w:top w:val="single" w:color="auto" w:sz="4" w:space="0"/>
              <w:left w:val="nil"/>
              <w:bottom w:val="single" w:color="auto" w:sz="4" w:space="0"/>
              <w:right w:val="single" w:color="auto" w:sz="4" w:space="0"/>
            </w:tcBorders>
            <w:noWrap/>
            <w:vAlign w:val="center"/>
          </w:tcPr>
          <w:p w:rsidRPr="00575564" w:rsidR="00575564" w:rsidP="00575564" w:rsidRDefault="00575564" w14:paraId="0972ECC4"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60,3%</w:t>
            </w:r>
          </w:p>
        </w:tc>
        <w:tc>
          <w:tcPr>
            <w:tcW w:w="1290" w:type="dxa"/>
            <w:tcBorders>
              <w:top w:val="single" w:color="auto" w:sz="4" w:space="0"/>
              <w:left w:val="nil"/>
              <w:bottom w:val="single" w:color="auto" w:sz="4" w:space="0"/>
              <w:right w:val="single" w:color="auto" w:sz="4" w:space="0"/>
            </w:tcBorders>
            <w:noWrap/>
            <w:vAlign w:val="center"/>
          </w:tcPr>
          <w:p w:rsidRPr="00575564" w:rsidR="00575564" w:rsidP="00575564" w:rsidRDefault="00575564" w14:paraId="18F1CE88"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$34.969</w:t>
            </w:r>
          </w:p>
        </w:tc>
        <w:tc>
          <w:tcPr>
            <w:tcW w:w="965" w:type="dxa"/>
            <w:tcBorders>
              <w:top w:val="single" w:color="auto" w:sz="4" w:space="0"/>
              <w:left w:val="nil"/>
              <w:bottom w:val="single" w:color="auto" w:sz="4" w:space="0"/>
              <w:right w:val="single" w:color="auto" w:sz="4" w:space="0"/>
            </w:tcBorders>
            <w:noWrap/>
            <w:vAlign w:val="center"/>
          </w:tcPr>
          <w:p w:rsidRPr="00575564" w:rsidR="00575564" w:rsidP="00575564" w:rsidRDefault="00575564" w14:paraId="0F8CFB25" w14:textId="77777777">
            <w:pPr>
              <w:spacing w:after="0" w:line="240" w:lineRule="auto"/>
              <w:jc w:val="center"/>
              <w:rPr>
                <w:rFonts w:ascii="Verdana" w:hAnsi="Verdana" w:eastAsia="Times New Roman" w:cs="Calibri"/>
                <w:sz w:val="16"/>
                <w:szCs w:val="16"/>
                <w:lang w:eastAsia="es-CO"/>
              </w:rPr>
            </w:pPr>
            <w:r w:rsidRPr="00575564">
              <w:rPr>
                <w:rFonts w:ascii="Verdana" w:hAnsi="Verdana" w:cs="Calibri"/>
                <w:sz w:val="16"/>
                <w:szCs w:val="16"/>
              </w:rPr>
              <w:t>4,4%</w:t>
            </w:r>
          </w:p>
        </w:tc>
      </w:tr>
      <w:tr w:rsidRPr="00575564" w:rsidR="00575564" w:rsidTr="00B06BDB" w14:paraId="69E98830" w14:textId="77777777">
        <w:trPr>
          <w:trHeight w:val="310"/>
        </w:trPr>
        <w:tc>
          <w:tcPr>
            <w:tcW w:w="1298" w:type="dxa"/>
            <w:tcBorders>
              <w:top w:val="single" w:color="auto" w:sz="4" w:space="0"/>
              <w:left w:val="single" w:color="auto" w:sz="4" w:space="0"/>
              <w:bottom w:val="single" w:color="auto" w:sz="4" w:space="0"/>
              <w:right w:val="single" w:color="auto" w:sz="4" w:space="0"/>
            </w:tcBorders>
            <w:shd w:val="clear" w:color="auto" w:fill="BFBFBF" w:themeFill="background1" w:themeFillShade="BF"/>
            <w:vAlign w:val="center"/>
            <w:hideMark/>
          </w:tcPr>
          <w:p w:rsidRPr="00575564" w:rsidR="00575564" w:rsidP="00575564" w:rsidRDefault="00575564" w14:paraId="372F9498" w14:textId="77777777">
            <w:pPr>
              <w:spacing w:after="0" w:line="240" w:lineRule="auto"/>
              <w:jc w:val="center"/>
              <w:rPr>
                <w:rFonts w:ascii="Verdana" w:hAnsi="Verdana" w:eastAsia="Times New Roman" w:cs="Calibri"/>
                <w:b/>
                <w:bCs/>
                <w:color w:val="000000"/>
                <w:sz w:val="16"/>
                <w:szCs w:val="16"/>
                <w:lang w:eastAsia="es-CO"/>
              </w:rPr>
            </w:pPr>
            <w:r w:rsidRPr="00575564">
              <w:rPr>
                <w:rFonts w:ascii="Verdana" w:hAnsi="Verdana" w:eastAsia="Times New Roman" w:cs="Calibri"/>
                <w:b/>
                <w:bCs/>
                <w:color w:val="000000"/>
                <w:sz w:val="16"/>
                <w:szCs w:val="16"/>
                <w:lang w:eastAsia="es-CO"/>
              </w:rPr>
              <w:t>Total</w:t>
            </w:r>
          </w:p>
        </w:tc>
        <w:tc>
          <w:tcPr>
            <w:tcW w:w="1511" w:type="dxa"/>
            <w:tcBorders>
              <w:top w:val="single" w:color="auto" w:sz="4" w:space="0"/>
              <w:left w:val="single" w:color="auto" w:sz="4" w:space="0"/>
              <w:bottom w:val="single" w:color="auto" w:sz="4" w:space="0"/>
              <w:right w:val="single" w:color="auto" w:sz="4" w:space="0"/>
            </w:tcBorders>
            <w:shd w:val="clear" w:color="auto" w:fill="BFBFBF" w:themeFill="background1" w:themeFillShade="BF"/>
            <w:noWrap/>
            <w:vAlign w:val="center"/>
          </w:tcPr>
          <w:p w:rsidRPr="00575564" w:rsidR="00575564" w:rsidP="00575564" w:rsidRDefault="00575564" w14:paraId="37645E04"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$8.390.198</w:t>
            </w:r>
          </w:p>
        </w:tc>
        <w:tc>
          <w:tcPr>
            <w:tcW w:w="1297" w:type="dxa"/>
            <w:tcBorders>
              <w:top w:val="single" w:color="auto" w:sz="4" w:space="0"/>
              <w:left w:val="single" w:color="auto" w:sz="4" w:space="0"/>
              <w:bottom w:val="single" w:color="auto" w:sz="4" w:space="0"/>
              <w:right w:val="single" w:color="auto" w:sz="4" w:space="0"/>
            </w:tcBorders>
            <w:shd w:val="clear" w:color="auto" w:fill="BFBFBF" w:themeFill="background1" w:themeFillShade="BF"/>
            <w:noWrap/>
            <w:vAlign w:val="center"/>
          </w:tcPr>
          <w:p w:rsidRPr="00575564" w:rsidR="00575564" w:rsidP="00575564" w:rsidRDefault="00575564" w14:paraId="20778E48"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$8.390.198</w:t>
            </w:r>
          </w:p>
        </w:tc>
        <w:tc>
          <w:tcPr>
            <w:tcW w:w="1360" w:type="dxa"/>
            <w:tcBorders>
              <w:top w:val="single" w:color="auto" w:sz="4" w:space="0"/>
              <w:left w:val="single" w:color="auto" w:sz="4" w:space="0"/>
              <w:bottom w:val="single" w:color="auto" w:sz="4" w:space="0"/>
              <w:right w:val="single" w:color="auto" w:sz="4" w:space="0"/>
            </w:tcBorders>
            <w:shd w:val="clear" w:color="auto" w:fill="BFBFBF" w:themeFill="background1" w:themeFillShade="BF"/>
            <w:noWrap/>
            <w:vAlign w:val="center"/>
          </w:tcPr>
          <w:p w:rsidRPr="00575564" w:rsidR="00575564" w:rsidP="00575564" w:rsidRDefault="00575564" w14:paraId="259A16EE"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$ 3.760.728</w:t>
            </w:r>
          </w:p>
        </w:tc>
        <w:tc>
          <w:tcPr>
            <w:tcW w:w="1205" w:type="dxa"/>
            <w:tcBorders>
              <w:top w:val="single" w:color="auto" w:sz="4" w:space="0"/>
              <w:left w:val="single" w:color="auto" w:sz="4" w:space="0"/>
              <w:bottom w:val="single" w:color="auto" w:sz="4" w:space="0"/>
              <w:right w:val="single" w:color="auto" w:sz="4" w:space="0"/>
            </w:tcBorders>
            <w:shd w:val="clear" w:color="auto" w:fill="BFBFBF" w:themeFill="background1" w:themeFillShade="BF"/>
            <w:noWrap/>
            <w:vAlign w:val="center"/>
          </w:tcPr>
          <w:p w:rsidRPr="00575564" w:rsidR="00575564" w:rsidP="00575564" w:rsidRDefault="00575564" w14:paraId="236E79D6"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44,8%</w:t>
            </w:r>
          </w:p>
        </w:tc>
        <w:tc>
          <w:tcPr>
            <w:tcW w:w="1290" w:type="dxa"/>
            <w:tcBorders>
              <w:top w:val="single" w:color="auto" w:sz="4" w:space="0"/>
              <w:left w:val="single" w:color="auto" w:sz="4" w:space="0"/>
              <w:bottom w:val="single" w:color="auto" w:sz="4" w:space="0"/>
              <w:right w:val="single" w:color="auto" w:sz="4" w:space="0"/>
            </w:tcBorders>
            <w:shd w:val="clear" w:color="auto" w:fill="BFBFBF" w:themeFill="background1" w:themeFillShade="BF"/>
            <w:noWrap/>
            <w:vAlign w:val="center"/>
          </w:tcPr>
          <w:p w:rsidRPr="00575564" w:rsidR="00575564" w:rsidP="00575564" w:rsidRDefault="00575564" w14:paraId="6044C442"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$2.156.011</w:t>
            </w:r>
          </w:p>
        </w:tc>
        <w:tc>
          <w:tcPr>
            <w:tcW w:w="965" w:type="dxa"/>
            <w:tcBorders>
              <w:top w:val="single" w:color="auto" w:sz="4" w:space="0"/>
              <w:left w:val="single" w:color="auto" w:sz="4" w:space="0"/>
              <w:bottom w:val="single" w:color="auto" w:sz="4" w:space="0"/>
              <w:right w:val="single" w:color="auto" w:sz="4" w:space="0"/>
            </w:tcBorders>
            <w:shd w:val="clear" w:color="auto" w:fill="BFBFBF" w:themeFill="background1" w:themeFillShade="BF"/>
            <w:noWrap/>
            <w:vAlign w:val="center"/>
          </w:tcPr>
          <w:p w:rsidRPr="00575564" w:rsidR="00575564" w:rsidP="00575564" w:rsidRDefault="00575564" w14:paraId="4929F6B0" w14:textId="77777777">
            <w:pPr>
              <w:spacing w:after="0" w:line="240" w:lineRule="auto"/>
              <w:jc w:val="center"/>
              <w:rPr>
                <w:rFonts w:ascii="Verdana" w:hAnsi="Verdana" w:eastAsia="Times New Roman" w:cs="Calibri"/>
                <w:sz w:val="16"/>
                <w:szCs w:val="16"/>
                <w:lang w:eastAsia="es-CO"/>
              </w:rPr>
            </w:pPr>
            <w:r w:rsidRPr="00575564">
              <w:rPr>
                <w:rFonts w:ascii="Verdana" w:hAnsi="Verdana" w:eastAsia="Times New Roman" w:cs="Calibri"/>
                <w:sz w:val="16"/>
                <w:szCs w:val="16"/>
                <w:lang w:eastAsia="es-CO"/>
              </w:rPr>
              <w:t>25,7%</w:t>
            </w:r>
          </w:p>
        </w:tc>
      </w:tr>
    </w:tbl>
    <w:p w:rsidRPr="00575564" w:rsidR="00575564" w:rsidP="00575564" w:rsidRDefault="00575564" w14:paraId="3F1A99DD" w14:textId="77777777">
      <w:pPr>
        <w:spacing w:after="0" w:line="240" w:lineRule="auto"/>
        <w:jc w:val="center"/>
        <w:rPr>
          <w:rFonts w:ascii="Verdana" w:hAnsi="Verdana"/>
          <w:sz w:val="18"/>
        </w:rPr>
      </w:pPr>
      <w:r w:rsidRPr="00575564">
        <w:rPr>
          <w:rFonts w:ascii="Verdana" w:hAnsi="Verdana"/>
          <w:sz w:val="18"/>
        </w:rPr>
        <w:t>Fuente: Elaboración propia del Grupo de Programación y Gestión Estratégica de Proyectos con información del SIIF Nación del Min Hacienda. Corte a 30 de abril de 2026.</w:t>
      </w:r>
    </w:p>
    <w:p w:rsidR="00E52256" w:rsidP="006A0A13" w:rsidRDefault="00E52256" w14:paraId="7A8D99DC" w14:textId="77777777">
      <w:pPr>
        <w:tabs>
          <w:tab w:val="left" w:pos="2700"/>
        </w:tabs>
        <w:spacing w:after="0" w:line="360" w:lineRule="auto"/>
        <w:jc w:val="both"/>
        <w:rPr>
          <w:rFonts w:ascii="Verdana" w:hAnsi="Verdana"/>
          <w:sz w:val="24"/>
          <w:szCs w:val="24"/>
        </w:rPr>
      </w:pPr>
    </w:p>
    <w:p w:rsidRPr="00E52256" w:rsidR="00E52256" w:rsidP="006A0A13" w:rsidRDefault="00E52256" w14:paraId="25548050" w14:textId="77777777">
      <w:pPr>
        <w:tabs>
          <w:tab w:val="left" w:pos="2700"/>
        </w:tabs>
        <w:spacing w:after="0" w:line="360" w:lineRule="auto"/>
        <w:jc w:val="both"/>
        <w:rPr>
          <w:rFonts w:ascii="Verdana" w:hAnsi="Verdana"/>
          <w:sz w:val="24"/>
          <w:szCs w:val="24"/>
        </w:rPr>
      </w:pPr>
      <w:r w:rsidRPr="00E52256">
        <w:rPr>
          <w:rFonts w:ascii="Verdana" w:hAnsi="Verdana"/>
          <w:sz w:val="24"/>
          <w:szCs w:val="24"/>
        </w:rPr>
        <w:t>Con corte al 30 de abril de 2026, los programas de Subsidios y Fondos registraron una apropiación vigente total de $8.390.198 millones, de los cuales se comprometieron recursos por $3.760.728 millones, equivalentes al 44,8% de ejecución en compromisos.</w:t>
      </w:r>
    </w:p>
    <w:p w:rsidR="00E52256" w:rsidP="006A0A13" w:rsidRDefault="00E52256" w14:paraId="35CB4C6A" w14:textId="77777777">
      <w:pPr>
        <w:tabs>
          <w:tab w:val="left" w:pos="2700"/>
        </w:tabs>
        <w:spacing w:after="0" w:line="360" w:lineRule="auto"/>
        <w:jc w:val="both"/>
        <w:rPr>
          <w:rFonts w:ascii="Verdana" w:hAnsi="Verdana"/>
          <w:sz w:val="24"/>
          <w:szCs w:val="24"/>
        </w:rPr>
      </w:pPr>
    </w:p>
    <w:p w:rsidRPr="00E52256" w:rsidR="00575564" w:rsidP="006A0A13" w:rsidRDefault="5EDD2324" w14:paraId="533F3FB2" w14:textId="77777777">
      <w:pPr>
        <w:tabs>
          <w:tab w:val="left" w:pos="2700"/>
        </w:tabs>
        <w:spacing w:after="0" w:line="360" w:lineRule="auto"/>
        <w:jc w:val="both"/>
        <w:rPr>
          <w:rFonts w:ascii="Verdana" w:hAnsi="Verdana"/>
          <w:sz w:val="24"/>
          <w:szCs w:val="24"/>
        </w:rPr>
      </w:pPr>
      <w:r w:rsidRPr="30CF4445" w:rsidR="765F65D4">
        <w:rPr>
          <w:rFonts w:ascii="Verdana" w:hAnsi="Verdana"/>
          <w:sz w:val="24"/>
          <w:szCs w:val="24"/>
        </w:rPr>
        <w:t xml:space="preserve">En el detalle por componentes, </w:t>
      </w:r>
      <w:commentRangeStart w:id="670890444"/>
      <w:r w:rsidRPr="30CF4445" w:rsidR="765F65D4">
        <w:rPr>
          <w:rFonts w:ascii="Verdana" w:hAnsi="Verdana"/>
          <w:sz w:val="24"/>
          <w:szCs w:val="24"/>
        </w:rPr>
        <w:t>el rubro los Subsidios de Energía registraron</w:t>
      </w:r>
      <w:commentRangeEnd w:id="670890444"/>
      <w:r>
        <w:rPr>
          <w:rStyle w:val="CommentReference"/>
        </w:rPr>
        <w:commentReference w:id="670890444"/>
      </w:r>
      <w:r w:rsidRPr="30CF4445" w:rsidR="765F65D4">
        <w:rPr>
          <w:rFonts w:ascii="Verdana" w:hAnsi="Verdana"/>
          <w:sz w:val="24"/>
          <w:szCs w:val="24"/>
        </w:rPr>
        <w:t xml:space="preserve"> compromisos por $2.489.567 millones, equivalentes al 43,7% de ejecución; los Subsidios de Gas por Red alcanzaron compromisos por $719.380 millones, correspondientes al 47,6% de su apropiación, mostrando un avance moderado en la ejecución presupuestal. Por su parte Otros Subsidios presentaron compromisos por valor de $74.904 millones, lo que equivale a una ejecución del 19,2%, lo que evidencia la constitución de compromisos superiores a la apropiación vigente durante el periodo analizado; finalmente los Fondos registraron compromisos por $476.877 millones, equivalentes al 60,3% de ejecución, reflejando un avance intermedio en la gestión de los recursos asignados.</w:t>
      </w:r>
    </w:p>
    <w:p w:rsidRPr="00C140A0" w:rsidR="00575564" w:rsidP="006A0A13" w:rsidRDefault="00575564" w14:paraId="3C7B6A8D" w14:textId="77777777">
      <w:pPr>
        <w:tabs>
          <w:tab w:val="left" w:pos="2700"/>
        </w:tabs>
        <w:spacing w:after="0" w:line="360" w:lineRule="auto"/>
        <w:rPr>
          <w:rFonts w:ascii="Verdana" w:hAnsi="Verdana"/>
        </w:rPr>
      </w:pPr>
    </w:p>
    <w:p w:rsidRPr="00C140A0" w:rsidR="00A82055" w:rsidRDefault="00A82055" w14:paraId="65B389B9" w14:textId="77777777">
      <w:pPr>
        <w:pStyle w:val="Ttulo2"/>
        <w:numPr>
          <w:ilvl w:val="1"/>
          <w:numId w:val="42"/>
        </w:numPr>
        <w:spacing w:before="0" w:after="0" w:line="360" w:lineRule="auto"/>
        <w:rPr>
          <w:rFonts w:ascii="Verdana" w:hAnsi="Verdana"/>
          <w:b/>
          <w:bCs/>
          <w:color w:val="auto"/>
          <w:sz w:val="24"/>
          <w:szCs w:val="24"/>
        </w:rPr>
      </w:pPr>
      <w:bookmarkStart w:name="_Toc233996733" w:id="16"/>
      <w:r w:rsidRPr="00C140A0">
        <w:rPr>
          <w:rFonts w:ascii="Verdana" w:hAnsi="Verdana"/>
          <w:b/>
          <w:bCs/>
          <w:color w:val="auto"/>
          <w:sz w:val="24"/>
          <w:szCs w:val="24"/>
        </w:rPr>
        <w:t>Ejecución contractual por vigencia (Por vigencia)</w:t>
      </w:r>
      <w:bookmarkEnd w:id="16"/>
    </w:p>
    <w:p w:rsidR="00B06BDB" w:rsidP="006A0A13" w:rsidRDefault="00B06BDB" w14:paraId="33B76AA1" w14:textId="77777777">
      <w:pPr>
        <w:spacing w:after="0" w:line="360" w:lineRule="auto"/>
        <w:jc w:val="both"/>
        <w:rPr>
          <w:rFonts w:ascii="Verdana" w:hAnsi="Verdana"/>
          <w:sz w:val="24"/>
          <w:szCs w:val="24"/>
        </w:rPr>
      </w:pPr>
    </w:p>
    <w:p w:rsidRPr="00C140A0" w:rsidR="002C46A8" w:rsidP="006A0A13" w:rsidRDefault="403F1154" w14:paraId="1E8275F6" w14:textId="77777777">
      <w:pPr>
        <w:spacing w:after="0" w:line="360" w:lineRule="auto"/>
        <w:jc w:val="both"/>
        <w:rPr>
          <w:rFonts w:ascii="Verdana" w:hAnsi="Verdana"/>
          <w:sz w:val="24"/>
          <w:szCs w:val="24"/>
        </w:rPr>
      </w:pPr>
      <w:r w:rsidRPr="180099B3">
        <w:rPr>
          <w:rFonts w:ascii="Verdana" w:hAnsi="Verdana"/>
          <w:sz w:val="24"/>
          <w:szCs w:val="24"/>
        </w:rPr>
        <w:t xml:space="preserve">El presente aparte tiene como propósito presentar la gestión desarrollada por el Grupo de Gestión Contractual – GGC - del Ministerio de Minas y Energía, la cual se ejecutó en el marco del Plan Nacional de Desarrollo (PND), en armonía con los objetivos misionales de esta cartera y las </w:t>
      </w:r>
      <w:r w:rsidRPr="180099B3">
        <w:rPr>
          <w:rFonts w:ascii="Verdana" w:hAnsi="Verdana"/>
          <w:sz w:val="24"/>
          <w:szCs w:val="24"/>
        </w:rPr>
        <w:t>necesidades previamente consignadas en el Plan Anual de Adquisiciones -PAA-.</w:t>
      </w:r>
      <w:r w:rsidRPr="180099B3" w:rsidR="2471B690">
        <w:rPr>
          <w:rFonts w:ascii="Verdana" w:hAnsi="Verdana"/>
          <w:sz w:val="24"/>
          <w:szCs w:val="24"/>
        </w:rPr>
        <w:t xml:space="preserve"> </w:t>
      </w:r>
      <w:r w:rsidRPr="180099B3">
        <w:rPr>
          <w:rFonts w:ascii="Verdana" w:hAnsi="Verdana"/>
          <w:sz w:val="24"/>
          <w:szCs w:val="24"/>
        </w:rPr>
        <w:t xml:space="preserve">La ejecución contractual del Ministerio de Minas y Energía (MME), durante el cuatrienio </w:t>
      </w:r>
      <w:r w:rsidRPr="180099B3" w:rsidR="4F7D76B6">
        <w:rPr>
          <w:rFonts w:ascii="Verdana" w:hAnsi="Verdana"/>
          <w:sz w:val="24"/>
          <w:szCs w:val="24"/>
        </w:rPr>
        <w:t>agosto</w:t>
      </w:r>
      <w:r w:rsidRPr="180099B3">
        <w:rPr>
          <w:rFonts w:ascii="Verdana" w:hAnsi="Verdana"/>
          <w:sz w:val="24"/>
          <w:szCs w:val="24"/>
        </w:rPr>
        <w:t xml:space="preserve"> 2022- </w:t>
      </w:r>
      <w:r w:rsidRPr="180099B3" w:rsidR="6B9F17F9">
        <w:rPr>
          <w:rFonts w:ascii="Verdana" w:hAnsi="Verdana"/>
          <w:sz w:val="24"/>
          <w:szCs w:val="24"/>
        </w:rPr>
        <w:t>marzo</w:t>
      </w:r>
      <w:r w:rsidRPr="180099B3">
        <w:rPr>
          <w:rFonts w:ascii="Verdana" w:hAnsi="Verdana"/>
          <w:sz w:val="24"/>
          <w:szCs w:val="24"/>
        </w:rPr>
        <w:t xml:space="preserve"> 2026, se discrimina a partir de variables como el número de contratos, las modalidades de contratación y el valor total de la contratación.</w:t>
      </w:r>
    </w:p>
    <w:p w:rsidR="00E52256" w:rsidP="006A0A13" w:rsidRDefault="00E52256" w14:paraId="0DF41F2F" w14:textId="77777777">
      <w:pPr>
        <w:spacing w:after="0" w:line="360" w:lineRule="auto"/>
        <w:jc w:val="both"/>
        <w:rPr>
          <w:rFonts w:ascii="Verdana" w:hAnsi="Verdana"/>
          <w:sz w:val="24"/>
          <w:szCs w:val="24"/>
        </w:rPr>
      </w:pPr>
    </w:p>
    <w:p w:rsidRPr="00C140A0" w:rsidR="002C46A8" w:rsidP="006A0A13" w:rsidRDefault="002C46A8" w14:paraId="695D061E" w14:textId="4DCBA6E7">
      <w:pPr>
        <w:spacing w:after="0" w:line="360" w:lineRule="auto"/>
        <w:jc w:val="both"/>
        <w:rPr>
          <w:rFonts w:ascii="Verdana" w:hAnsi="Verdana"/>
          <w:sz w:val="24"/>
          <w:szCs w:val="24"/>
        </w:rPr>
      </w:pPr>
      <w:r w:rsidRPr="30CF4445" w:rsidR="6BD245D0">
        <w:rPr>
          <w:rFonts w:ascii="Verdana" w:hAnsi="Verdana"/>
          <w:sz w:val="24"/>
          <w:szCs w:val="24"/>
        </w:rPr>
        <w:t>Por lo anterior, se procede a mostrar el análisis consolidado del período, el cual comprende alrededor de 6.699 registros contractuales con un valor que asciende a la suma de $7</w:t>
      </w:r>
      <w:r w:rsidRPr="30CF4445" w:rsidR="4E7B7A7F">
        <w:rPr>
          <w:rFonts w:ascii="Verdana" w:hAnsi="Verdana"/>
          <w:sz w:val="24"/>
          <w:szCs w:val="24"/>
        </w:rPr>
        <w:t>.</w:t>
      </w:r>
      <w:r w:rsidRPr="30CF4445" w:rsidR="6BD245D0">
        <w:rPr>
          <w:rFonts w:ascii="Verdana" w:hAnsi="Verdana"/>
          <w:sz w:val="24"/>
          <w:szCs w:val="24"/>
        </w:rPr>
        <w:t>827</w:t>
      </w:r>
      <w:r w:rsidRPr="30CF4445" w:rsidR="67F9CE25">
        <w:rPr>
          <w:rFonts w:ascii="Verdana" w:hAnsi="Verdana"/>
          <w:sz w:val="24"/>
          <w:szCs w:val="24"/>
        </w:rPr>
        <w:t>,</w:t>
      </w:r>
      <w:r w:rsidRPr="30CF4445" w:rsidR="6BD245D0">
        <w:rPr>
          <w:rFonts w:ascii="Verdana" w:hAnsi="Verdana"/>
          <w:sz w:val="24"/>
          <w:szCs w:val="24"/>
        </w:rPr>
        <w:t xml:space="preserve">47 mil millones aproximadamente. </w:t>
      </w:r>
    </w:p>
    <w:p w:rsidR="00B06BDB" w:rsidP="006A0A13" w:rsidRDefault="00B06BDB" w14:paraId="30C0A802" w14:textId="77777777">
      <w:pPr>
        <w:spacing w:after="0" w:line="360" w:lineRule="auto"/>
        <w:jc w:val="both"/>
        <w:rPr>
          <w:rFonts w:ascii="Verdana" w:hAnsi="Verdana"/>
          <w:sz w:val="24"/>
          <w:szCs w:val="24"/>
        </w:rPr>
      </w:pPr>
    </w:p>
    <w:p w:rsidRPr="00C140A0" w:rsidR="002C46A8" w:rsidP="006A0A13" w:rsidRDefault="002C46A8" w14:paraId="69FA18E9" w14:textId="77777777">
      <w:pPr>
        <w:spacing w:after="0" w:line="360" w:lineRule="auto"/>
        <w:jc w:val="both"/>
        <w:rPr>
          <w:rFonts w:ascii="Verdana" w:hAnsi="Verdana"/>
          <w:sz w:val="24"/>
          <w:szCs w:val="24"/>
        </w:rPr>
      </w:pPr>
      <w:r w:rsidRPr="00C140A0">
        <w:rPr>
          <w:rFonts w:ascii="Verdana" w:hAnsi="Verdana"/>
          <w:sz w:val="24"/>
          <w:szCs w:val="24"/>
        </w:rPr>
        <w:t>A continuación, se presenta un análisis descriptivo por vigencia.</w:t>
      </w:r>
    </w:p>
    <w:p w:rsidRPr="00C140A0" w:rsidR="002C46A8" w:rsidP="006A0A13" w:rsidRDefault="002C46A8" w14:paraId="3A9A87B9" w14:textId="77777777">
      <w:pPr>
        <w:spacing w:after="0" w:line="360" w:lineRule="auto"/>
        <w:jc w:val="both"/>
        <w:rPr>
          <w:rFonts w:ascii="Verdana" w:hAnsi="Verdana"/>
          <w:sz w:val="24"/>
          <w:szCs w:val="24"/>
        </w:rPr>
      </w:pPr>
    </w:p>
    <w:p w:rsidRPr="00C140A0" w:rsidR="002C46A8" w:rsidRDefault="403F1154" w14:paraId="55559F52" w14:textId="77777777">
      <w:pPr>
        <w:pStyle w:val="Prrafodelista"/>
        <w:numPr>
          <w:ilvl w:val="2"/>
          <w:numId w:val="42"/>
        </w:numPr>
        <w:spacing w:after="0" w:line="360" w:lineRule="auto"/>
        <w:rPr>
          <w:rFonts w:ascii="Verdana" w:hAnsi="Verdana"/>
          <w:b/>
          <w:bCs/>
          <w:sz w:val="24"/>
          <w:szCs w:val="24"/>
        </w:rPr>
      </w:pPr>
      <w:r w:rsidRPr="180099B3">
        <w:rPr>
          <w:rFonts w:ascii="Verdana" w:hAnsi="Verdana"/>
          <w:b/>
          <w:bCs/>
          <w:sz w:val="24"/>
          <w:szCs w:val="24"/>
        </w:rPr>
        <w:t xml:space="preserve">Resumen General para el Periodo </w:t>
      </w:r>
      <w:r w:rsidRPr="180099B3" w:rsidR="4BB4DBE2">
        <w:rPr>
          <w:rFonts w:ascii="Verdana" w:hAnsi="Verdana"/>
          <w:b/>
          <w:bCs/>
          <w:sz w:val="24"/>
          <w:szCs w:val="24"/>
        </w:rPr>
        <w:t>agosto</w:t>
      </w:r>
      <w:r w:rsidRPr="180099B3">
        <w:rPr>
          <w:rFonts w:ascii="Verdana" w:hAnsi="Verdana"/>
          <w:b/>
          <w:bCs/>
          <w:sz w:val="24"/>
          <w:szCs w:val="24"/>
        </w:rPr>
        <w:t xml:space="preserve"> 2022 – </w:t>
      </w:r>
      <w:r w:rsidRPr="180099B3" w:rsidR="02C3520D">
        <w:rPr>
          <w:rFonts w:ascii="Verdana" w:hAnsi="Verdana"/>
          <w:b/>
          <w:bCs/>
          <w:sz w:val="24"/>
          <w:szCs w:val="24"/>
        </w:rPr>
        <w:t>marzo</w:t>
      </w:r>
      <w:r w:rsidRPr="180099B3">
        <w:rPr>
          <w:rFonts w:ascii="Verdana" w:hAnsi="Verdana"/>
          <w:b/>
          <w:bCs/>
          <w:sz w:val="24"/>
          <w:szCs w:val="24"/>
        </w:rPr>
        <w:t xml:space="preserve"> 2026</w:t>
      </w:r>
    </w:p>
    <w:p w:rsidR="00B06BDB" w:rsidP="006A0A13" w:rsidRDefault="00B06BDB" w14:paraId="50CDE1D5" w14:textId="77777777">
      <w:pPr>
        <w:spacing w:after="0" w:line="360" w:lineRule="auto"/>
        <w:rPr>
          <w:rFonts w:ascii="Verdana" w:hAnsi="Verdana"/>
          <w:sz w:val="24"/>
          <w:szCs w:val="24"/>
        </w:rPr>
      </w:pPr>
    </w:p>
    <w:p w:rsidRPr="00C140A0" w:rsidR="002C46A8" w:rsidP="006A0A13" w:rsidRDefault="403F1154" w14:paraId="055D8871" w14:textId="77777777">
      <w:pPr>
        <w:spacing w:after="0" w:line="360" w:lineRule="auto"/>
        <w:rPr>
          <w:rFonts w:ascii="Verdana" w:hAnsi="Verdana"/>
          <w:sz w:val="24"/>
          <w:szCs w:val="24"/>
        </w:rPr>
      </w:pPr>
      <w:r w:rsidRPr="180099B3">
        <w:rPr>
          <w:rFonts w:ascii="Verdana" w:hAnsi="Verdana"/>
          <w:sz w:val="24"/>
          <w:szCs w:val="24"/>
        </w:rPr>
        <w:t>La siguiente tabla ilustra el número de contratos suscritos por vigencia con el correspondiente valor contratado:</w:t>
      </w:r>
    </w:p>
    <w:p w:rsidR="180099B3" w:rsidP="006A0A13" w:rsidRDefault="180099B3" w14:paraId="70480547" w14:textId="77777777">
      <w:pPr>
        <w:spacing w:after="0" w:line="360" w:lineRule="auto"/>
        <w:rPr>
          <w:rFonts w:ascii="Verdana" w:hAnsi="Verdana"/>
          <w:sz w:val="24"/>
          <w:szCs w:val="24"/>
        </w:rPr>
      </w:pPr>
    </w:p>
    <w:p w:rsidRPr="00E52256" w:rsidR="002C46A8" w:rsidP="180099B3" w:rsidRDefault="403F1154" w14:paraId="15FF77C5" w14:textId="77777777">
      <w:pPr>
        <w:pStyle w:val="Descripcin"/>
        <w:spacing w:after="0"/>
        <w:jc w:val="center"/>
        <w:rPr>
          <w:rFonts w:ascii="Verdana" w:hAnsi="Verdana"/>
          <w:b/>
          <w:bCs/>
          <w:i w:val="0"/>
          <w:iCs w:val="0"/>
          <w:color w:val="auto"/>
        </w:rPr>
      </w:pPr>
      <w:r w:rsidRPr="180099B3">
        <w:rPr>
          <w:rFonts w:ascii="Verdana" w:hAnsi="Verdana"/>
          <w:i w:val="0"/>
          <w:iCs w:val="0"/>
          <w:color w:val="auto"/>
        </w:rPr>
        <w:t>Tabla</w:t>
      </w:r>
      <w:r w:rsidRPr="180099B3" w:rsidR="2471B690">
        <w:rPr>
          <w:rFonts w:ascii="Verdana" w:hAnsi="Verdana"/>
          <w:i w:val="0"/>
          <w:iCs w:val="0"/>
          <w:color w:val="auto"/>
        </w:rPr>
        <w:t xml:space="preserve"> No. 5</w:t>
      </w:r>
      <w:r w:rsidRPr="180099B3" w:rsidR="303CA853">
        <w:rPr>
          <w:rFonts w:ascii="Verdana" w:hAnsi="Verdana"/>
          <w:i w:val="0"/>
          <w:iCs w:val="0"/>
          <w:color w:val="auto"/>
        </w:rPr>
        <w:t>3</w:t>
      </w:r>
      <w:r w:rsidRPr="180099B3">
        <w:rPr>
          <w:rFonts w:ascii="Verdana" w:hAnsi="Verdana"/>
          <w:i w:val="0"/>
          <w:iCs w:val="0"/>
          <w:color w:val="auto"/>
        </w:rPr>
        <w:t>. Resumen General por Vigencia</w:t>
      </w:r>
    </w:p>
    <w:tbl>
      <w:tblPr>
        <w:tblW w:w="708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 w:type="dxa"/>
          <w:right w:w="10" w:type="dxa"/>
        </w:tblCellMar>
        <w:tblLook w:val="0000" w:firstRow="0" w:lastRow="0" w:firstColumn="0" w:lastColumn="0" w:noHBand="0" w:noVBand="0"/>
      </w:tblPr>
      <w:tblGrid>
        <w:gridCol w:w="2329"/>
        <w:gridCol w:w="2497"/>
        <w:gridCol w:w="2257"/>
      </w:tblGrid>
      <w:tr w:rsidRPr="00E52256" w:rsidR="002C46A8" w:rsidTr="30CF4445" w14:paraId="5A948C88" w14:textId="77777777">
        <w:trPr>
          <w:trHeight w:val="271"/>
          <w:tblHeader/>
          <w:jc w:val="center"/>
        </w:trPr>
        <w:tc>
          <w:tcPr>
            <w:tcW w:w="2329" w:type="dxa"/>
            <w:shd w:val="clear" w:color="auto" w:fill="A6A6A6" w:themeFill="background1" w:themeFillShade="A6"/>
            <w:tcMar>
              <w:top w:w="80" w:type="dxa"/>
              <w:left w:w="120" w:type="dxa"/>
              <w:bottom w:w="80" w:type="dxa"/>
              <w:right w:w="120" w:type="dxa"/>
            </w:tcMar>
            <w:vAlign w:val="center"/>
          </w:tcPr>
          <w:p w:rsidR="002C46A8" w:rsidP="00B06BDB" w:rsidRDefault="002C46A8" w14:paraId="7D4B74B8" w14:textId="77777777">
            <w:pPr>
              <w:pStyle w:val="paragraph"/>
              <w:spacing w:before="0" w:beforeAutospacing="0" w:after="0" w:afterAutospacing="0"/>
              <w:jc w:val="center"/>
              <w:rPr>
                <w:rFonts w:ascii="Verdana" w:hAnsi="Verdana"/>
                <w:b/>
                <w:bCs/>
                <w:sz w:val="18"/>
                <w:szCs w:val="18"/>
              </w:rPr>
            </w:pPr>
            <w:r w:rsidRPr="00B06BDB">
              <w:rPr>
                <w:rFonts w:ascii="Verdana" w:hAnsi="Verdana"/>
                <w:b/>
                <w:bCs/>
                <w:sz w:val="18"/>
                <w:szCs w:val="18"/>
              </w:rPr>
              <w:t>Vigencia</w:t>
            </w:r>
          </w:p>
          <w:p w:rsidRPr="00B06BDB" w:rsidR="00D94015" w:rsidP="00B06BDB" w:rsidRDefault="00D94015" w14:paraId="04A28787" w14:textId="77777777">
            <w:pPr>
              <w:pStyle w:val="paragraph"/>
              <w:spacing w:before="0" w:beforeAutospacing="0" w:after="0" w:afterAutospacing="0"/>
              <w:jc w:val="center"/>
              <w:rPr>
                <w:rFonts w:ascii="Verdana" w:hAnsi="Verdana"/>
                <w:b/>
                <w:bCs/>
                <w:sz w:val="18"/>
                <w:szCs w:val="18"/>
              </w:rPr>
            </w:pPr>
          </w:p>
        </w:tc>
        <w:tc>
          <w:tcPr>
            <w:tcW w:w="2497" w:type="dxa"/>
            <w:shd w:val="clear" w:color="auto" w:fill="A6A6A6" w:themeFill="background1" w:themeFillShade="A6"/>
            <w:tcMar>
              <w:top w:w="80" w:type="dxa"/>
              <w:left w:w="120" w:type="dxa"/>
              <w:bottom w:w="80" w:type="dxa"/>
              <w:right w:w="120" w:type="dxa"/>
            </w:tcMar>
            <w:vAlign w:val="center"/>
          </w:tcPr>
          <w:p w:rsidRPr="00B06BDB" w:rsidR="002C46A8" w:rsidP="00B06BDB" w:rsidRDefault="002C46A8" w14:paraId="6A35FA0A" w14:textId="77777777">
            <w:pPr>
              <w:pStyle w:val="paragraph"/>
              <w:spacing w:before="0" w:beforeAutospacing="0" w:after="0" w:afterAutospacing="0"/>
              <w:jc w:val="center"/>
              <w:rPr>
                <w:rFonts w:ascii="Verdana" w:hAnsi="Verdana"/>
                <w:b/>
                <w:bCs/>
                <w:sz w:val="18"/>
                <w:szCs w:val="18"/>
              </w:rPr>
            </w:pPr>
            <w:r w:rsidRPr="00B06BDB">
              <w:rPr>
                <w:rFonts w:ascii="Verdana" w:hAnsi="Verdana"/>
                <w:b/>
                <w:bCs/>
                <w:sz w:val="18"/>
                <w:szCs w:val="18"/>
              </w:rPr>
              <w:t>N</w:t>
            </w:r>
            <w:r w:rsidRPr="00B06BDB" w:rsidR="00B91FF3">
              <w:rPr>
                <w:rFonts w:ascii="Verdana" w:hAnsi="Verdana"/>
                <w:b/>
                <w:bCs/>
                <w:sz w:val="18"/>
                <w:szCs w:val="18"/>
              </w:rPr>
              <w:t>o.</w:t>
            </w:r>
            <w:r w:rsidRPr="00B06BDB">
              <w:rPr>
                <w:rFonts w:ascii="Verdana" w:hAnsi="Verdana"/>
                <w:b/>
                <w:bCs/>
                <w:sz w:val="18"/>
                <w:szCs w:val="18"/>
              </w:rPr>
              <w:t xml:space="preserve"> Contratos</w:t>
            </w:r>
          </w:p>
        </w:tc>
        <w:tc>
          <w:tcPr>
            <w:tcW w:w="2257" w:type="dxa"/>
            <w:shd w:val="clear" w:color="auto" w:fill="A6A6A6" w:themeFill="background1" w:themeFillShade="A6"/>
            <w:tcMar>
              <w:top w:w="80" w:type="dxa"/>
              <w:left w:w="120" w:type="dxa"/>
              <w:bottom w:w="80" w:type="dxa"/>
              <w:right w:w="120" w:type="dxa"/>
            </w:tcMar>
            <w:vAlign w:val="center"/>
          </w:tcPr>
          <w:p w:rsidRPr="00B06BDB" w:rsidR="002C46A8" w:rsidP="00B06BDB" w:rsidRDefault="002C46A8" w14:paraId="33C65416" w14:textId="77777777">
            <w:pPr>
              <w:pStyle w:val="paragraph"/>
              <w:spacing w:before="0" w:beforeAutospacing="0" w:after="0" w:afterAutospacing="0"/>
              <w:jc w:val="center"/>
              <w:rPr>
                <w:rFonts w:ascii="Verdana" w:hAnsi="Verdana"/>
                <w:b/>
                <w:bCs/>
                <w:sz w:val="18"/>
                <w:szCs w:val="18"/>
              </w:rPr>
            </w:pPr>
            <w:r w:rsidRPr="00B06BDB">
              <w:rPr>
                <w:rFonts w:ascii="Verdana" w:hAnsi="Verdana"/>
                <w:b/>
                <w:bCs/>
                <w:sz w:val="18"/>
                <w:szCs w:val="18"/>
              </w:rPr>
              <w:t>Valor Total (mil millones)</w:t>
            </w:r>
          </w:p>
        </w:tc>
      </w:tr>
      <w:tr w:rsidRPr="00E52256" w:rsidR="002C46A8" w:rsidTr="30CF4445" w14:paraId="617EB750" w14:textId="77777777">
        <w:trPr>
          <w:trHeight w:val="404"/>
          <w:jc w:val="center"/>
        </w:trPr>
        <w:tc>
          <w:tcPr>
            <w:tcW w:w="2329" w:type="dxa"/>
            <w:shd w:val="clear" w:color="auto" w:fill="FFFFFF" w:themeFill="background1"/>
            <w:tcMar>
              <w:top w:w="60" w:type="dxa"/>
              <w:left w:w="120" w:type="dxa"/>
              <w:bottom w:w="60" w:type="dxa"/>
              <w:right w:w="120" w:type="dxa"/>
            </w:tcMar>
            <w:vAlign w:val="center"/>
          </w:tcPr>
          <w:p w:rsidRPr="00E52256" w:rsidR="002C46A8" w:rsidP="00B06BDB" w:rsidRDefault="002C46A8" w14:paraId="0FE0349F" w14:textId="77777777">
            <w:pPr>
              <w:spacing w:after="0" w:line="240" w:lineRule="auto"/>
              <w:jc w:val="center"/>
              <w:rPr>
                <w:rFonts w:ascii="Verdana" w:hAnsi="Verdana" w:eastAsia="Times New Roman" w:cs="Times New Roman"/>
                <w:sz w:val="18"/>
                <w:szCs w:val="18"/>
                <w:lang w:eastAsia="es-CO"/>
              </w:rPr>
            </w:pPr>
            <w:r w:rsidRPr="00E52256">
              <w:rPr>
                <w:rFonts w:ascii="Verdana" w:hAnsi="Verdana" w:eastAsia="Times New Roman" w:cs="Times New Roman"/>
                <w:sz w:val="18"/>
                <w:szCs w:val="18"/>
                <w:lang w:eastAsia="es-CO"/>
              </w:rPr>
              <w:t>Ago–Dic 2022</w:t>
            </w:r>
          </w:p>
        </w:tc>
        <w:tc>
          <w:tcPr>
            <w:tcW w:w="2497" w:type="dxa"/>
            <w:shd w:val="clear" w:color="auto" w:fill="FFFFFF" w:themeFill="background1"/>
            <w:tcMar>
              <w:top w:w="60" w:type="dxa"/>
              <w:left w:w="120" w:type="dxa"/>
              <w:bottom w:w="60" w:type="dxa"/>
              <w:right w:w="120" w:type="dxa"/>
            </w:tcMar>
            <w:vAlign w:val="center"/>
          </w:tcPr>
          <w:p w:rsidRPr="00E52256" w:rsidR="002C46A8" w:rsidP="00B06BDB" w:rsidRDefault="002C46A8" w14:paraId="274F6ADD" w14:textId="77777777">
            <w:pPr>
              <w:spacing w:after="0" w:line="240" w:lineRule="auto"/>
              <w:jc w:val="center"/>
              <w:rPr>
                <w:rFonts w:ascii="Verdana" w:hAnsi="Verdana" w:eastAsia="Times New Roman" w:cs="Times New Roman"/>
                <w:sz w:val="18"/>
                <w:szCs w:val="18"/>
                <w:lang w:eastAsia="es-CO"/>
              </w:rPr>
            </w:pPr>
            <w:r w:rsidRPr="00E52256">
              <w:rPr>
                <w:rFonts w:ascii="Verdana" w:hAnsi="Verdana" w:eastAsia="Times New Roman" w:cs="Times New Roman"/>
                <w:sz w:val="18"/>
                <w:szCs w:val="18"/>
                <w:lang w:eastAsia="es-CO"/>
              </w:rPr>
              <w:t>148</w:t>
            </w:r>
          </w:p>
        </w:tc>
        <w:tc>
          <w:tcPr>
            <w:tcW w:w="2257" w:type="dxa"/>
            <w:shd w:val="clear" w:color="auto" w:fill="FFFFFF" w:themeFill="background1"/>
            <w:tcMar>
              <w:top w:w="60" w:type="dxa"/>
              <w:left w:w="120" w:type="dxa"/>
              <w:bottom w:w="60" w:type="dxa"/>
              <w:right w:w="120" w:type="dxa"/>
            </w:tcMar>
            <w:vAlign w:val="center"/>
          </w:tcPr>
          <w:p w:rsidRPr="00E52256" w:rsidR="002C46A8" w:rsidP="00B06BDB" w:rsidRDefault="002C46A8" w14:paraId="2CC3757B" w14:textId="77777777">
            <w:pPr>
              <w:spacing w:after="0" w:line="240" w:lineRule="auto"/>
              <w:jc w:val="center"/>
              <w:rPr>
                <w:rFonts w:ascii="Verdana" w:hAnsi="Verdana" w:eastAsia="Times New Roman" w:cs="Times New Roman"/>
                <w:sz w:val="18"/>
                <w:szCs w:val="18"/>
                <w:lang w:eastAsia="es-CO"/>
              </w:rPr>
            </w:pPr>
            <w:r w:rsidRPr="00E52256">
              <w:rPr>
                <w:rFonts w:ascii="Verdana" w:hAnsi="Verdana" w:eastAsia="Times New Roman" w:cs="Times New Roman"/>
                <w:sz w:val="18"/>
                <w:szCs w:val="18"/>
                <w:lang w:eastAsia="es-CO"/>
              </w:rPr>
              <w:t>$131.69</w:t>
            </w:r>
          </w:p>
        </w:tc>
      </w:tr>
      <w:tr w:rsidRPr="00E52256" w:rsidR="002C46A8" w:rsidTr="30CF4445" w14:paraId="74FF506D" w14:textId="77777777">
        <w:trPr>
          <w:trHeight w:val="444"/>
          <w:jc w:val="center"/>
        </w:trPr>
        <w:tc>
          <w:tcPr>
            <w:tcW w:w="2329" w:type="dxa"/>
            <w:shd w:val="clear" w:color="auto" w:fill="F2F2F2" w:themeFill="background1" w:themeFillShade="F2"/>
            <w:tcMar>
              <w:top w:w="60" w:type="dxa"/>
              <w:left w:w="120" w:type="dxa"/>
              <w:bottom w:w="60" w:type="dxa"/>
              <w:right w:w="120" w:type="dxa"/>
            </w:tcMar>
            <w:vAlign w:val="center"/>
          </w:tcPr>
          <w:p w:rsidRPr="00E52256" w:rsidR="002C46A8" w:rsidP="00B06BDB" w:rsidRDefault="002C46A8" w14:paraId="554B6AC7" w14:textId="77777777">
            <w:pPr>
              <w:spacing w:after="0" w:line="240" w:lineRule="auto"/>
              <w:jc w:val="center"/>
              <w:rPr>
                <w:rFonts w:ascii="Verdana" w:hAnsi="Verdana" w:eastAsia="Times New Roman" w:cs="Times New Roman"/>
                <w:sz w:val="18"/>
                <w:szCs w:val="18"/>
                <w:lang w:eastAsia="es-CO"/>
              </w:rPr>
            </w:pPr>
            <w:r w:rsidRPr="00E52256">
              <w:rPr>
                <w:rFonts w:ascii="Verdana" w:hAnsi="Verdana" w:eastAsia="Times New Roman" w:cs="Times New Roman"/>
                <w:sz w:val="18"/>
                <w:szCs w:val="18"/>
                <w:lang w:eastAsia="es-CO"/>
              </w:rPr>
              <w:t>Vigencia 2023</w:t>
            </w:r>
          </w:p>
        </w:tc>
        <w:tc>
          <w:tcPr>
            <w:tcW w:w="2497" w:type="dxa"/>
            <w:shd w:val="clear" w:color="auto" w:fill="F2F2F2" w:themeFill="background1" w:themeFillShade="F2"/>
            <w:tcMar>
              <w:top w:w="60" w:type="dxa"/>
              <w:left w:w="120" w:type="dxa"/>
              <w:bottom w:w="60" w:type="dxa"/>
              <w:right w:w="120" w:type="dxa"/>
            </w:tcMar>
            <w:vAlign w:val="center"/>
          </w:tcPr>
          <w:p w:rsidRPr="00E52256" w:rsidR="002C46A8" w:rsidP="00B06BDB" w:rsidRDefault="002C46A8" w14:paraId="494C31A7" w14:textId="77777777">
            <w:pPr>
              <w:spacing w:after="0" w:line="240" w:lineRule="auto"/>
              <w:jc w:val="center"/>
              <w:rPr>
                <w:rFonts w:ascii="Verdana" w:hAnsi="Verdana" w:eastAsia="Times New Roman" w:cs="Times New Roman"/>
                <w:sz w:val="18"/>
                <w:szCs w:val="18"/>
                <w:lang w:eastAsia="es-CO"/>
              </w:rPr>
            </w:pPr>
            <w:r w:rsidRPr="00E52256">
              <w:rPr>
                <w:rFonts w:ascii="Verdana" w:hAnsi="Verdana" w:eastAsia="Times New Roman" w:cs="Times New Roman"/>
                <w:sz w:val="18"/>
                <w:szCs w:val="18"/>
                <w:lang w:eastAsia="es-CO"/>
              </w:rPr>
              <w:t>1.213</w:t>
            </w:r>
          </w:p>
        </w:tc>
        <w:tc>
          <w:tcPr>
            <w:tcW w:w="2257" w:type="dxa"/>
            <w:shd w:val="clear" w:color="auto" w:fill="F2F2F2" w:themeFill="background1" w:themeFillShade="F2"/>
            <w:tcMar>
              <w:top w:w="60" w:type="dxa"/>
              <w:left w:w="120" w:type="dxa"/>
              <w:bottom w:w="60" w:type="dxa"/>
              <w:right w:w="120" w:type="dxa"/>
            </w:tcMar>
            <w:vAlign w:val="center"/>
          </w:tcPr>
          <w:p w:rsidRPr="00E52256" w:rsidR="002C46A8" w:rsidP="00B06BDB" w:rsidRDefault="002C46A8" w14:paraId="0B19B9F3" w14:textId="77777777">
            <w:pPr>
              <w:spacing w:after="0" w:line="240" w:lineRule="auto"/>
              <w:jc w:val="center"/>
              <w:rPr>
                <w:rFonts w:ascii="Verdana" w:hAnsi="Verdana" w:eastAsia="Times New Roman" w:cs="Times New Roman"/>
                <w:sz w:val="18"/>
                <w:szCs w:val="18"/>
                <w:lang w:eastAsia="es-CO"/>
              </w:rPr>
            </w:pPr>
            <w:r w:rsidRPr="00E52256">
              <w:rPr>
                <w:rFonts w:ascii="Verdana" w:hAnsi="Verdana" w:eastAsia="Times New Roman" w:cs="Times New Roman"/>
                <w:sz w:val="18"/>
                <w:szCs w:val="18"/>
                <w:lang w:eastAsia="es-CO"/>
              </w:rPr>
              <w:t>$420.24</w:t>
            </w:r>
          </w:p>
        </w:tc>
      </w:tr>
      <w:tr w:rsidRPr="00E52256" w:rsidR="002C46A8" w:rsidTr="30CF4445" w14:paraId="507EF1B8" w14:textId="77777777">
        <w:trPr>
          <w:trHeight w:val="424"/>
          <w:jc w:val="center"/>
        </w:trPr>
        <w:tc>
          <w:tcPr>
            <w:tcW w:w="2329" w:type="dxa"/>
            <w:shd w:val="clear" w:color="auto" w:fill="FFFFFF" w:themeFill="background1"/>
            <w:tcMar>
              <w:top w:w="60" w:type="dxa"/>
              <w:left w:w="120" w:type="dxa"/>
              <w:bottom w:w="60" w:type="dxa"/>
              <w:right w:w="120" w:type="dxa"/>
            </w:tcMar>
            <w:vAlign w:val="center"/>
          </w:tcPr>
          <w:p w:rsidRPr="00E52256" w:rsidR="002C46A8" w:rsidP="00B06BDB" w:rsidRDefault="002C46A8" w14:paraId="01BD6BCC" w14:textId="77777777">
            <w:pPr>
              <w:spacing w:after="0" w:line="240" w:lineRule="auto"/>
              <w:jc w:val="center"/>
              <w:rPr>
                <w:rFonts w:ascii="Verdana" w:hAnsi="Verdana" w:eastAsia="Times New Roman" w:cs="Times New Roman"/>
                <w:sz w:val="18"/>
                <w:szCs w:val="18"/>
                <w:lang w:eastAsia="es-CO"/>
              </w:rPr>
            </w:pPr>
            <w:r w:rsidRPr="00E52256">
              <w:rPr>
                <w:rFonts w:ascii="Verdana" w:hAnsi="Verdana" w:eastAsia="Times New Roman" w:cs="Times New Roman"/>
                <w:sz w:val="18"/>
                <w:szCs w:val="18"/>
                <w:lang w:eastAsia="es-CO"/>
              </w:rPr>
              <w:t>Vigencia 2024</w:t>
            </w:r>
          </w:p>
        </w:tc>
        <w:tc>
          <w:tcPr>
            <w:tcW w:w="2497" w:type="dxa"/>
            <w:shd w:val="clear" w:color="auto" w:fill="FFFFFF" w:themeFill="background1"/>
            <w:tcMar>
              <w:top w:w="60" w:type="dxa"/>
              <w:left w:w="120" w:type="dxa"/>
              <w:bottom w:w="60" w:type="dxa"/>
              <w:right w:w="120" w:type="dxa"/>
            </w:tcMar>
            <w:vAlign w:val="center"/>
          </w:tcPr>
          <w:p w:rsidRPr="00E52256" w:rsidR="002C46A8" w:rsidP="00B06BDB" w:rsidRDefault="002C46A8" w14:paraId="5ADD30DF" w14:textId="77777777">
            <w:pPr>
              <w:spacing w:after="0" w:line="240" w:lineRule="auto"/>
              <w:jc w:val="center"/>
              <w:rPr>
                <w:rFonts w:ascii="Verdana" w:hAnsi="Verdana" w:eastAsia="Times New Roman" w:cs="Times New Roman"/>
                <w:sz w:val="18"/>
                <w:szCs w:val="18"/>
                <w:lang w:eastAsia="es-CO"/>
              </w:rPr>
            </w:pPr>
            <w:r w:rsidRPr="00E52256">
              <w:rPr>
                <w:rFonts w:ascii="Verdana" w:hAnsi="Verdana" w:eastAsia="Times New Roman" w:cs="Times New Roman"/>
                <w:sz w:val="18"/>
                <w:szCs w:val="18"/>
                <w:lang w:eastAsia="es-CO"/>
              </w:rPr>
              <w:t>1.391</w:t>
            </w:r>
          </w:p>
        </w:tc>
        <w:tc>
          <w:tcPr>
            <w:tcW w:w="2257" w:type="dxa"/>
            <w:shd w:val="clear" w:color="auto" w:fill="FFFFFF" w:themeFill="background1"/>
            <w:tcMar>
              <w:top w:w="60" w:type="dxa"/>
              <w:left w:w="120" w:type="dxa"/>
              <w:bottom w:w="60" w:type="dxa"/>
              <w:right w:w="120" w:type="dxa"/>
            </w:tcMar>
            <w:vAlign w:val="center"/>
          </w:tcPr>
          <w:p w:rsidRPr="00E52256" w:rsidR="002C46A8" w:rsidP="00B06BDB" w:rsidRDefault="002C46A8" w14:paraId="72A8CAF4" w14:textId="77777777">
            <w:pPr>
              <w:spacing w:after="0" w:line="240" w:lineRule="auto"/>
              <w:jc w:val="center"/>
              <w:rPr>
                <w:rFonts w:ascii="Verdana" w:hAnsi="Verdana" w:eastAsia="Times New Roman" w:cs="Times New Roman"/>
                <w:sz w:val="18"/>
                <w:szCs w:val="18"/>
                <w:lang w:eastAsia="es-CO"/>
              </w:rPr>
            </w:pPr>
            <w:r w:rsidRPr="00E52256">
              <w:rPr>
                <w:rFonts w:ascii="Verdana" w:hAnsi="Verdana" w:eastAsia="Times New Roman" w:cs="Times New Roman"/>
                <w:sz w:val="18"/>
                <w:szCs w:val="18"/>
                <w:lang w:eastAsia="es-CO"/>
              </w:rPr>
              <w:t>$631.37</w:t>
            </w:r>
          </w:p>
        </w:tc>
      </w:tr>
      <w:tr w:rsidRPr="00E52256" w:rsidR="002C46A8" w:rsidTr="30CF4445" w14:paraId="0F40DA83" w14:textId="77777777">
        <w:trPr>
          <w:trHeight w:val="441"/>
          <w:jc w:val="center"/>
        </w:trPr>
        <w:tc>
          <w:tcPr>
            <w:tcW w:w="2329" w:type="dxa"/>
            <w:shd w:val="clear" w:color="auto" w:fill="F2F2F2" w:themeFill="background1" w:themeFillShade="F2"/>
            <w:tcMar>
              <w:top w:w="60" w:type="dxa"/>
              <w:left w:w="120" w:type="dxa"/>
              <w:bottom w:w="60" w:type="dxa"/>
              <w:right w:w="120" w:type="dxa"/>
            </w:tcMar>
            <w:vAlign w:val="center"/>
          </w:tcPr>
          <w:p w:rsidRPr="00E52256" w:rsidR="002C46A8" w:rsidP="00B06BDB" w:rsidRDefault="002C46A8" w14:paraId="310BFC15" w14:textId="77777777">
            <w:pPr>
              <w:spacing w:after="0" w:line="240" w:lineRule="auto"/>
              <w:jc w:val="center"/>
              <w:rPr>
                <w:rFonts w:ascii="Verdana" w:hAnsi="Verdana" w:eastAsia="Times New Roman" w:cs="Times New Roman"/>
                <w:sz w:val="18"/>
                <w:szCs w:val="18"/>
                <w:lang w:eastAsia="es-CO"/>
              </w:rPr>
            </w:pPr>
            <w:r w:rsidRPr="00E52256">
              <w:rPr>
                <w:rFonts w:ascii="Verdana" w:hAnsi="Verdana" w:eastAsia="Times New Roman" w:cs="Times New Roman"/>
                <w:sz w:val="18"/>
                <w:szCs w:val="18"/>
                <w:lang w:eastAsia="es-CO"/>
              </w:rPr>
              <w:t>Vigencia 2025</w:t>
            </w:r>
          </w:p>
        </w:tc>
        <w:tc>
          <w:tcPr>
            <w:tcW w:w="2497" w:type="dxa"/>
            <w:shd w:val="clear" w:color="auto" w:fill="F2F2F2" w:themeFill="background1" w:themeFillShade="F2"/>
            <w:tcMar>
              <w:top w:w="60" w:type="dxa"/>
              <w:left w:w="120" w:type="dxa"/>
              <w:bottom w:w="60" w:type="dxa"/>
              <w:right w:w="120" w:type="dxa"/>
            </w:tcMar>
            <w:vAlign w:val="center"/>
          </w:tcPr>
          <w:p w:rsidRPr="00E52256" w:rsidR="002C46A8" w:rsidP="00B06BDB" w:rsidRDefault="002C46A8" w14:paraId="33D27C1C" w14:textId="77777777">
            <w:pPr>
              <w:spacing w:after="0" w:line="240" w:lineRule="auto"/>
              <w:jc w:val="center"/>
              <w:rPr>
                <w:rFonts w:ascii="Verdana" w:hAnsi="Verdana" w:eastAsia="Times New Roman" w:cs="Times New Roman"/>
                <w:sz w:val="18"/>
                <w:szCs w:val="18"/>
                <w:lang w:eastAsia="es-CO"/>
              </w:rPr>
            </w:pPr>
            <w:r w:rsidRPr="00E52256">
              <w:rPr>
                <w:rFonts w:ascii="Verdana" w:hAnsi="Verdana" w:eastAsia="Times New Roman" w:cs="Times New Roman"/>
                <w:sz w:val="18"/>
                <w:szCs w:val="18"/>
                <w:lang w:eastAsia="es-CO"/>
              </w:rPr>
              <w:t>2.119</w:t>
            </w:r>
          </w:p>
        </w:tc>
        <w:tc>
          <w:tcPr>
            <w:tcW w:w="2257" w:type="dxa"/>
            <w:shd w:val="clear" w:color="auto" w:fill="F2F2F2" w:themeFill="background1" w:themeFillShade="F2"/>
            <w:tcMar>
              <w:top w:w="60" w:type="dxa"/>
              <w:left w:w="120" w:type="dxa"/>
              <w:bottom w:w="60" w:type="dxa"/>
              <w:right w:w="120" w:type="dxa"/>
            </w:tcMar>
            <w:vAlign w:val="center"/>
          </w:tcPr>
          <w:p w:rsidRPr="00E52256" w:rsidR="002C46A8" w:rsidP="00B06BDB" w:rsidRDefault="002C46A8" w14:paraId="2CF006C7" w14:textId="77777777">
            <w:pPr>
              <w:spacing w:after="0" w:line="240" w:lineRule="auto"/>
              <w:jc w:val="center"/>
              <w:rPr>
                <w:rFonts w:ascii="Verdana" w:hAnsi="Verdana" w:eastAsia="Times New Roman" w:cs="Times New Roman"/>
                <w:sz w:val="18"/>
                <w:szCs w:val="18"/>
                <w:lang w:eastAsia="es-CO"/>
              </w:rPr>
            </w:pPr>
            <w:commentRangeStart w:id="1223093710"/>
            <w:r w:rsidRPr="30CF4445" w:rsidR="6BD245D0">
              <w:rPr>
                <w:rFonts w:ascii="Verdana" w:hAnsi="Verdana" w:eastAsia="Times New Roman" w:cs="Times New Roman"/>
                <w:sz w:val="18"/>
                <w:szCs w:val="18"/>
                <w:lang w:eastAsia="es-CO"/>
              </w:rPr>
              <w:t>$6150</w:t>
            </w:r>
            <w:commentRangeEnd w:id="1223093710"/>
            <w:r>
              <w:rPr>
                <w:rStyle w:val="CommentReference"/>
              </w:rPr>
              <w:commentReference w:id="1223093710"/>
            </w:r>
          </w:p>
        </w:tc>
      </w:tr>
      <w:tr w:rsidRPr="00E52256" w:rsidR="002C46A8" w:rsidTr="30CF4445" w14:paraId="6BB22D03" w14:textId="77777777">
        <w:trPr>
          <w:trHeight w:val="268"/>
          <w:jc w:val="center"/>
        </w:trPr>
        <w:tc>
          <w:tcPr>
            <w:tcW w:w="2329" w:type="dxa"/>
            <w:shd w:val="clear" w:color="auto" w:fill="FFFFFF" w:themeFill="background1"/>
            <w:tcMar>
              <w:top w:w="60" w:type="dxa"/>
              <w:left w:w="120" w:type="dxa"/>
              <w:bottom w:w="60" w:type="dxa"/>
              <w:right w:w="120" w:type="dxa"/>
            </w:tcMar>
            <w:vAlign w:val="center"/>
          </w:tcPr>
          <w:p w:rsidRPr="00E52256" w:rsidR="002C46A8" w:rsidP="00B06BDB" w:rsidRDefault="002C46A8" w14:paraId="460B7B60" w14:textId="77777777">
            <w:pPr>
              <w:spacing w:after="0" w:line="240" w:lineRule="auto"/>
              <w:jc w:val="center"/>
              <w:rPr>
                <w:rFonts w:ascii="Verdana" w:hAnsi="Verdana" w:eastAsia="Times New Roman" w:cs="Times New Roman"/>
                <w:sz w:val="18"/>
                <w:szCs w:val="18"/>
                <w:lang w:eastAsia="es-CO"/>
              </w:rPr>
            </w:pPr>
            <w:r w:rsidRPr="00E52256">
              <w:rPr>
                <w:rFonts w:ascii="Verdana" w:hAnsi="Verdana" w:eastAsia="Times New Roman" w:cs="Times New Roman"/>
                <w:sz w:val="18"/>
                <w:szCs w:val="18"/>
                <w:lang w:eastAsia="es-CO"/>
              </w:rPr>
              <w:t>Vigencia 2026</w:t>
            </w:r>
          </w:p>
          <w:p w:rsidRPr="00E52256" w:rsidR="002C46A8" w:rsidP="00B06BDB" w:rsidRDefault="002C46A8" w14:paraId="4188FD06" w14:textId="77777777">
            <w:pPr>
              <w:spacing w:after="0" w:line="240" w:lineRule="auto"/>
              <w:jc w:val="center"/>
              <w:rPr>
                <w:rFonts w:ascii="Verdana" w:hAnsi="Verdana" w:eastAsia="Times New Roman" w:cs="Times New Roman"/>
                <w:sz w:val="18"/>
                <w:szCs w:val="18"/>
                <w:lang w:eastAsia="es-CO"/>
              </w:rPr>
            </w:pPr>
            <w:r w:rsidRPr="00E52256">
              <w:rPr>
                <w:rFonts w:ascii="Verdana" w:hAnsi="Verdana" w:eastAsia="Times New Roman" w:cs="Times New Roman"/>
                <w:sz w:val="18"/>
                <w:szCs w:val="18"/>
                <w:lang w:eastAsia="es-CO"/>
              </w:rPr>
              <w:t>(Enero – Marzo)</w:t>
            </w:r>
          </w:p>
        </w:tc>
        <w:tc>
          <w:tcPr>
            <w:tcW w:w="2497" w:type="dxa"/>
            <w:shd w:val="clear" w:color="auto" w:fill="FFFFFF" w:themeFill="background1"/>
            <w:tcMar>
              <w:top w:w="60" w:type="dxa"/>
              <w:left w:w="120" w:type="dxa"/>
              <w:bottom w:w="60" w:type="dxa"/>
              <w:right w:w="120" w:type="dxa"/>
            </w:tcMar>
            <w:vAlign w:val="center"/>
          </w:tcPr>
          <w:p w:rsidRPr="00E52256" w:rsidR="002C46A8" w:rsidP="00B06BDB" w:rsidRDefault="002C46A8" w14:paraId="3F5F9F47" w14:textId="77777777">
            <w:pPr>
              <w:spacing w:after="0" w:line="240" w:lineRule="auto"/>
              <w:jc w:val="center"/>
              <w:rPr>
                <w:rFonts w:ascii="Verdana" w:hAnsi="Verdana" w:eastAsia="Times New Roman" w:cs="Times New Roman"/>
                <w:sz w:val="18"/>
                <w:szCs w:val="18"/>
                <w:lang w:eastAsia="es-CO"/>
              </w:rPr>
            </w:pPr>
            <w:r w:rsidRPr="00E52256">
              <w:rPr>
                <w:rFonts w:ascii="Verdana" w:hAnsi="Verdana" w:eastAsia="Times New Roman" w:cs="Times New Roman"/>
                <w:sz w:val="18"/>
                <w:szCs w:val="18"/>
                <w:lang w:eastAsia="es-CO"/>
              </w:rPr>
              <w:t>1.828</w:t>
            </w:r>
          </w:p>
        </w:tc>
        <w:tc>
          <w:tcPr>
            <w:tcW w:w="2257" w:type="dxa"/>
            <w:shd w:val="clear" w:color="auto" w:fill="FFFFFF" w:themeFill="background1"/>
            <w:tcMar>
              <w:top w:w="60" w:type="dxa"/>
              <w:left w:w="120" w:type="dxa"/>
              <w:bottom w:w="60" w:type="dxa"/>
              <w:right w:w="120" w:type="dxa"/>
            </w:tcMar>
            <w:vAlign w:val="center"/>
          </w:tcPr>
          <w:p w:rsidRPr="00E52256" w:rsidR="002C46A8" w:rsidP="00B06BDB" w:rsidRDefault="002C46A8" w14:paraId="526E474D" w14:textId="77777777">
            <w:pPr>
              <w:spacing w:after="0" w:line="240" w:lineRule="auto"/>
              <w:jc w:val="center"/>
              <w:rPr>
                <w:rFonts w:ascii="Verdana" w:hAnsi="Verdana" w:eastAsia="Times New Roman" w:cs="Times New Roman"/>
                <w:sz w:val="18"/>
                <w:szCs w:val="18"/>
                <w:lang w:eastAsia="es-CO"/>
              </w:rPr>
            </w:pPr>
            <w:r w:rsidRPr="00E52256">
              <w:rPr>
                <w:rFonts w:ascii="Verdana" w:hAnsi="Verdana" w:eastAsia="Times New Roman" w:cs="Times New Roman"/>
                <w:sz w:val="18"/>
                <w:szCs w:val="18"/>
                <w:lang w:eastAsia="es-CO"/>
              </w:rPr>
              <w:t>$494.17</w:t>
            </w:r>
          </w:p>
        </w:tc>
      </w:tr>
    </w:tbl>
    <w:p w:rsidRPr="00E52256" w:rsidR="002C46A8" w:rsidP="00E52256" w:rsidRDefault="002C46A8" w14:paraId="2D75B657" w14:textId="77777777">
      <w:pPr>
        <w:pStyle w:val="Fuente"/>
        <w:spacing w:after="0"/>
        <w:rPr>
          <w:rFonts w:ascii="Verdana" w:hAnsi="Verdana"/>
        </w:rPr>
      </w:pPr>
      <w:r w:rsidRPr="00E52256">
        <w:rPr>
          <w:rFonts w:ascii="Verdana" w:hAnsi="Verdana"/>
        </w:rPr>
        <w:t>Fuente: Plataforma NEON y SECOP II.</w:t>
      </w:r>
    </w:p>
    <w:p w:rsidRPr="00E52256" w:rsidR="002C46A8" w:rsidP="002C46A8" w:rsidRDefault="002C46A8" w14:paraId="17E0F0F7" w14:textId="77777777">
      <w:pPr>
        <w:spacing w:before="80" w:after="0"/>
        <w:jc w:val="center"/>
        <w:rPr>
          <w:rFonts w:ascii="Verdana" w:hAnsi="Verdana"/>
          <w:sz w:val="16"/>
          <w:szCs w:val="16"/>
        </w:rPr>
      </w:pPr>
      <w:r w:rsidRPr="00E52256">
        <w:rPr>
          <w:rFonts w:ascii="Verdana" w:hAnsi="Verdana"/>
          <w:sz w:val="16"/>
          <w:szCs w:val="16"/>
        </w:rPr>
        <w:t xml:space="preserve">* Los valores establecidos en la presente tabla constituyen un aproximado conforme con los datos reportados en las citadas plataformas. </w:t>
      </w:r>
    </w:p>
    <w:p w:rsidRPr="00E52256" w:rsidR="002C46A8" w:rsidP="180099B3" w:rsidRDefault="002C46A8" w14:paraId="2B88E08A" w14:textId="77777777">
      <w:pPr>
        <w:pStyle w:val="Descripcin"/>
        <w:rPr>
          <w:rFonts w:ascii="Verdana" w:hAnsi="Verdana"/>
          <w:i w:val="0"/>
          <w:iCs w:val="0"/>
          <w:color w:val="auto"/>
        </w:rPr>
      </w:pPr>
    </w:p>
    <w:p w:rsidR="180099B3" w:rsidP="180099B3" w:rsidRDefault="180099B3" w14:paraId="3D1AD970" w14:textId="77777777"/>
    <w:p w:rsidRPr="00E52256" w:rsidR="002C46A8" w:rsidP="00E52256" w:rsidRDefault="002C46A8" w14:paraId="4A146638" w14:textId="77777777">
      <w:pPr>
        <w:pStyle w:val="Descripcin"/>
        <w:jc w:val="center"/>
        <w:rPr>
          <w:rFonts w:ascii="Verdana" w:hAnsi="Verdana"/>
          <w:b/>
          <w:bCs/>
          <w:i w:val="0"/>
          <w:iCs w:val="0"/>
          <w:color w:val="auto"/>
        </w:rPr>
      </w:pPr>
      <w:r w:rsidRPr="00E52256">
        <w:rPr>
          <w:rFonts w:ascii="Verdana" w:hAnsi="Verdana"/>
          <w:i w:val="0"/>
          <w:iCs w:val="0"/>
          <w:color w:val="auto"/>
        </w:rPr>
        <w:t xml:space="preserve">Gráfico </w:t>
      </w:r>
      <w:r w:rsidR="00B06BDB">
        <w:rPr>
          <w:rFonts w:ascii="Verdana" w:hAnsi="Verdana"/>
          <w:i w:val="0"/>
          <w:iCs w:val="0"/>
          <w:color w:val="auto"/>
        </w:rPr>
        <w:t>No. 2</w:t>
      </w:r>
      <w:r w:rsidRPr="00E52256">
        <w:rPr>
          <w:rFonts w:ascii="Verdana" w:hAnsi="Verdana"/>
          <w:i w:val="0"/>
          <w:iCs w:val="0"/>
          <w:color w:val="auto"/>
        </w:rPr>
        <w:t>. Número de Contratos por Vigencia</w:t>
      </w:r>
    </w:p>
    <w:p w:rsidRPr="00E52256" w:rsidR="002C46A8" w:rsidP="002C46A8" w:rsidRDefault="002C46A8" w14:paraId="0BA24598" w14:textId="77777777">
      <w:pPr>
        <w:spacing w:before="80" w:after="0"/>
        <w:jc w:val="center"/>
        <w:rPr>
          <w:rFonts w:ascii="Verdana" w:hAnsi="Verdana"/>
          <w:sz w:val="18"/>
          <w:szCs w:val="18"/>
        </w:rPr>
      </w:pPr>
      <w:r w:rsidRPr="00E52256">
        <w:rPr>
          <w:rFonts w:ascii="Verdana" w:hAnsi="Verdana"/>
          <w:noProof/>
          <w:sz w:val="18"/>
          <w:szCs w:val="18"/>
        </w:rPr>
        <w:drawing>
          <wp:inline distT="0" distB="0" distL="0" distR="0" wp14:anchorId="1A97A099" wp14:editId="45F8CDB8">
            <wp:extent cx="4572000" cy="1950720"/>
            <wp:effectExtent l="0" t="0" r="0" b="11430"/>
            <wp:docPr id="1564957142" name="Gráfico 1">
              <a:extLst xmlns:a="http://schemas.openxmlformats.org/drawingml/2006/main">
                <a:ext uri="{FF2B5EF4-FFF2-40B4-BE49-F238E27FC236}">
                  <a16:creationId xmlns:a16="http://schemas.microsoft.com/office/drawing/2014/main" id="{59807F7D-5460-213D-1CA5-47C2D39EDD3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r w:rsidRPr="00E52256">
        <w:rPr>
          <w:rFonts w:ascii="Verdana" w:hAnsi="Verdana"/>
          <w:noProof/>
          <w:sz w:val="18"/>
          <w:szCs w:val="18"/>
        </w:rPr>
        <w:t xml:space="preserve"> </w:t>
      </w:r>
    </w:p>
    <w:p w:rsidRPr="00E52256" w:rsidR="002C46A8" w:rsidP="00E52256" w:rsidRDefault="002C46A8" w14:paraId="6B548420" w14:textId="77777777">
      <w:pPr>
        <w:pStyle w:val="Fuente"/>
        <w:rPr>
          <w:rFonts w:ascii="Verdana" w:hAnsi="Verdana"/>
        </w:rPr>
      </w:pPr>
      <w:r w:rsidRPr="00E52256">
        <w:rPr>
          <w:rFonts w:ascii="Verdana" w:hAnsi="Verdana"/>
        </w:rPr>
        <w:t>Fuente: Plataforma NEON y SECOP II.</w:t>
      </w:r>
    </w:p>
    <w:p w:rsidRPr="00C140A0" w:rsidR="002C46A8" w:rsidP="002C46A8" w:rsidRDefault="002C46A8" w14:paraId="245DAA66" w14:textId="77777777">
      <w:pPr>
        <w:rPr>
          <w:rFonts w:ascii="Verdana" w:hAnsi="Verdana"/>
          <w:color w:val="000000"/>
          <w:sz w:val="16"/>
          <w:szCs w:val="16"/>
        </w:rPr>
      </w:pPr>
      <w:r w:rsidRPr="00C140A0">
        <w:rPr>
          <w:rFonts w:ascii="Verdana" w:hAnsi="Verdana"/>
          <w:color w:val="000000"/>
        </w:rPr>
        <w:t>*</w:t>
      </w:r>
      <w:r w:rsidRPr="00C140A0">
        <w:rPr>
          <w:rFonts w:ascii="Verdana" w:hAnsi="Verdana"/>
          <w:color w:val="000000"/>
          <w:sz w:val="16"/>
          <w:szCs w:val="16"/>
        </w:rPr>
        <w:t xml:space="preserve">Es importante indicar que para la vigencia 2022, corresponde a los meses de agosto a diciembre. Por otra parte, respecto de la vigencia 2026, corresponde al período comprendido entre los meses de enero a marzo. </w:t>
      </w:r>
    </w:p>
    <w:p w:rsidR="00B91FF3" w:rsidP="006A0A13" w:rsidRDefault="00B91FF3" w14:paraId="385EDEC0" w14:textId="77777777">
      <w:pPr>
        <w:spacing w:after="0" w:line="360" w:lineRule="auto"/>
        <w:jc w:val="both"/>
        <w:rPr>
          <w:rFonts w:ascii="Verdana" w:hAnsi="Verdana"/>
          <w:sz w:val="24"/>
          <w:szCs w:val="24"/>
        </w:rPr>
      </w:pPr>
    </w:p>
    <w:p w:rsidRPr="00C140A0" w:rsidR="002C46A8" w:rsidP="006A0A13" w:rsidRDefault="002C46A8" w14:paraId="2A944178" w14:textId="77777777">
      <w:pPr>
        <w:spacing w:after="0" w:line="360" w:lineRule="auto"/>
        <w:jc w:val="both"/>
        <w:rPr>
          <w:rFonts w:ascii="Verdana" w:hAnsi="Verdana"/>
          <w:sz w:val="24"/>
          <w:szCs w:val="24"/>
        </w:rPr>
      </w:pPr>
      <w:r w:rsidRPr="00C140A0">
        <w:rPr>
          <w:rFonts w:ascii="Verdana" w:hAnsi="Verdana"/>
          <w:sz w:val="24"/>
          <w:szCs w:val="24"/>
        </w:rPr>
        <w:t>De la información anterior, se puede observar un comportamiento que da cuenta de una gestión contractual articulada con la planeación institucional y orientada al cumplimiento de los objetivos misionales de la misma.</w:t>
      </w:r>
    </w:p>
    <w:p w:rsidRPr="00C140A0" w:rsidR="002C46A8" w:rsidP="006A0A13" w:rsidRDefault="002C46A8" w14:paraId="14A06AA5" w14:textId="77777777">
      <w:pPr>
        <w:spacing w:after="0" w:line="360" w:lineRule="auto"/>
        <w:rPr>
          <w:rFonts w:ascii="Verdana" w:hAnsi="Verdana"/>
          <w:sz w:val="24"/>
          <w:szCs w:val="24"/>
        </w:rPr>
      </w:pPr>
    </w:p>
    <w:p w:rsidRPr="00C140A0" w:rsidR="002C46A8" w:rsidRDefault="002C46A8" w14:paraId="6927EB72" w14:textId="77777777">
      <w:pPr>
        <w:pStyle w:val="Prrafodelista"/>
        <w:numPr>
          <w:ilvl w:val="2"/>
          <w:numId w:val="42"/>
        </w:numPr>
        <w:spacing w:after="0" w:line="360" w:lineRule="auto"/>
        <w:rPr>
          <w:rFonts w:ascii="Verdana" w:hAnsi="Verdana"/>
          <w:b/>
          <w:bCs/>
          <w:sz w:val="24"/>
          <w:szCs w:val="24"/>
        </w:rPr>
      </w:pPr>
      <w:r w:rsidRPr="00C140A0">
        <w:rPr>
          <w:rFonts w:ascii="Verdana" w:hAnsi="Verdana"/>
          <w:b/>
          <w:bCs/>
          <w:sz w:val="24"/>
          <w:szCs w:val="24"/>
        </w:rPr>
        <w:t>Análisis Descriptivo por Vigencia</w:t>
      </w:r>
    </w:p>
    <w:p w:rsidR="00B91FF3" w:rsidP="006A0A13" w:rsidRDefault="00B91FF3" w14:paraId="3B805466" w14:textId="77777777">
      <w:pPr>
        <w:spacing w:after="0" w:line="360" w:lineRule="auto"/>
        <w:jc w:val="both"/>
        <w:rPr>
          <w:rFonts w:ascii="Verdana" w:hAnsi="Verdana"/>
          <w:sz w:val="24"/>
          <w:szCs w:val="24"/>
        </w:rPr>
      </w:pPr>
    </w:p>
    <w:p w:rsidRPr="00C140A0" w:rsidR="002C46A8" w:rsidP="006A0A13" w:rsidRDefault="002C46A8" w14:paraId="45329AAE" w14:textId="77777777">
      <w:pPr>
        <w:spacing w:after="0" w:line="360" w:lineRule="auto"/>
        <w:jc w:val="both"/>
        <w:rPr>
          <w:rFonts w:ascii="Verdana" w:hAnsi="Verdana"/>
          <w:sz w:val="24"/>
          <w:szCs w:val="24"/>
        </w:rPr>
      </w:pPr>
      <w:r w:rsidRPr="00C140A0">
        <w:rPr>
          <w:rFonts w:ascii="Verdana" w:hAnsi="Verdana"/>
          <w:sz w:val="24"/>
          <w:szCs w:val="24"/>
        </w:rPr>
        <w:t xml:space="preserve">En este numeral, se presenta el número total de contratos celebrados por cada año del cuatrienio y el valor total contratado por modalidad. </w:t>
      </w:r>
    </w:p>
    <w:p w:rsidR="00E52256" w:rsidP="006A0A13" w:rsidRDefault="00E52256" w14:paraId="4164E5F2" w14:textId="77777777">
      <w:pPr>
        <w:spacing w:after="0" w:line="360" w:lineRule="auto"/>
        <w:jc w:val="both"/>
        <w:rPr>
          <w:rFonts w:ascii="Verdana" w:hAnsi="Verdana"/>
          <w:b/>
          <w:bCs/>
          <w:sz w:val="24"/>
          <w:szCs w:val="24"/>
          <w:u w:val="single"/>
        </w:rPr>
      </w:pPr>
    </w:p>
    <w:p w:rsidRPr="00E52256" w:rsidR="002C46A8" w:rsidP="006A0A13" w:rsidRDefault="002C46A8" w14:paraId="56D63B7F" w14:textId="77777777">
      <w:pPr>
        <w:spacing w:after="0" w:line="360" w:lineRule="auto"/>
        <w:jc w:val="both"/>
        <w:rPr>
          <w:rFonts w:ascii="Verdana" w:hAnsi="Verdana"/>
          <w:b/>
          <w:bCs/>
          <w:sz w:val="24"/>
          <w:szCs w:val="24"/>
        </w:rPr>
      </w:pPr>
      <w:r w:rsidRPr="00E52256">
        <w:rPr>
          <w:rFonts w:ascii="Verdana" w:hAnsi="Verdana"/>
          <w:b/>
          <w:bCs/>
          <w:sz w:val="24"/>
          <w:szCs w:val="24"/>
        </w:rPr>
        <w:t>VIGENCIA 2022 (agosto – diciembre)</w:t>
      </w:r>
    </w:p>
    <w:p w:rsidR="00E52256" w:rsidP="006A0A13" w:rsidRDefault="00E52256" w14:paraId="73B55505" w14:textId="77777777">
      <w:pPr>
        <w:spacing w:after="0" w:line="360" w:lineRule="auto"/>
        <w:jc w:val="both"/>
        <w:rPr>
          <w:rFonts w:ascii="Verdana" w:hAnsi="Verdana"/>
          <w:sz w:val="24"/>
          <w:szCs w:val="24"/>
        </w:rPr>
      </w:pPr>
    </w:p>
    <w:p w:rsidRPr="00C140A0" w:rsidR="002C46A8" w:rsidP="006A0A13" w:rsidRDefault="002C46A8" w14:paraId="0E8B9183" w14:textId="77777777">
      <w:pPr>
        <w:spacing w:after="0" w:line="360" w:lineRule="auto"/>
        <w:jc w:val="both"/>
        <w:rPr>
          <w:rFonts w:ascii="Verdana" w:hAnsi="Verdana"/>
          <w:sz w:val="24"/>
          <w:szCs w:val="24"/>
        </w:rPr>
      </w:pPr>
      <w:r w:rsidRPr="00C140A0">
        <w:rPr>
          <w:rFonts w:ascii="Verdana" w:hAnsi="Verdana"/>
          <w:sz w:val="24"/>
          <w:szCs w:val="24"/>
        </w:rPr>
        <w:t>Total de contratos: 148</w:t>
      </w:r>
    </w:p>
    <w:p w:rsidRPr="00C140A0" w:rsidR="002C46A8" w:rsidP="006A0A13" w:rsidRDefault="002C46A8" w14:paraId="1B5A0943" w14:textId="77777777">
      <w:pPr>
        <w:spacing w:after="0" w:line="360" w:lineRule="auto"/>
        <w:jc w:val="both"/>
        <w:rPr>
          <w:rFonts w:ascii="Verdana" w:hAnsi="Verdana"/>
          <w:sz w:val="24"/>
          <w:szCs w:val="24"/>
        </w:rPr>
      </w:pPr>
      <w:r w:rsidRPr="00C140A0">
        <w:rPr>
          <w:rFonts w:ascii="Verdana" w:hAnsi="Verdana"/>
          <w:sz w:val="24"/>
          <w:szCs w:val="24"/>
        </w:rPr>
        <w:t>Valor total contratado: $131.69 mil millones</w:t>
      </w:r>
    </w:p>
    <w:p w:rsidRPr="00C140A0" w:rsidR="002C46A8" w:rsidP="006A0A13" w:rsidRDefault="002C46A8" w14:paraId="68220B6E" w14:textId="77777777">
      <w:pPr>
        <w:spacing w:after="0" w:line="360" w:lineRule="auto"/>
        <w:rPr>
          <w:rFonts w:ascii="Verdana" w:hAnsi="Verdana"/>
          <w:color w:val="000000"/>
        </w:rPr>
      </w:pPr>
    </w:p>
    <w:p w:rsidRPr="00E52256" w:rsidR="002C46A8" w:rsidP="180099B3" w:rsidRDefault="403F1154" w14:paraId="7D1D6EB9" w14:textId="77777777">
      <w:pPr>
        <w:pStyle w:val="Descripcin"/>
        <w:spacing w:after="0"/>
        <w:jc w:val="center"/>
        <w:rPr>
          <w:rFonts w:ascii="Verdana" w:hAnsi="Verdana"/>
          <w:b/>
          <w:bCs/>
          <w:i w:val="0"/>
          <w:iCs w:val="0"/>
        </w:rPr>
      </w:pPr>
      <w:r w:rsidRPr="180099B3">
        <w:rPr>
          <w:rFonts w:ascii="Verdana" w:hAnsi="Verdana"/>
          <w:i w:val="0"/>
          <w:iCs w:val="0"/>
          <w:color w:val="auto"/>
        </w:rPr>
        <w:t>Tabla</w:t>
      </w:r>
      <w:r w:rsidRPr="180099B3" w:rsidR="2471B690">
        <w:rPr>
          <w:rFonts w:ascii="Verdana" w:hAnsi="Verdana"/>
          <w:i w:val="0"/>
          <w:iCs w:val="0"/>
          <w:color w:val="auto"/>
        </w:rPr>
        <w:t xml:space="preserve"> No. 5</w:t>
      </w:r>
      <w:r w:rsidRPr="180099B3" w:rsidR="2D2CAC75">
        <w:rPr>
          <w:rFonts w:ascii="Verdana" w:hAnsi="Verdana"/>
          <w:i w:val="0"/>
          <w:iCs w:val="0"/>
          <w:color w:val="auto"/>
        </w:rPr>
        <w:t>4</w:t>
      </w:r>
      <w:r w:rsidRPr="180099B3">
        <w:rPr>
          <w:rFonts w:ascii="Verdana" w:hAnsi="Verdana"/>
          <w:i w:val="0"/>
          <w:iCs w:val="0"/>
          <w:color w:val="auto"/>
        </w:rPr>
        <w:t>.  Vigencia Ago-Dic 2022</w:t>
      </w:r>
    </w:p>
    <w:tbl>
      <w:tblPr>
        <w:tblW w:w="71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 w:type="dxa"/>
          <w:right w:w="10" w:type="dxa"/>
        </w:tblCellMar>
        <w:tblLook w:val="0000" w:firstRow="0" w:lastRow="0" w:firstColumn="0" w:lastColumn="0" w:noHBand="0" w:noVBand="0"/>
      </w:tblPr>
      <w:tblGrid>
        <w:gridCol w:w="5453"/>
        <w:gridCol w:w="1702"/>
      </w:tblGrid>
      <w:tr w:rsidRPr="00E52256" w:rsidR="002C46A8" w:rsidTr="006A0A13" w14:paraId="281B71D7" w14:textId="77777777">
        <w:trPr>
          <w:trHeight w:val="283"/>
          <w:tblHeader/>
          <w:jc w:val="center"/>
        </w:trPr>
        <w:tc>
          <w:tcPr>
            <w:tcW w:w="5453" w:type="dxa"/>
            <w:shd w:val="clear" w:color="auto" w:fill="A6A6A6" w:themeFill="background1" w:themeFillShade="A6"/>
            <w:tcMar>
              <w:top w:w="80" w:type="dxa"/>
              <w:left w:w="120" w:type="dxa"/>
              <w:bottom w:w="80" w:type="dxa"/>
              <w:right w:w="120" w:type="dxa"/>
            </w:tcMar>
            <w:vAlign w:val="center"/>
          </w:tcPr>
          <w:p w:rsidRPr="00E52256" w:rsidR="002C46A8" w:rsidP="180099B3" w:rsidRDefault="403F1154" w14:paraId="6D2DA165" w14:textId="77777777">
            <w:pPr>
              <w:spacing w:after="0" w:line="240" w:lineRule="auto"/>
              <w:ind w:left="-90"/>
              <w:jc w:val="center"/>
              <w:rPr>
                <w:rFonts w:ascii="Verdana" w:hAnsi="Verdana" w:cs="Times New Roman"/>
                <w:color w:val="000000"/>
                <w:sz w:val="18"/>
                <w:szCs w:val="18"/>
              </w:rPr>
            </w:pPr>
            <w:r w:rsidRPr="180099B3">
              <w:rPr>
                <w:rFonts w:ascii="Verdana" w:hAnsi="Verdana" w:cs="Times New Roman"/>
                <w:color w:val="000000" w:themeColor="text1"/>
                <w:sz w:val="18"/>
                <w:szCs w:val="18"/>
              </w:rPr>
              <w:t>Modalidad de Contratación</w:t>
            </w:r>
          </w:p>
        </w:tc>
        <w:tc>
          <w:tcPr>
            <w:tcW w:w="1702" w:type="dxa"/>
            <w:shd w:val="clear" w:color="auto" w:fill="A6A6A6" w:themeFill="background1" w:themeFillShade="A6"/>
            <w:tcMar>
              <w:top w:w="80" w:type="dxa"/>
              <w:left w:w="120" w:type="dxa"/>
              <w:bottom w:w="80" w:type="dxa"/>
              <w:right w:w="120" w:type="dxa"/>
            </w:tcMar>
            <w:vAlign w:val="center"/>
          </w:tcPr>
          <w:p w:rsidRPr="00E52256" w:rsidR="002C46A8" w:rsidP="180099B3" w:rsidRDefault="403F1154" w14:paraId="0A959901" w14:textId="77777777">
            <w:pPr>
              <w:spacing w:after="0" w:line="240" w:lineRule="auto"/>
              <w:ind w:left="-90"/>
              <w:jc w:val="center"/>
              <w:rPr>
                <w:rFonts w:ascii="Verdana" w:hAnsi="Verdana" w:cs="Times New Roman"/>
                <w:color w:val="000000"/>
                <w:sz w:val="18"/>
                <w:szCs w:val="18"/>
              </w:rPr>
            </w:pPr>
            <w:r w:rsidRPr="180099B3">
              <w:rPr>
                <w:rFonts w:ascii="Verdana" w:hAnsi="Verdana" w:cs="Times New Roman"/>
                <w:color w:val="000000" w:themeColor="text1"/>
                <w:sz w:val="18"/>
                <w:szCs w:val="18"/>
              </w:rPr>
              <w:t>Contratos</w:t>
            </w:r>
          </w:p>
        </w:tc>
      </w:tr>
      <w:tr w:rsidRPr="00E52256" w:rsidR="002C46A8" w:rsidTr="006A0A13" w14:paraId="006FE5EA" w14:textId="77777777">
        <w:trPr>
          <w:trHeight w:val="283"/>
          <w:jc w:val="center"/>
        </w:trPr>
        <w:tc>
          <w:tcPr>
            <w:tcW w:w="5453" w:type="dxa"/>
            <w:shd w:val="clear" w:color="auto" w:fill="FFFFFF" w:themeFill="background1"/>
            <w:tcMar>
              <w:top w:w="60" w:type="dxa"/>
              <w:left w:w="120" w:type="dxa"/>
              <w:bottom w:w="60" w:type="dxa"/>
              <w:right w:w="120" w:type="dxa"/>
            </w:tcMar>
            <w:vAlign w:val="center"/>
          </w:tcPr>
          <w:p w:rsidRPr="00E52256" w:rsidR="002C46A8" w:rsidP="180099B3" w:rsidRDefault="403F1154" w14:paraId="3FEAFA9B" w14:textId="77777777">
            <w:pPr>
              <w:spacing w:after="0" w:line="240" w:lineRule="auto"/>
              <w:ind w:left="-90"/>
              <w:jc w:val="center"/>
              <w:rPr>
                <w:rFonts w:ascii="Verdana" w:hAnsi="Verdana" w:cs="Times New Roman"/>
                <w:color w:val="000000"/>
                <w:sz w:val="18"/>
                <w:szCs w:val="18"/>
              </w:rPr>
            </w:pPr>
            <w:r w:rsidRPr="180099B3">
              <w:rPr>
                <w:rFonts w:ascii="Verdana" w:hAnsi="Verdana" w:cs="Times New Roman"/>
                <w:color w:val="000000" w:themeColor="text1"/>
                <w:sz w:val="18"/>
                <w:szCs w:val="18"/>
              </w:rPr>
              <w:t>Contratación Directa</w:t>
            </w:r>
          </w:p>
        </w:tc>
        <w:tc>
          <w:tcPr>
            <w:tcW w:w="1702" w:type="dxa"/>
            <w:shd w:val="clear" w:color="auto" w:fill="FFFFFF" w:themeFill="background1"/>
            <w:tcMar>
              <w:top w:w="60" w:type="dxa"/>
              <w:left w:w="120" w:type="dxa"/>
              <w:bottom w:w="60" w:type="dxa"/>
              <w:right w:w="120" w:type="dxa"/>
            </w:tcMar>
            <w:vAlign w:val="center"/>
          </w:tcPr>
          <w:p w:rsidRPr="00E52256" w:rsidR="002C46A8" w:rsidP="180099B3" w:rsidRDefault="403F1154" w14:paraId="349CDA4F" w14:textId="77777777">
            <w:pPr>
              <w:spacing w:after="0" w:line="240" w:lineRule="auto"/>
              <w:ind w:left="-90"/>
              <w:jc w:val="center"/>
              <w:rPr>
                <w:rFonts w:ascii="Verdana" w:hAnsi="Verdana" w:cs="Times New Roman"/>
                <w:color w:val="000000"/>
                <w:sz w:val="18"/>
                <w:szCs w:val="18"/>
              </w:rPr>
            </w:pPr>
            <w:r w:rsidRPr="180099B3">
              <w:rPr>
                <w:rFonts w:ascii="Verdana" w:hAnsi="Verdana" w:cs="Times New Roman"/>
                <w:color w:val="000000" w:themeColor="text1"/>
                <w:sz w:val="18"/>
                <w:szCs w:val="18"/>
              </w:rPr>
              <w:t>49</w:t>
            </w:r>
          </w:p>
        </w:tc>
      </w:tr>
      <w:tr w:rsidRPr="00E52256" w:rsidR="002C46A8" w:rsidTr="006A0A13" w14:paraId="05809CE3" w14:textId="77777777">
        <w:trPr>
          <w:trHeight w:val="283"/>
          <w:jc w:val="center"/>
        </w:trPr>
        <w:tc>
          <w:tcPr>
            <w:tcW w:w="5453" w:type="dxa"/>
            <w:shd w:val="clear" w:color="auto" w:fill="F2F2F2" w:themeFill="background1" w:themeFillShade="F2"/>
            <w:tcMar>
              <w:top w:w="60" w:type="dxa"/>
              <w:left w:w="120" w:type="dxa"/>
              <w:bottom w:w="60" w:type="dxa"/>
              <w:right w:w="120" w:type="dxa"/>
            </w:tcMar>
            <w:vAlign w:val="center"/>
          </w:tcPr>
          <w:p w:rsidRPr="00E52256" w:rsidR="002C46A8" w:rsidP="180099B3" w:rsidRDefault="403F1154" w14:paraId="5FD3F3FC" w14:textId="77777777">
            <w:pPr>
              <w:spacing w:after="0" w:line="240" w:lineRule="auto"/>
              <w:ind w:left="-90"/>
              <w:jc w:val="center"/>
              <w:rPr>
                <w:rFonts w:ascii="Verdana" w:hAnsi="Verdana" w:cs="Times New Roman"/>
                <w:color w:val="000000"/>
                <w:sz w:val="18"/>
                <w:szCs w:val="18"/>
              </w:rPr>
            </w:pPr>
            <w:r w:rsidRPr="180099B3">
              <w:rPr>
                <w:rFonts w:ascii="Verdana" w:hAnsi="Verdana" w:cs="Times New Roman"/>
                <w:color w:val="000000" w:themeColor="text1"/>
                <w:sz w:val="18"/>
                <w:szCs w:val="18"/>
              </w:rPr>
              <w:t>CD Servicios Profesionales y Apoyo a la Gestión</w:t>
            </w:r>
          </w:p>
        </w:tc>
        <w:tc>
          <w:tcPr>
            <w:tcW w:w="1702" w:type="dxa"/>
            <w:shd w:val="clear" w:color="auto" w:fill="F2F2F2" w:themeFill="background1" w:themeFillShade="F2"/>
            <w:tcMar>
              <w:top w:w="60" w:type="dxa"/>
              <w:left w:w="120" w:type="dxa"/>
              <w:bottom w:w="60" w:type="dxa"/>
              <w:right w:w="120" w:type="dxa"/>
            </w:tcMar>
            <w:vAlign w:val="center"/>
          </w:tcPr>
          <w:p w:rsidRPr="00E52256" w:rsidR="002C46A8" w:rsidP="180099B3" w:rsidRDefault="403F1154" w14:paraId="6143EA4E" w14:textId="77777777">
            <w:pPr>
              <w:spacing w:after="0" w:line="240" w:lineRule="auto"/>
              <w:ind w:left="-90"/>
              <w:jc w:val="center"/>
              <w:rPr>
                <w:rFonts w:ascii="Verdana" w:hAnsi="Verdana" w:cs="Times New Roman"/>
                <w:color w:val="000000"/>
                <w:sz w:val="18"/>
                <w:szCs w:val="18"/>
              </w:rPr>
            </w:pPr>
            <w:r w:rsidRPr="180099B3">
              <w:rPr>
                <w:rFonts w:ascii="Verdana" w:hAnsi="Verdana" w:cs="Times New Roman"/>
                <w:color w:val="000000" w:themeColor="text1"/>
                <w:sz w:val="18"/>
                <w:szCs w:val="18"/>
              </w:rPr>
              <w:t>43</w:t>
            </w:r>
          </w:p>
        </w:tc>
      </w:tr>
      <w:tr w:rsidRPr="00E52256" w:rsidR="002C46A8" w:rsidTr="006A0A13" w14:paraId="63C3FDB2" w14:textId="77777777">
        <w:trPr>
          <w:trHeight w:val="283"/>
          <w:jc w:val="center"/>
        </w:trPr>
        <w:tc>
          <w:tcPr>
            <w:tcW w:w="5453" w:type="dxa"/>
            <w:shd w:val="clear" w:color="auto" w:fill="FFFFFF" w:themeFill="background1"/>
            <w:tcMar>
              <w:top w:w="60" w:type="dxa"/>
              <w:left w:w="120" w:type="dxa"/>
              <w:bottom w:w="60" w:type="dxa"/>
              <w:right w:w="120" w:type="dxa"/>
            </w:tcMar>
            <w:vAlign w:val="center"/>
          </w:tcPr>
          <w:p w:rsidRPr="00E52256" w:rsidR="002C46A8" w:rsidP="180099B3" w:rsidRDefault="403F1154" w14:paraId="320F6F2E" w14:textId="77777777">
            <w:pPr>
              <w:spacing w:after="0" w:line="240" w:lineRule="auto"/>
              <w:ind w:left="-90"/>
              <w:jc w:val="center"/>
              <w:rPr>
                <w:rFonts w:ascii="Verdana" w:hAnsi="Verdana" w:cs="Times New Roman"/>
                <w:color w:val="000000"/>
                <w:sz w:val="18"/>
                <w:szCs w:val="18"/>
              </w:rPr>
            </w:pPr>
            <w:r w:rsidRPr="180099B3">
              <w:rPr>
                <w:rFonts w:ascii="Verdana" w:hAnsi="Verdana" w:cs="Times New Roman"/>
                <w:color w:val="000000" w:themeColor="text1"/>
                <w:sz w:val="18"/>
                <w:szCs w:val="18"/>
              </w:rPr>
              <w:t>Mínima Cuantía</w:t>
            </w:r>
          </w:p>
        </w:tc>
        <w:tc>
          <w:tcPr>
            <w:tcW w:w="1702" w:type="dxa"/>
            <w:shd w:val="clear" w:color="auto" w:fill="FFFFFF" w:themeFill="background1"/>
            <w:tcMar>
              <w:top w:w="60" w:type="dxa"/>
              <w:left w:w="120" w:type="dxa"/>
              <w:bottom w:w="60" w:type="dxa"/>
              <w:right w:w="120" w:type="dxa"/>
            </w:tcMar>
            <w:vAlign w:val="center"/>
          </w:tcPr>
          <w:p w:rsidRPr="00E52256" w:rsidR="002C46A8" w:rsidP="180099B3" w:rsidRDefault="403F1154" w14:paraId="152912D4" w14:textId="77777777">
            <w:pPr>
              <w:spacing w:after="0" w:line="240" w:lineRule="auto"/>
              <w:ind w:left="-90"/>
              <w:jc w:val="center"/>
              <w:rPr>
                <w:rFonts w:ascii="Verdana" w:hAnsi="Verdana" w:cs="Times New Roman"/>
                <w:color w:val="000000"/>
                <w:sz w:val="18"/>
                <w:szCs w:val="18"/>
              </w:rPr>
            </w:pPr>
            <w:r w:rsidRPr="180099B3">
              <w:rPr>
                <w:rFonts w:ascii="Verdana" w:hAnsi="Verdana" w:cs="Times New Roman"/>
                <w:color w:val="000000" w:themeColor="text1"/>
                <w:sz w:val="18"/>
                <w:szCs w:val="18"/>
              </w:rPr>
              <w:t>15</w:t>
            </w:r>
          </w:p>
        </w:tc>
      </w:tr>
      <w:tr w:rsidRPr="00E52256" w:rsidR="002C46A8" w:rsidTr="006A0A13" w14:paraId="0DB9AB2A" w14:textId="77777777">
        <w:trPr>
          <w:trHeight w:val="271"/>
          <w:jc w:val="center"/>
        </w:trPr>
        <w:tc>
          <w:tcPr>
            <w:tcW w:w="5453" w:type="dxa"/>
            <w:shd w:val="clear" w:color="auto" w:fill="F2F2F2" w:themeFill="background1" w:themeFillShade="F2"/>
            <w:tcMar>
              <w:top w:w="60" w:type="dxa"/>
              <w:left w:w="120" w:type="dxa"/>
              <w:bottom w:w="60" w:type="dxa"/>
              <w:right w:w="120" w:type="dxa"/>
            </w:tcMar>
            <w:vAlign w:val="center"/>
          </w:tcPr>
          <w:p w:rsidRPr="00E52256" w:rsidR="002C46A8" w:rsidP="180099B3" w:rsidRDefault="403F1154" w14:paraId="70E875B8" w14:textId="77777777">
            <w:pPr>
              <w:spacing w:after="0" w:line="240" w:lineRule="auto"/>
              <w:ind w:left="-90"/>
              <w:jc w:val="center"/>
              <w:rPr>
                <w:rFonts w:ascii="Verdana" w:hAnsi="Verdana" w:cs="Times New Roman"/>
                <w:color w:val="000000"/>
                <w:sz w:val="18"/>
                <w:szCs w:val="18"/>
              </w:rPr>
            </w:pPr>
            <w:r w:rsidRPr="180099B3">
              <w:rPr>
                <w:rFonts w:ascii="Verdana" w:hAnsi="Verdana" w:cs="Times New Roman"/>
                <w:color w:val="000000" w:themeColor="text1"/>
                <w:sz w:val="18"/>
                <w:szCs w:val="18"/>
              </w:rPr>
              <w:t>Concurso de Méritos Abierto</w:t>
            </w:r>
          </w:p>
        </w:tc>
        <w:tc>
          <w:tcPr>
            <w:tcW w:w="1702" w:type="dxa"/>
            <w:shd w:val="clear" w:color="auto" w:fill="F2F2F2" w:themeFill="background1" w:themeFillShade="F2"/>
            <w:tcMar>
              <w:top w:w="60" w:type="dxa"/>
              <w:left w:w="120" w:type="dxa"/>
              <w:bottom w:w="60" w:type="dxa"/>
              <w:right w:w="120" w:type="dxa"/>
            </w:tcMar>
            <w:vAlign w:val="center"/>
          </w:tcPr>
          <w:p w:rsidRPr="00E52256" w:rsidR="002C46A8" w:rsidP="180099B3" w:rsidRDefault="403F1154" w14:paraId="20F90ECE" w14:textId="77777777">
            <w:pPr>
              <w:spacing w:after="0" w:line="240" w:lineRule="auto"/>
              <w:ind w:left="-90"/>
              <w:jc w:val="center"/>
              <w:rPr>
                <w:rFonts w:ascii="Verdana" w:hAnsi="Verdana" w:cs="Times New Roman"/>
                <w:color w:val="000000"/>
                <w:sz w:val="18"/>
                <w:szCs w:val="18"/>
              </w:rPr>
            </w:pPr>
            <w:r w:rsidRPr="180099B3">
              <w:rPr>
                <w:rFonts w:ascii="Verdana" w:hAnsi="Verdana" w:cs="Times New Roman"/>
                <w:color w:val="000000" w:themeColor="text1"/>
                <w:sz w:val="18"/>
                <w:szCs w:val="18"/>
              </w:rPr>
              <w:t>15</w:t>
            </w:r>
          </w:p>
        </w:tc>
      </w:tr>
      <w:tr w:rsidRPr="00E52256" w:rsidR="002C46A8" w:rsidTr="006A0A13" w14:paraId="1D8FECDF" w14:textId="77777777">
        <w:trPr>
          <w:trHeight w:val="283"/>
          <w:jc w:val="center"/>
        </w:trPr>
        <w:tc>
          <w:tcPr>
            <w:tcW w:w="5453" w:type="dxa"/>
            <w:shd w:val="clear" w:color="auto" w:fill="FFFFFF" w:themeFill="background1"/>
            <w:tcMar>
              <w:top w:w="60" w:type="dxa"/>
              <w:left w:w="120" w:type="dxa"/>
              <w:bottom w:w="60" w:type="dxa"/>
              <w:right w:w="120" w:type="dxa"/>
            </w:tcMar>
            <w:vAlign w:val="center"/>
          </w:tcPr>
          <w:p w:rsidRPr="00E52256" w:rsidR="002C46A8" w:rsidP="180099B3" w:rsidRDefault="403F1154" w14:paraId="26E811D2" w14:textId="77777777">
            <w:pPr>
              <w:spacing w:after="0" w:line="240" w:lineRule="auto"/>
              <w:ind w:left="-90"/>
              <w:jc w:val="center"/>
              <w:rPr>
                <w:rFonts w:ascii="Verdana" w:hAnsi="Verdana" w:cs="Times New Roman"/>
                <w:color w:val="000000"/>
                <w:sz w:val="18"/>
                <w:szCs w:val="18"/>
              </w:rPr>
            </w:pPr>
            <w:r w:rsidRPr="180099B3">
              <w:rPr>
                <w:rFonts w:ascii="Verdana" w:hAnsi="Verdana" w:cs="Times New Roman"/>
                <w:color w:val="000000" w:themeColor="text1"/>
                <w:sz w:val="18"/>
                <w:szCs w:val="18"/>
              </w:rPr>
              <w:t>CD Consultores Individuales (BID)</w:t>
            </w:r>
          </w:p>
        </w:tc>
        <w:tc>
          <w:tcPr>
            <w:tcW w:w="1702" w:type="dxa"/>
            <w:shd w:val="clear" w:color="auto" w:fill="FFFFFF" w:themeFill="background1"/>
            <w:tcMar>
              <w:top w:w="60" w:type="dxa"/>
              <w:left w:w="120" w:type="dxa"/>
              <w:bottom w:w="60" w:type="dxa"/>
              <w:right w:w="120" w:type="dxa"/>
            </w:tcMar>
            <w:vAlign w:val="center"/>
          </w:tcPr>
          <w:p w:rsidRPr="00E52256" w:rsidR="002C46A8" w:rsidP="180099B3" w:rsidRDefault="403F1154" w14:paraId="30007B88" w14:textId="77777777">
            <w:pPr>
              <w:spacing w:after="0" w:line="240" w:lineRule="auto"/>
              <w:ind w:left="-90"/>
              <w:jc w:val="center"/>
              <w:rPr>
                <w:rFonts w:ascii="Verdana" w:hAnsi="Verdana" w:cs="Times New Roman"/>
                <w:color w:val="000000"/>
                <w:sz w:val="18"/>
                <w:szCs w:val="18"/>
              </w:rPr>
            </w:pPr>
            <w:r w:rsidRPr="180099B3">
              <w:rPr>
                <w:rFonts w:ascii="Verdana" w:hAnsi="Verdana" w:cs="Times New Roman"/>
                <w:color w:val="000000" w:themeColor="text1"/>
                <w:sz w:val="18"/>
                <w:szCs w:val="18"/>
              </w:rPr>
              <w:t>6</w:t>
            </w:r>
          </w:p>
        </w:tc>
      </w:tr>
      <w:tr w:rsidRPr="00E52256" w:rsidR="002C46A8" w:rsidTr="006A0A13" w14:paraId="5259FDED" w14:textId="77777777">
        <w:trPr>
          <w:trHeight w:val="283"/>
          <w:jc w:val="center"/>
        </w:trPr>
        <w:tc>
          <w:tcPr>
            <w:tcW w:w="5453" w:type="dxa"/>
            <w:shd w:val="clear" w:color="auto" w:fill="F2F2F2" w:themeFill="background1" w:themeFillShade="F2"/>
            <w:tcMar>
              <w:top w:w="60" w:type="dxa"/>
              <w:left w:w="120" w:type="dxa"/>
              <w:bottom w:w="60" w:type="dxa"/>
              <w:right w:w="120" w:type="dxa"/>
            </w:tcMar>
            <w:vAlign w:val="center"/>
          </w:tcPr>
          <w:p w:rsidRPr="00E52256" w:rsidR="002C46A8" w:rsidP="180099B3" w:rsidRDefault="403F1154" w14:paraId="357EE008" w14:textId="77777777">
            <w:pPr>
              <w:spacing w:after="0" w:line="240" w:lineRule="auto"/>
              <w:ind w:left="-90"/>
              <w:jc w:val="center"/>
              <w:rPr>
                <w:rFonts w:ascii="Verdana" w:hAnsi="Verdana" w:cs="Times New Roman"/>
                <w:color w:val="000000"/>
                <w:sz w:val="18"/>
                <w:szCs w:val="18"/>
              </w:rPr>
            </w:pPr>
            <w:r w:rsidRPr="180099B3">
              <w:rPr>
                <w:rFonts w:ascii="Verdana" w:hAnsi="Verdana" w:cs="Times New Roman"/>
                <w:color w:val="000000" w:themeColor="text1"/>
                <w:sz w:val="18"/>
                <w:szCs w:val="18"/>
              </w:rPr>
              <w:t>Selección Abreviada / Subasta Inversa</w:t>
            </w:r>
          </w:p>
        </w:tc>
        <w:tc>
          <w:tcPr>
            <w:tcW w:w="1702" w:type="dxa"/>
            <w:shd w:val="clear" w:color="auto" w:fill="F2F2F2" w:themeFill="background1" w:themeFillShade="F2"/>
            <w:tcMar>
              <w:top w:w="60" w:type="dxa"/>
              <w:left w:w="120" w:type="dxa"/>
              <w:bottom w:w="60" w:type="dxa"/>
              <w:right w:w="120" w:type="dxa"/>
            </w:tcMar>
            <w:vAlign w:val="center"/>
          </w:tcPr>
          <w:p w:rsidRPr="00E52256" w:rsidR="002C46A8" w:rsidP="180099B3" w:rsidRDefault="403F1154" w14:paraId="5F657583" w14:textId="77777777">
            <w:pPr>
              <w:spacing w:after="0" w:line="240" w:lineRule="auto"/>
              <w:ind w:left="-90"/>
              <w:jc w:val="center"/>
              <w:rPr>
                <w:rFonts w:ascii="Verdana" w:hAnsi="Verdana" w:cs="Times New Roman"/>
                <w:color w:val="000000"/>
                <w:sz w:val="18"/>
                <w:szCs w:val="18"/>
              </w:rPr>
            </w:pPr>
            <w:r w:rsidRPr="180099B3">
              <w:rPr>
                <w:rFonts w:ascii="Verdana" w:hAnsi="Verdana" w:cs="Times New Roman"/>
                <w:color w:val="000000" w:themeColor="text1"/>
                <w:sz w:val="18"/>
                <w:szCs w:val="18"/>
              </w:rPr>
              <w:t>4</w:t>
            </w:r>
          </w:p>
        </w:tc>
      </w:tr>
      <w:tr w:rsidRPr="00E52256" w:rsidR="002C46A8" w:rsidTr="006A0A13" w14:paraId="37C55DCE" w14:textId="77777777">
        <w:trPr>
          <w:trHeight w:val="283"/>
          <w:jc w:val="center"/>
        </w:trPr>
        <w:tc>
          <w:tcPr>
            <w:tcW w:w="5453" w:type="dxa"/>
            <w:shd w:val="clear" w:color="auto" w:fill="FFFFFF" w:themeFill="background1"/>
            <w:tcMar>
              <w:top w:w="60" w:type="dxa"/>
              <w:left w:w="120" w:type="dxa"/>
              <w:bottom w:w="60" w:type="dxa"/>
              <w:right w:w="120" w:type="dxa"/>
            </w:tcMar>
            <w:vAlign w:val="center"/>
          </w:tcPr>
          <w:p w:rsidRPr="00E52256" w:rsidR="002C46A8" w:rsidP="180099B3" w:rsidRDefault="403F1154" w14:paraId="616F570B" w14:textId="77777777">
            <w:pPr>
              <w:spacing w:after="0" w:line="240" w:lineRule="auto"/>
              <w:ind w:left="-90"/>
              <w:jc w:val="center"/>
              <w:rPr>
                <w:rFonts w:ascii="Verdana" w:hAnsi="Verdana" w:cs="Times New Roman"/>
                <w:color w:val="000000"/>
                <w:sz w:val="18"/>
                <w:szCs w:val="18"/>
              </w:rPr>
            </w:pPr>
            <w:r w:rsidRPr="180099B3">
              <w:rPr>
                <w:rFonts w:ascii="Verdana" w:hAnsi="Verdana" w:cs="Times New Roman"/>
                <w:color w:val="000000" w:themeColor="text1"/>
                <w:sz w:val="18"/>
                <w:szCs w:val="18"/>
              </w:rPr>
              <w:t>Selección Abreviada Acuerdo Marco de Precios</w:t>
            </w:r>
          </w:p>
        </w:tc>
        <w:tc>
          <w:tcPr>
            <w:tcW w:w="1702" w:type="dxa"/>
            <w:shd w:val="clear" w:color="auto" w:fill="FFFFFF" w:themeFill="background1"/>
            <w:tcMar>
              <w:top w:w="60" w:type="dxa"/>
              <w:left w:w="120" w:type="dxa"/>
              <w:bottom w:w="60" w:type="dxa"/>
              <w:right w:w="120" w:type="dxa"/>
            </w:tcMar>
            <w:vAlign w:val="center"/>
          </w:tcPr>
          <w:p w:rsidRPr="00E52256" w:rsidR="002C46A8" w:rsidP="180099B3" w:rsidRDefault="403F1154" w14:paraId="076B3B0F" w14:textId="77777777">
            <w:pPr>
              <w:spacing w:after="0" w:line="240" w:lineRule="auto"/>
              <w:ind w:left="-90"/>
              <w:jc w:val="center"/>
              <w:rPr>
                <w:rFonts w:ascii="Verdana" w:hAnsi="Verdana" w:cs="Times New Roman"/>
                <w:color w:val="000000"/>
                <w:sz w:val="18"/>
                <w:szCs w:val="18"/>
              </w:rPr>
            </w:pPr>
            <w:r w:rsidRPr="180099B3">
              <w:rPr>
                <w:rFonts w:ascii="Verdana" w:hAnsi="Verdana" w:cs="Times New Roman"/>
                <w:color w:val="000000" w:themeColor="text1"/>
                <w:sz w:val="18"/>
                <w:szCs w:val="18"/>
              </w:rPr>
              <w:t>3</w:t>
            </w:r>
          </w:p>
        </w:tc>
      </w:tr>
      <w:tr w:rsidRPr="00E52256" w:rsidR="002C46A8" w:rsidTr="006A0A13" w14:paraId="3E7B1214" w14:textId="77777777">
        <w:trPr>
          <w:trHeight w:val="283"/>
          <w:jc w:val="center"/>
        </w:trPr>
        <w:tc>
          <w:tcPr>
            <w:tcW w:w="5453" w:type="dxa"/>
            <w:shd w:val="clear" w:color="auto" w:fill="F2F2F2" w:themeFill="background1" w:themeFillShade="F2"/>
            <w:tcMar>
              <w:top w:w="60" w:type="dxa"/>
              <w:left w:w="120" w:type="dxa"/>
              <w:bottom w:w="60" w:type="dxa"/>
              <w:right w:w="120" w:type="dxa"/>
            </w:tcMar>
            <w:vAlign w:val="center"/>
          </w:tcPr>
          <w:p w:rsidRPr="00E52256" w:rsidR="002C46A8" w:rsidP="180099B3" w:rsidRDefault="403F1154" w14:paraId="29AC79E2" w14:textId="77777777">
            <w:pPr>
              <w:spacing w:after="0" w:line="240" w:lineRule="auto"/>
              <w:ind w:left="-90"/>
              <w:jc w:val="center"/>
              <w:rPr>
                <w:rFonts w:ascii="Verdana" w:hAnsi="Verdana" w:cs="Times New Roman"/>
                <w:color w:val="000000"/>
                <w:sz w:val="18"/>
                <w:szCs w:val="18"/>
              </w:rPr>
            </w:pPr>
            <w:r w:rsidRPr="180099B3">
              <w:rPr>
                <w:rFonts w:ascii="Verdana" w:hAnsi="Verdana" w:cs="Times New Roman"/>
                <w:color w:val="000000" w:themeColor="text1"/>
                <w:sz w:val="18"/>
                <w:szCs w:val="18"/>
              </w:rPr>
              <w:t>CD Consultorías Firmas (BID)</w:t>
            </w:r>
          </w:p>
        </w:tc>
        <w:tc>
          <w:tcPr>
            <w:tcW w:w="1702" w:type="dxa"/>
            <w:shd w:val="clear" w:color="auto" w:fill="F2F2F2" w:themeFill="background1" w:themeFillShade="F2"/>
            <w:tcMar>
              <w:top w:w="60" w:type="dxa"/>
              <w:left w:w="120" w:type="dxa"/>
              <w:bottom w:w="60" w:type="dxa"/>
              <w:right w:w="120" w:type="dxa"/>
            </w:tcMar>
            <w:vAlign w:val="center"/>
          </w:tcPr>
          <w:p w:rsidRPr="00E52256" w:rsidR="002C46A8" w:rsidP="180099B3" w:rsidRDefault="403F1154" w14:paraId="58CCA8F8" w14:textId="77777777">
            <w:pPr>
              <w:spacing w:after="0" w:line="240" w:lineRule="auto"/>
              <w:ind w:left="-90"/>
              <w:jc w:val="center"/>
              <w:rPr>
                <w:rFonts w:ascii="Verdana" w:hAnsi="Verdana" w:cs="Times New Roman"/>
                <w:color w:val="000000"/>
                <w:sz w:val="18"/>
                <w:szCs w:val="18"/>
              </w:rPr>
            </w:pPr>
            <w:r w:rsidRPr="180099B3">
              <w:rPr>
                <w:rFonts w:ascii="Verdana" w:hAnsi="Verdana" w:cs="Times New Roman"/>
                <w:color w:val="000000" w:themeColor="text1"/>
                <w:sz w:val="18"/>
                <w:szCs w:val="18"/>
              </w:rPr>
              <w:t>3</w:t>
            </w:r>
          </w:p>
        </w:tc>
      </w:tr>
      <w:tr w:rsidRPr="00E52256" w:rsidR="002C46A8" w:rsidTr="006A0A13" w14:paraId="4855DFE5" w14:textId="77777777">
        <w:trPr>
          <w:trHeight w:val="271"/>
          <w:jc w:val="center"/>
        </w:trPr>
        <w:tc>
          <w:tcPr>
            <w:tcW w:w="5453" w:type="dxa"/>
            <w:shd w:val="clear" w:color="auto" w:fill="FFFFFF" w:themeFill="background1"/>
            <w:tcMar>
              <w:top w:w="60" w:type="dxa"/>
              <w:left w:w="120" w:type="dxa"/>
              <w:bottom w:w="60" w:type="dxa"/>
              <w:right w:w="120" w:type="dxa"/>
            </w:tcMar>
            <w:vAlign w:val="center"/>
          </w:tcPr>
          <w:p w:rsidRPr="00E52256" w:rsidR="002C46A8" w:rsidP="180099B3" w:rsidRDefault="403F1154" w14:paraId="127156E5" w14:textId="77777777">
            <w:pPr>
              <w:spacing w:after="0" w:line="240" w:lineRule="auto"/>
              <w:ind w:left="-90"/>
              <w:jc w:val="center"/>
              <w:rPr>
                <w:rFonts w:ascii="Verdana" w:hAnsi="Verdana" w:cs="Times New Roman"/>
                <w:color w:val="000000"/>
                <w:sz w:val="18"/>
                <w:szCs w:val="18"/>
              </w:rPr>
            </w:pPr>
            <w:r w:rsidRPr="180099B3">
              <w:rPr>
                <w:rFonts w:ascii="Verdana" w:hAnsi="Verdana" w:cs="Times New Roman"/>
                <w:color w:val="000000" w:themeColor="text1"/>
                <w:sz w:val="18"/>
                <w:szCs w:val="18"/>
              </w:rPr>
              <w:t>Otras modalidades</w:t>
            </w:r>
          </w:p>
        </w:tc>
        <w:tc>
          <w:tcPr>
            <w:tcW w:w="1702" w:type="dxa"/>
            <w:shd w:val="clear" w:color="auto" w:fill="FFFFFF" w:themeFill="background1"/>
            <w:tcMar>
              <w:top w:w="60" w:type="dxa"/>
              <w:left w:w="120" w:type="dxa"/>
              <w:bottom w:w="60" w:type="dxa"/>
              <w:right w:w="120" w:type="dxa"/>
            </w:tcMar>
            <w:vAlign w:val="center"/>
          </w:tcPr>
          <w:p w:rsidRPr="00E52256" w:rsidR="002C46A8" w:rsidP="180099B3" w:rsidRDefault="403F1154" w14:paraId="211F4990" w14:textId="77777777">
            <w:pPr>
              <w:spacing w:after="0" w:line="240" w:lineRule="auto"/>
              <w:ind w:left="-90"/>
              <w:jc w:val="center"/>
              <w:rPr>
                <w:rFonts w:ascii="Verdana" w:hAnsi="Verdana" w:cs="Times New Roman"/>
                <w:color w:val="000000"/>
                <w:sz w:val="18"/>
                <w:szCs w:val="18"/>
              </w:rPr>
            </w:pPr>
            <w:r w:rsidRPr="180099B3">
              <w:rPr>
                <w:rFonts w:ascii="Verdana" w:hAnsi="Verdana" w:cs="Times New Roman"/>
                <w:color w:val="000000" w:themeColor="text1"/>
                <w:sz w:val="18"/>
                <w:szCs w:val="18"/>
              </w:rPr>
              <w:t>10</w:t>
            </w:r>
          </w:p>
        </w:tc>
      </w:tr>
    </w:tbl>
    <w:p w:rsidRPr="00E52256" w:rsidR="002C46A8" w:rsidP="00E52256" w:rsidRDefault="002C46A8" w14:paraId="217B3214" w14:textId="77777777">
      <w:pPr>
        <w:spacing w:after="0" w:line="240" w:lineRule="auto"/>
        <w:jc w:val="center"/>
        <w:rPr>
          <w:rFonts w:ascii="Verdana" w:hAnsi="Verdana"/>
          <w:sz w:val="18"/>
          <w:szCs w:val="18"/>
        </w:rPr>
      </w:pPr>
      <w:r w:rsidRPr="00E52256">
        <w:rPr>
          <w:rFonts w:ascii="Verdana" w:hAnsi="Verdana"/>
          <w:sz w:val="18"/>
          <w:szCs w:val="18"/>
        </w:rPr>
        <w:t>Fuente: Plataforma NEON y SECOP II.</w:t>
      </w:r>
    </w:p>
    <w:p w:rsidR="00E52256" w:rsidP="006A0A13" w:rsidRDefault="00E52256" w14:paraId="0E3CF399" w14:textId="77777777">
      <w:pPr>
        <w:spacing w:after="0" w:line="360" w:lineRule="auto"/>
        <w:jc w:val="both"/>
        <w:rPr>
          <w:rFonts w:ascii="Verdana" w:hAnsi="Verdana"/>
          <w:sz w:val="24"/>
          <w:szCs w:val="24"/>
        </w:rPr>
      </w:pPr>
    </w:p>
    <w:p w:rsidRPr="00C140A0" w:rsidR="002C46A8" w:rsidP="006A0A13" w:rsidRDefault="002C46A8" w14:paraId="5359EF40" w14:textId="77777777">
      <w:pPr>
        <w:spacing w:after="0" w:line="360" w:lineRule="auto"/>
        <w:jc w:val="both"/>
        <w:rPr>
          <w:rFonts w:ascii="Verdana" w:hAnsi="Verdana"/>
          <w:sz w:val="24"/>
          <w:szCs w:val="24"/>
        </w:rPr>
      </w:pPr>
      <w:r w:rsidRPr="00C140A0">
        <w:rPr>
          <w:rFonts w:ascii="Verdana" w:hAnsi="Verdana"/>
          <w:sz w:val="24"/>
          <w:szCs w:val="24"/>
        </w:rPr>
        <w:t xml:space="preserve">De conformidad con el PAA del año 2022, la anterior tabla da cuenta de la contratación que se llevó a cabo para la finalización del año en alusión, reflejando ello que en el marco de la gestión adelantada se propendió por el cumplimiento misional de esta cartera. </w:t>
      </w:r>
    </w:p>
    <w:p w:rsidR="00E52256" w:rsidP="006A0A13" w:rsidRDefault="00E52256" w14:paraId="3C3C4CB5" w14:textId="77777777">
      <w:pPr>
        <w:spacing w:after="0" w:line="360" w:lineRule="auto"/>
        <w:jc w:val="both"/>
        <w:rPr>
          <w:rFonts w:ascii="Verdana" w:hAnsi="Verdana"/>
          <w:b/>
          <w:bCs/>
          <w:sz w:val="24"/>
          <w:szCs w:val="24"/>
        </w:rPr>
      </w:pPr>
    </w:p>
    <w:p w:rsidRPr="00E52256" w:rsidR="002C46A8" w:rsidP="006A0A13" w:rsidRDefault="002C46A8" w14:paraId="70578927" w14:textId="77777777">
      <w:pPr>
        <w:spacing w:after="0" w:line="360" w:lineRule="auto"/>
        <w:jc w:val="both"/>
        <w:rPr>
          <w:rFonts w:ascii="Verdana" w:hAnsi="Verdana"/>
          <w:b/>
          <w:bCs/>
          <w:sz w:val="24"/>
          <w:szCs w:val="24"/>
        </w:rPr>
      </w:pPr>
      <w:r w:rsidRPr="00E52256">
        <w:rPr>
          <w:rFonts w:ascii="Verdana" w:hAnsi="Verdana"/>
          <w:b/>
          <w:bCs/>
          <w:sz w:val="24"/>
          <w:szCs w:val="24"/>
        </w:rPr>
        <w:t xml:space="preserve">VIGENCIA 2023 </w:t>
      </w:r>
    </w:p>
    <w:p w:rsidR="00E52256" w:rsidP="006A0A13" w:rsidRDefault="00E52256" w14:paraId="69358F5B" w14:textId="77777777">
      <w:pPr>
        <w:spacing w:after="0" w:line="360" w:lineRule="auto"/>
        <w:jc w:val="both"/>
        <w:rPr>
          <w:rFonts w:ascii="Verdana" w:hAnsi="Verdana"/>
          <w:sz w:val="24"/>
          <w:szCs w:val="24"/>
        </w:rPr>
      </w:pPr>
    </w:p>
    <w:p w:rsidRPr="00C140A0" w:rsidR="002C46A8" w:rsidP="006A0A13" w:rsidRDefault="002C46A8" w14:paraId="46C98F5E" w14:textId="77777777">
      <w:pPr>
        <w:spacing w:after="0" w:line="360" w:lineRule="auto"/>
        <w:jc w:val="both"/>
        <w:rPr>
          <w:rFonts w:ascii="Verdana" w:hAnsi="Verdana"/>
          <w:sz w:val="24"/>
          <w:szCs w:val="24"/>
        </w:rPr>
      </w:pPr>
      <w:r w:rsidRPr="00C140A0">
        <w:rPr>
          <w:rFonts w:ascii="Verdana" w:hAnsi="Verdana"/>
          <w:sz w:val="24"/>
          <w:szCs w:val="24"/>
        </w:rPr>
        <w:t>Total de contratos: 1.213</w:t>
      </w:r>
    </w:p>
    <w:p w:rsidR="002C46A8" w:rsidP="006A0A13" w:rsidRDefault="002C46A8" w14:paraId="3D8DE5E9" w14:textId="77777777">
      <w:pPr>
        <w:spacing w:after="0" w:line="360" w:lineRule="auto"/>
        <w:jc w:val="both"/>
        <w:rPr>
          <w:rFonts w:ascii="Verdana" w:hAnsi="Verdana"/>
          <w:sz w:val="24"/>
          <w:szCs w:val="24"/>
        </w:rPr>
      </w:pPr>
      <w:r w:rsidRPr="00C140A0">
        <w:rPr>
          <w:rFonts w:ascii="Verdana" w:hAnsi="Verdana"/>
          <w:sz w:val="24"/>
          <w:szCs w:val="24"/>
        </w:rPr>
        <w:t>Valor total contratado: $420.24 mil millones</w:t>
      </w:r>
    </w:p>
    <w:p w:rsidRPr="00E52256" w:rsidR="00E52256" w:rsidP="006A0A13" w:rsidRDefault="00E52256" w14:paraId="07B9F08B" w14:textId="77777777">
      <w:pPr>
        <w:spacing w:after="0" w:line="360" w:lineRule="auto"/>
        <w:jc w:val="both"/>
        <w:rPr>
          <w:rFonts w:ascii="Verdana" w:hAnsi="Verdana"/>
          <w:sz w:val="24"/>
          <w:szCs w:val="24"/>
        </w:rPr>
      </w:pPr>
    </w:p>
    <w:p w:rsidRPr="00E52256" w:rsidR="002C46A8" w:rsidP="180099B3" w:rsidRDefault="403F1154" w14:paraId="034DB042" w14:textId="77777777">
      <w:pPr>
        <w:pStyle w:val="Descripcin"/>
        <w:spacing w:after="0"/>
        <w:jc w:val="center"/>
        <w:rPr>
          <w:rFonts w:ascii="Verdana" w:hAnsi="Verdana"/>
          <w:b/>
          <w:bCs/>
          <w:i w:val="0"/>
          <w:iCs w:val="0"/>
          <w:color w:val="auto"/>
        </w:rPr>
      </w:pPr>
      <w:r w:rsidRPr="180099B3">
        <w:rPr>
          <w:rFonts w:ascii="Verdana" w:hAnsi="Verdana"/>
          <w:i w:val="0"/>
          <w:iCs w:val="0"/>
          <w:color w:val="auto"/>
        </w:rPr>
        <w:t>Tabla</w:t>
      </w:r>
      <w:r w:rsidRPr="180099B3" w:rsidR="79A96BF8">
        <w:rPr>
          <w:rFonts w:ascii="Verdana" w:hAnsi="Verdana"/>
          <w:i w:val="0"/>
          <w:iCs w:val="0"/>
          <w:color w:val="auto"/>
        </w:rPr>
        <w:t xml:space="preserve"> No. 5</w:t>
      </w:r>
      <w:r w:rsidRPr="180099B3" w:rsidR="6E84BB8B">
        <w:rPr>
          <w:rFonts w:ascii="Verdana" w:hAnsi="Verdana"/>
          <w:i w:val="0"/>
          <w:iCs w:val="0"/>
          <w:color w:val="auto"/>
        </w:rPr>
        <w:t>5</w:t>
      </w:r>
      <w:r w:rsidRPr="180099B3">
        <w:rPr>
          <w:rFonts w:ascii="Verdana" w:hAnsi="Verdana"/>
          <w:i w:val="0"/>
          <w:iCs w:val="0"/>
          <w:color w:val="auto"/>
        </w:rPr>
        <w:t>. Vigencia 2023</w:t>
      </w:r>
    </w:p>
    <w:tbl>
      <w:tblPr>
        <w:tblW w:w="69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 w:type="dxa"/>
          <w:right w:w="10" w:type="dxa"/>
        </w:tblCellMar>
        <w:tblLook w:val="0000" w:firstRow="0" w:lastRow="0" w:firstColumn="0" w:lastColumn="0" w:noHBand="0" w:noVBand="0"/>
      </w:tblPr>
      <w:tblGrid>
        <w:gridCol w:w="5327"/>
        <w:gridCol w:w="1663"/>
      </w:tblGrid>
      <w:tr w:rsidRPr="00E52256" w:rsidR="002C46A8" w:rsidTr="00770ECF" w14:paraId="18F32D96" w14:textId="77777777">
        <w:trPr>
          <w:trHeight w:val="255"/>
          <w:tblHeader/>
          <w:jc w:val="center"/>
        </w:trPr>
        <w:tc>
          <w:tcPr>
            <w:tcW w:w="5327" w:type="dxa"/>
            <w:shd w:val="clear" w:color="auto" w:fill="A6A6A6" w:themeFill="background1" w:themeFillShade="A6"/>
            <w:tcMar>
              <w:top w:w="80" w:type="dxa"/>
              <w:left w:w="120" w:type="dxa"/>
              <w:bottom w:w="80" w:type="dxa"/>
              <w:right w:w="120" w:type="dxa"/>
            </w:tcMar>
            <w:vAlign w:val="center"/>
          </w:tcPr>
          <w:p w:rsidRPr="00E52256" w:rsidR="002C46A8" w:rsidP="00E52256" w:rsidRDefault="002C46A8" w14:paraId="566F8A73" w14:textId="77777777">
            <w:pPr>
              <w:spacing w:after="0" w:line="240" w:lineRule="auto"/>
              <w:jc w:val="center"/>
              <w:rPr>
                <w:rFonts w:ascii="Verdana" w:hAnsi="Verdana"/>
                <w:b/>
                <w:bCs/>
                <w:sz w:val="18"/>
                <w:szCs w:val="18"/>
              </w:rPr>
            </w:pPr>
            <w:r w:rsidRPr="00E52256">
              <w:rPr>
                <w:rFonts w:ascii="Verdana" w:hAnsi="Verdana"/>
                <w:b/>
                <w:bCs/>
                <w:sz w:val="18"/>
                <w:szCs w:val="18"/>
              </w:rPr>
              <w:t>Modalidad de Contratación</w:t>
            </w:r>
          </w:p>
        </w:tc>
        <w:tc>
          <w:tcPr>
            <w:tcW w:w="1663" w:type="dxa"/>
            <w:shd w:val="clear" w:color="auto" w:fill="A6A6A6" w:themeFill="background1" w:themeFillShade="A6"/>
            <w:tcMar>
              <w:top w:w="80" w:type="dxa"/>
              <w:left w:w="120" w:type="dxa"/>
              <w:bottom w:w="80" w:type="dxa"/>
              <w:right w:w="120" w:type="dxa"/>
            </w:tcMar>
            <w:vAlign w:val="center"/>
          </w:tcPr>
          <w:p w:rsidRPr="00E52256" w:rsidR="002C46A8" w:rsidP="00E52256" w:rsidRDefault="002C46A8" w14:paraId="101F39A5" w14:textId="77777777">
            <w:pPr>
              <w:spacing w:after="0" w:line="240" w:lineRule="auto"/>
              <w:jc w:val="center"/>
              <w:rPr>
                <w:rFonts w:ascii="Verdana" w:hAnsi="Verdana"/>
                <w:b/>
                <w:bCs/>
                <w:sz w:val="18"/>
                <w:szCs w:val="18"/>
              </w:rPr>
            </w:pPr>
            <w:r w:rsidRPr="00E52256">
              <w:rPr>
                <w:rFonts w:ascii="Verdana" w:hAnsi="Verdana"/>
                <w:b/>
                <w:bCs/>
                <w:sz w:val="18"/>
                <w:szCs w:val="18"/>
              </w:rPr>
              <w:t>Contratos</w:t>
            </w:r>
          </w:p>
        </w:tc>
      </w:tr>
      <w:tr w:rsidRPr="00E52256" w:rsidR="002C46A8" w:rsidTr="00770ECF" w14:paraId="136C2DE8" w14:textId="77777777">
        <w:trPr>
          <w:trHeight w:val="255"/>
          <w:jc w:val="center"/>
        </w:trPr>
        <w:tc>
          <w:tcPr>
            <w:tcW w:w="5327" w:type="dxa"/>
            <w:shd w:val="clear" w:color="auto" w:fill="FFFFFF" w:themeFill="background1"/>
            <w:tcMar>
              <w:top w:w="60" w:type="dxa"/>
              <w:left w:w="120" w:type="dxa"/>
              <w:bottom w:w="60" w:type="dxa"/>
              <w:right w:w="120" w:type="dxa"/>
            </w:tcMar>
            <w:vAlign w:val="center"/>
          </w:tcPr>
          <w:p w:rsidRPr="00E52256" w:rsidR="002C46A8" w:rsidP="00E52256" w:rsidRDefault="002C46A8" w14:paraId="44288146" w14:textId="77777777">
            <w:pPr>
              <w:spacing w:after="0" w:line="240" w:lineRule="auto"/>
              <w:jc w:val="center"/>
              <w:rPr>
                <w:rFonts w:ascii="Verdana" w:hAnsi="Verdana"/>
                <w:sz w:val="18"/>
                <w:szCs w:val="18"/>
              </w:rPr>
            </w:pPr>
            <w:r w:rsidRPr="00E52256">
              <w:rPr>
                <w:rFonts w:ascii="Verdana" w:hAnsi="Verdana"/>
                <w:sz w:val="18"/>
                <w:szCs w:val="18"/>
              </w:rPr>
              <w:t>CD Servicios Profesionales y Apoyo a la Gestión</w:t>
            </w:r>
          </w:p>
        </w:tc>
        <w:tc>
          <w:tcPr>
            <w:tcW w:w="1663" w:type="dxa"/>
            <w:shd w:val="clear" w:color="auto" w:fill="FFFFFF" w:themeFill="background1"/>
            <w:tcMar>
              <w:top w:w="60" w:type="dxa"/>
              <w:left w:w="120" w:type="dxa"/>
              <w:bottom w:w="60" w:type="dxa"/>
              <w:right w:w="120" w:type="dxa"/>
            </w:tcMar>
            <w:vAlign w:val="center"/>
          </w:tcPr>
          <w:p w:rsidRPr="00E52256" w:rsidR="002C46A8" w:rsidP="00E52256" w:rsidRDefault="002C46A8" w14:paraId="60F43398" w14:textId="77777777">
            <w:pPr>
              <w:spacing w:after="0" w:line="240" w:lineRule="auto"/>
              <w:jc w:val="center"/>
              <w:rPr>
                <w:rFonts w:ascii="Verdana" w:hAnsi="Verdana"/>
                <w:sz w:val="18"/>
                <w:szCs w:val="18"/>
              </w:rPr>
            </w:pPr>
            <w:r w:rsidRPr="00E52256">
              <w:rPr>
                <w:rFonts w:ascii="Verdana" w:hAnsi="Verdana"/>
                <w:sz w:val="18"/>
                <w:szCs w:val="18"/>
              </w:rPr>
              <w:t>1.027</w:t>
            </w:r>
          </w:p>
        </w:tc>
      </w:tr>
      <w:tr w:rsidRPr="00E52256" w:rsidR="002C46A8" w:rsidTr="00770ECF" w14:paraId="70332BB5" w14:textId="77777777">
        <w:trPr>
          <w:trHeight w:val="255"/>
          <w:jc w:val="center"/>
        </w:trPr>
        <w:tc>
          <w:tcPr>
            <w:tcW w:w="5327" w:type="dxa"/>
            <w:shd w:val="clear" w:color="auto" w:fill="F2F2F2" w:themeFill="background1" w:themeFillShade="F2"/>
            <w:tcMar>
              <w:top w:w="60" w:type="dxa"/>
              <w:left w:w="120" w:type="dxa"/>
              <w:bottom w:w="60" w:type="dxa"/>
              <w:right w:w="120" w:type="dxa"/>
            </w:tcMar>
            <w:vAlign w:val="center"/>
          </w:tcPr>
          <w:p w:rsidRPr="00E52256" w:rsidR="002C46A8" w:rsidP="00E52256" w:rsidRDefault="002C46A8" w14:paraId="3829CF09" w14:textId="77777777">
            <w:pPr>
              <w:spacing w:after="0" w:line="240" w:lineRule="auto"/>
              <w:jc w:val="center"/>
              <w:rPr>
                <w:rFonts w:ascii="Verdana" w:hAnsi="Verdana"/>
                <w:sz w:val="18"/>
                <w:szCs w:val="18"/>
              </w:rPr>
            </w:pPr>
            <w:r w:rsidRPr="00E52256">
              <w:rPr>
                <w:rFonts w:ascii="Verdana" w:hAnsi="Verdana"/>
                <w:sz w:val="18"/>
                <w:szCs w:val="18"/>
              </w:rPr>
              <w:t>Contratación Directa</w:t>
            </w:r>
          </w:p>
        </w:tc>
        <w:tc>
          <w:tcPr>
            <w:tcW w:w="1663" w:type="dxa"/>
            <w:shd w:val="clear" w:color="auto" w:fill="F2F2F2" w:themeFill="background1" w:themeFillShade="F2"/>
            <w:tcMar>
              <w:top w:w="60" w:type="dxa"/>
              <w:left w:w="120" w:type="dxa"/>
              <w:bottom w:w="60" w:type="dxa"/>
              <w:right w:w="120" w:type="dxa"/>
            </w:tcMar>
            <w:vAlign w:val="center"/>
          </w:tcPr>
          <w:p w:rsidRPr="00E52256" w:rsidR="002C46A8" w:rsidP="00E52256" w:rsidRDefault="002C46A8" w14:paraId="36F85720" w14:textId="77777777">
            <w:pPr>
              <w:spacing w:after="0" w:line="240" w:lineRule="auto"/>
              <w:jc w:val="center"/>
              <w:rPr>
                <w:rFonts w:ascii="Verdana" w:hAnsi="Verdana"/>
                <w:sz w:val="18"/>
                <w:szCs w:val="18"/>
              </w:rPr>
            </w:pPr>
            <w:r w:rsidRPr="00E52256">
              <w:rPr>
                <w:rFonts w:ascii="Verdana" w:hAnsi="Verdana"/>
                <w:sz w:val="18"/>
                <w:szCs w:val="18"/>
              </w:rPr>
              <w:t>95</w:t>
            </w:r>
          </w:p>
        </w:tc>
      </w:tr>
      <w:tr w:rsidRPr="00E52256" w:rsidR="002C46A8" w:rsidTr="00770ECF" w14:paraId="360F8DB4" w14:textId="77777777">
        <w:trPr>
          <w:trHeight w:val="255"/>
          <w:jc w:val="center"/>
        </w:trPr>
        <w:tc>
          <w:tcPr>
            <w:tcW w:w="5327" w:type="dxa"/>
            <w:shd w:val="clear" w:color="auto" w:fill="FFFFFF" w:themeFill="background1"/>
            <w:tcMar>
              <w:top w:w="60" w:type="dxa"/>
              <w:left w:w="120" w:type="dxa"/>
              <w:bottom w:w="60" w:type="dxa"/>
              <w:right w:w="120" w:type="dxa"/>
            </w:tcMar>
            <w:vAlign w:val="center"/>
          </w:tcPr>
          <w:p w:rsidRPr="00E52256" w:rsidR="002C46A8" w:rsidP="00E52256" w:rsidRDefault="002C46A8" w14:paraId="7620AAB9" w14:textId="77777777">
            <w:pPr>
              <w:spacing w:after="0" w:line="240" w:lineRule="auto"/>
              <w:jc w:val="center"/>
              <w:rPr>
                <w:rFonts w:ascii="Verdana" w:hAnsi="Verdana"/>
                <w:sz w:val="18"/>
                <w:szCs w:val="18"/>
              </w:rPr>
            </w:pPr>
            <w:r w:rsidRPr="00E52256">
              <w:rPr>
                <w:rFonts w:ascii="Verdana" w:hAnsi="Verdana"/>
                <w:sz w:val="18"/>
                <w:szCs w:val="18"/>
              </w:rPr>
              <w:t>Mínima Cuantía</w:t>
            </w:r>
          </w:p>
        </w:tc>
        <w:tc>
          <w:tcPr>
            <w:tcW w:w="1663" w:type="dxa"/>
            <w:shd w:val="clear" w:color="auto" w:fill="FFFFFF" w:themeFill="background1"/>
            <w:tcMar>
              <w:top w:w="60" w:type="dxa"/>
              <w:left w:w="120" w:type="dxa"/>
              <w:bottom w:w="60" w:type="dxa"/>
              <w:right w:w="120" w:type="dxa"/>
            </w:tcMar>
            <w:vAlign w:val="center"/>
          </w:tcPr>
          <w:p w:rsidRPr="00E52256" w:rsidR="002C46A8" w:rsidP="00E52256" w:rsidRDefault="002C46A8" w14:paraId="5E4271AB" w14:textId="77777777">
            <w:pPr>
              <w:spacing w:after="0" w:line="240" w:lineRule="auto"/>
              <w:jc w:val="center"/>
              <w:rPr>
                <w:rFonts w:ascii="Verdana" w:hAnsi="Verdana"/>
                <w:sz w:val="18"/>
                <w:szCs w:val="18"/>
              </w:rPr>
            </w:pPr>
            <w:r w:rsidRPr="00E52256">
              <w:rPr>
                <w:rFonts w:ascii="Verdana" w:hAnsi="Verdana"/>
                <w:sz w:val="18"/>
                <w:szCs w:val="18"/>
              </w:rPr>
              <w:t>17</w:t>
            </w:r>
          </w:p>
        </w:tc>
      </w:tr>
      <w:tr w:rsidRPr="00E52256" w:rsidR="002C46A8" w:rsidTr="00770ECF" w14:paraId="738140A7" w14:textId="77777777">
        <w:trPr>
          <w:trHeight w:val="246"/>
          <w:jc w:val="center"/>
        </w:trPr>
        <w:tc>
          <w:tcPr>
            <w:tcW w:w="5327" w:type="dxa"/>
            <w:shd w:val="clear" w:color="auto" w:fill="F2F2F2" w:themeFill="background1" w:themeFillShade="F2"/>
            <w:tcMar>
              <w:top w:w="60" w:type="dxa"/>
              <w:left w:w="120" w:type="dxa"/>
              <w:bottom w:w="60" w:type="dxa"/>
              <w:right w:w="120" w:type="dxa"/>
            </w:tcMar>
            <w:vAlign w:val="center"/>
          </w:tcPr>
          <w:p w:rsidRPr="00E52256" w:rsidR="002C46A8" w:rsidP="00E52256" w:rsidRDefault="002C46A8" w14:paraId="0DBC1167" w14:textId="77777777">
            <w:pPr>
              <w:spacing w:after="0" w:line="240" w:lineRule="auto"/>
              <w:jc w:val="center"/>
              <w:rPr>
                <w:rFonts w:ascii="Verdana" w:hAnsi="Verdana"/>
                <w:sz w:val="18"/>
                <w:szCs w:val="18"/>
              </w:rPr>
            </w:pPr>
            <w:r w:rsidRPr="00E52256">
              <w:rPr>
                <w:rFonts w:ascii="Verdana" w:hAnsi="Verdana"/>
                <w:sz w:val="18"/>
                <w:szCs w:val="18"/>
              </w:rPr>
              <w:t>CD Consultores Individuales (BID)</w:t>
            </w:r>
          </w:p>
        </w:tc>
        <w:tc>
          <w:tcPr>
            <w:tcW w:w="1663" w:type="dxa"/>
            <w:shd w:val="clear" w:color="auto" w:fill="F2F2F2" w:themeFill="background1" w:themeFillShade="F2"/>
            <w:tcMar>
              <w:top w:w="60" w:type="dxa"/>
              <w:left w:w="120" w:type="dxa"/>
              <w:bottom w:w="60" w:type="dxa"/>
              <w:right w:w="120" w:type="dxa"/>
            </w:tcMar>
            <w:vAlign w:val="center"/>
          </w:tcPr>
          <w:p w:rsidRPr="00E52256" w:rsidR="002C46A8" w:rsidP="00E52256" w:rsidRDefault="002C46A8" w14:paraId="02F45C30" w14:textId="77777777">
            <w:pPr>
              <w:spacing w:after="0" w:line="240" w:lineRule="auto"/>
              <w:jc w:val="center"/>
              <w:rPr>
                <w:rFonts w:ascii="Verdana" w:hAnsi="Verdana"/>
                <w:sz w:val="18"/>
                <w:szCs w:val="18"/>
              </w:rPr>
            </w:pPr>
            <w:r w:rsidRPr="00E52256">
              <w:rPr>
                <w:rFonts w:ascii="Verdana" w:hAnsi="Verdana"/>
                <w:sz w:val="18"/>
                <w:szCs w:val="18"/>
              </w:rPr>
              <w:t>14</w:t>
            </w:r>
          </w:p>
        </w:tc>
      </w:tr>
      <w:tr w:rsidRPr="00E52256" w:rsidR="002C46A8" w:rsidTr="00770ECF" w14:paraId="7F8B1C77" w14:textId="77777777">
        <w:trPr>
          <w:trHeight w:val="255"/>
          <w:jc w:val="center"/>
        </w:trPr>
        <w:tc>
          <w:tcPr>
            <w:tcW w:w="5327" w:type="dxa"/>
            <w:shd w:val="clear" w:color="auto" w:fill="FFFFFF" w:themeFill="background1"/>
            <w:tcMar>
              <w:top w:w="60" w:type="dxa"/>
              <w:left w:w="120" w:type="dxa"/>
              <w:bottom w:w="60" w:type="dxa"/>
              <w:right w:w="120" w:type="dxa"/>
            </w:tcMar>
            <w:vAlign w:val="center"/>
          </w:tcPr>
          <w:p w:rsidRPr="00E52256" w:rsidR="002C46A8" w:rsidP="00E52256" w:rsidRDefault="002C46A8" w14:paraId="409A2EBF" w14:textId="77777777">
            <w:pPr>
              <w:spacing w:after="0" w:line="240" w:lineRule="auto"/>
              <w:jc w:val="center"/>
              <w:rPr>
                <w:rFonts w:ascii="Verdana" w:hAnsi="Verdana"/>
                <w:sz w:val="18"/>
                <w:szCs w:val="18"/>
              </w:rPr>
            </w:pPr>
            <w:r w:rsidRPr="00E52256">
              <w:rPr>
                <w:rFonts w:ascii="Verdana" w:hAnsi="Verdana"/>
                <w:sz w:val="18"/>
                <w:szCs w:val="18"/>
              </w:rPr>
              <w:t>Consultores Individuales Comparación HV (BID)</w:t>
            </w:r>
          </w:p>
        </w:tc>
        <w:tc>
          <w:tcPr>
            <w:tcW w:w="1663" w:type="dxa"/>
            <w:shd w:val="clear" w:color="auto" w:fill="FFFFFF" w:themeFill="background1"/>
            <w:tcMar>
              <w:top w:w="60" w:type="dxa"/>
              <w:left w:w="120" w:type="dxa"/>
              <w:bottom w:w="60" w:type="dxa"/>
              <w:right w:w="120" w:type="dxa"/>
            </w:tcMar>
            <w:vAlign w:val="center"/>
          </w:tcPr>
          <w:p w:rsidRPr="00E52256" w:rsidR="002C46A8" w:rsidP="00E52256" w:rsidRDefault="002C46A8" w14:paraId="76002B54" w14:textId="77777777">
            <w:pPr>
              <w:spacing w:after="0" w:line="240" w:lineRule="auto"/>
              <w:jc w:val="center"/>
              <w:rPr>
                <w:rFonts w:ascii="Verdana" w:hAnsi="Verdana"/>
                <w:sz w:val="18"/>
                <w:szCs w:val="18"/>
              </w:rPr>
            </w:pPr>
            <w:r w:rsidRPr="00E52256">
              <w:rPr>
                <w:rFonts w:ascii="Verdana" w:hAnsi="Verdana"/>
                <w:sz w:val="18"/>
                <w:szCs w:val="18"/>
              </w:rPr>
              <w:t>12</w:t>
            </w:r>
          </w:p>
        </w:tc>
      </w:tr>
      <w:tr w:rsidRPr="00E52256" w:rsidR="002C46A8" w:rsidTr="00770ECF" w14:paraId="019F2785" w14:textId="77777777">
        <w:trPr>
          <w:trHeight w:val="255"/>
          <w:jc w:val="center"/>
        </w:trPr>
        <w:tc>
          <w:tcPr>
            <w:tcW w:w="5327" w:type="dxa"/>
            <w:shd w:val="clear" w:color="auto" w:fill="F2F2F2" w:themeFill="background1" w:themeFillShade="F2"/>
            <w:tcMar>
              <w:top w:w="60" w:type="dxa"/>
              <w:left w:w="120" w:type="dxa"/>
              <w:bottom w:w="60" w:type="dxa"/>
              <w:right w:w="120" w:type="dxa"/>
            </w:tcMar>
            <w:vAlign w:val="center"/>
          </w:tcPr>
          <w:p w:rsidRPr="00E52256" w:rsidR="002C46A8" w:rsidP="00E52256" w:rsidRDefault="002C46A8" w14:paraId="16CFF140" w14:textId="77777777">
            <w:pPr>
              <w:spacing w:after="0" w:line="240" w:lineRule="auto"/>
              <w:jc w:val="center"/>
              <w:rPr>
                <w:rFonts w:ascii="Verdana" w:hAnsi="Verdana"/>
                <w:sz w:val="18"/>
                <w:szCs w:val="18"/>
              </w:rPr>
            </w:pPr>
            <w:r w:rsidRPr="00E52256">
              <w:rPr>
                <w:rFonts w:ascii="Verdana" w:hAnsi="Verdana"/>
                <w:sz w:val="18"/>
                <w:szCs w:val="18"/>
              </w:rPr>
              <w:t>Concurso de Méritos Abierto</w:t>
            </w:r>
          </w:p>
        </w:tc>
        <w:tc>
          <w:tcPr>
            <w:tcW w:w="1663" w:type="dxa"/>
            <w:shd w:val="clear" w:color="auto" w:fill="F2F2F2" w:themeFill="background1" w:themeFillShade="F2"/>
            <w:tcMar>
              <w:top w:w="60" w:type="dxa"/>
              <w:left w:w="120" w:type="dxa"/>
              <w:bottom w:w="60" w:type="dxa"/>
              <w:right w:w="120" w:type="dxa"/>
            </w:tcMar>
            <w:vAlign w:val="center"/>
          </w:tcPr>
          <w:p w:rsidRPr="00E52256" w:rsidR="002C46A8" w:rsidP="00E52256" w:rsidRDefault="002C46A8" w14:paraId="4266ED01" w14:textId="77777777">
            <w:pPr>
              <w:spacing w:after="0" w:line="240" w:lineRule="auto"/>
              <w:jc w:val="center"/>
              <w:rPr>
                <w:rFonts w:ascii="Verdana" w:hAnsi="Verdana"/>
                <w:sz w:val="18"/>
                <w:szCs w:val="18"/>
              </w:rPr>
            </w:pPr>
            <w:r w:rsidRPr="00E52256">
              <w:rPr>
                <w:rFonts w:ascii="Verdana" w:hAnsi="Verdana"/>
                <w:sz w:val="18"/>
                <w:szCs w:val="18"/>
              </w:rPr>
              <w:t>10</w:t>
            </w:r>
          </w:p>
        </w:tc>
      </w:tr>
      <w:tr w:rsidRPr="00E52256" w:rsidR="002C46A8" w:rsidTr="00770ECF" w14:paraId="55C53BCF" w14:textId="77777777">
        <w:trPr>
          <w:trHeight w:val="255"/>
          <w:jc w:val="center"/>
        </w:trPr>
        <w:tc>
          <w:tcPr>
            <w:tcW w:w="5327" w:type="dxa"/>
            <w:shd w:val="clear" w:color="auto" w:fill="FFFFFF" w:themeFill="background1"/>
            <w:tcMar>
              <w:top w:w="60" w:type="dxa"/>
              <w:left w:w="120" w:type="dxa"/>
              <w:bottom w:w="60" w:type="dxa"/>
              <w:right w:w="120" w:type="dxa"/>
            </w:tcMar>
            <w:vAlign w:val="center"/>
          </w:tcPr>
          <w:p w:rsidRPr="00E52256" w:rsidR="002C46A8" w:rsidP="00E52256" w:rsidRDefault="002C46A8" w14:paraId="51BBB8DC" w14:textId="77777777">
            <w:pPr>
              <w:spacing w:after="0" w:line="240" w:lineRule="auto"/>
              <w:jc w:val="center"/>
              <w:rPr>
                <w:rFonts w:ascii="Verdana" w:hAnsi="Verdana"/>
                <w:sz w:val="18"/>
                <w:szCs w:val="18"/>
              </w:rPr>
            </w:pPr>
            <w:r w:rsidRPr="00E52256">
              <w:rPr>
                <w:rFonts w:ascii="Verdana" w:hAnsi="Verdana"/>
                <w:sz w:val="18"/>
                <w:szCs w:val="18"/>
              </w:rPr>
              <w:t>Selección Abreviada Acuerdo Marco de Precios</w:t>
            </w:r>
          </w:p>
        </w:tc>
        <w:tc>
          <w:tcPr>
            <w:tcW w:w="1663" w:type="dxa"/>
            <w:shd w:val="clear" w:color="auto" w:fill="FFFFFF" w:themeFill="background1"/>
            <w:tcMar>
              <w:top w:w="60" w:type="dxa"/>
              <w:left w:w="120" w:type="dxa"/>
              <w:bottom w:w="60" w:type="dxa"/>
              <w:right w:w="120" w:type="dxa"/>
            </w:tcMar>
            <w:vAlign w:val="center"/>
          </w:tcPr>
          <w:p w:rsidRPr="00E52256" w:rsidR="002C46A8" w:rsidP="00E52256" w:rsidRDefault="002C46A8" w14:paraId="29AFBBD2" w14:textId="77777777">
            <w:pPr>
              <w:spacing w:after="0" w:line="240" w:lineRule="auto"/>
              <w:jc w:val="center"/>
              <w:rPr>
                <w:rFonts w:ascii="Verdana" w:hAnsi="Verdana"/>
                <w:sz w:val="18"/>
                <w:szCs w:val="18"/>
              </w:rPr>
            </w:pPr>
            <w:r w:rsidRPr="00E52256">
              <w:rPr>
                <w:rFonts w:ascii="Verdana" w:hAnsi="Verdana"/>
                <w:sz w:val="18"/>
                <w:szCs w:val="18"/>
              </w:rPr>
              <w:t>9</w:t>
            </w:r>
          </w:p>
        </w:tc>
      </w:tr>
      <w:tr w:rsidRPr="00E52256" w:rsidR="002C46A8" w:rsidTr="00770ECF" w14:paraId="6DF20AD9" w14:textId="77777777">
        <w:trPr>
          <w:trHeight w:val="255"/>
          <w:jc w:val="center"/>
        </w:trPr>
        <w:tc>
          <w:tcPr>
            <w:tcW w:w="5327" w:type="dxa"/>
            <w:shd w:val="clear" w:color="auto" w:fill="F2F2F2" w:themeFill="background1" w:themeFillShade="F2"/>
            <w:tcMar>
              <w:top w:w="60" w:type="dxa"/>
              <w:left w:w="120" w:type="dxa"/>
              <w:bottom w:w="60" w:type="dxa"/>
              <w:right w:w="120" w:type="dxa"/>
            </w:tcMar>
            <w:vAlign w:val="center"/>
          </w:tcPr>
          <w:p w:rsidRPr="00E52256" w:rsidR="002C46A8" w:rsidP="00E52256" w:rsidRDefault="002C46A8" w14:paraId="0A9449D9" w14:textId="77777777">
            <w:pPr>
              <w:spacing w:after="0" w:line="240" w:lineRule="auto"/>
              <w:jc w:val="center"/>
              <w:rPr>
                <w:rFonts w:ascii="Verdana" w:hAnsi="Verdana"/>
                <w:sz w:val="18"/>
                <w:szCs w:val="18"/>
              </w:rPr>
            </w:pPr>
            <w:r w:rsidRPr="00E52256">
              <w:rPr>
                <w:rFonts w:ascii="Verdana" w:hAnsi="Verdana"/>
                <w:sz w:val="18"/>
                <w:szCs w:val="18"/>
              </w:rPr>
              <w:t>Comparación de Precios (BID)</w:t>
            </w:r>
          </w:p>
        </w:tc>
        <w:tc>
          <w:tcPr>
            <w:tcW w:w="1663" w:type="dxa"/>
            <w:shd w:val="clear" w:color="auto" w:fill="F2F2F2" w:themeFill="background1" w:themeFillShade="F2"/>
            <w:tcMar>
              <w:top w:w="60" w:type="dxa"/>
              <w:left w:w="120" w:type="dxa"/>
              <w:bottom w:w="60" w:type="dxa"/>
              <w:right w:w="120" w:type="dxa"/>
            </w:tcMar>
            <w:vAlign w:val="center"/>
          </w:tcPr>
          <w:p w:rsidRPr="00E52256" w:rsidR="002C46A8" w:rsidP="00E52256" w:rsidRDefault="002C46A8" w14:paraId="75E1AE8B" w14:textId="77777777">
            <w:pPr>
              <w:spacing w:after="0" w:line="240" w:lineRule="auto"/>
              <w:jc w:val="center"/>
              <w:rPr>
                <w:rFonts w:ascii="Verdana" w:hAnsi="Verdana"/>
                <w:sz w:val="18"/>
                <w:szCs w:val="18"/>
              </w:rPr>
            </w:pPr>
            <w:r w:rsidRPr="00E52256">
              <w:rPr>
                <w:rFonts w:ascii="Verdana" w:hAnsi="Verdana"/>
                <w:sz w:val="18"/>
                <w:szCs w:val="18"/>
              </w:rPr>
              <w:t>7</w:t>
            </w:r>
          </w:p>
        </w:tc>
      </w:tr>
      <w:tr w:rsidRPr="00E52256" w:rsidR="002C46A8" w:rsidTr="00770ECF" w14:paraId="3EAE3357" w14:textId="77777777">
        <w:trPr>
          <w:trHeight w:val="255"/>
          <w:jc w:val="center"/>
        </w:trPr>
        <w:tc>
          <w:tcPr>
            <w:tcW w:w="5327" w:type="dxa"/>
            <w:shd w:val="clear" w:color="auto" w:fill="FFFFFF" w:themeFill="background1"/>
            <w:tcMar>
              <w:top w:w="60" w:type="dxa"/>
              <w:left w:w="120" w:type="dxa"/>
              <w:bottom w:w="60" w:type="dxa"/>
              <w:right w:w="120" w:type="dxa"/>
            </w:tcMar>
            <w:vAlign w:val="center"/>
          </w:tcPr>
          <w:p w:rsidRPr="00E52256" w:rsidR="002C46A8" w:rsidP="00E52256" w:rsidRDefault="002C46A8" w14:paraId="79970683" w14:textId="77777777">
            <w:pPr>
              <w:spacing w:after="0" w:line="240" w:lineRule="auto"/>
              <w:jc w:val="center"/>
              <w:rPr>
                <w:rFonts w:ascii="Verdana" w:hAnsi="Verdana"/>
                <w:sz w:val="18"/>
                <w:szCs w:val="18"/>
              </w:rPr>
            </w:pPr>
            <w:r w:rsidRPr="00E52256">
              <w:rPr>
                <w:rFonts w:ascii="Verdana" w:hAnsi="Verdana"/>
                <w:sz w:val="18"/>
                <w:szCs w:val="18"/>
              </w:rPr>
              <w:t>Selección Abreviada / Subasta Inversa</w:t>
            </w:r>
          </w:p>
        </w:tc>
        <w:tc>
          <w:tcPr>
            <w:tcW w:w="1663" w:type="dxa"/>
            <w:shd w:val="clear" w:color="auto" w:fill="FFFFFF" w:themeFill="background1"/>
            <w:tcMar>
              <w:top w:w="60" w:type="dxa"/>
              <w:left w:w="120" w:type="dxa"/>
              <w:bottom w:w="60" w:type="dxa"/>
              <w:right w:w="120" w:type="dxa"/>
            </w:tcMar>
            <w:vAlign w:val="center"/>
          </w:tcPr>
          <w:p w:rsidRPr="00E52256" w:rsidR="002C46A8" w:rsidP="00E52256" w:rsidRDefault="002C46A8" w14:paraId="31E1CE25" w14:textId="77777777">
            <w:pPr>
              <w:spacing w:after="0" w:line="240" w:lineRule="auto"/>
              <w:jc w:val="center"/>
              <w:rPr>
                <w:rFonts w:ascii="Verdana" w:hAnsi="Verdana"/>
                <w:sz w:val="18"/>
                <w:szCs w:val="18"/>
              </w:rPr>
            </w:pPr>
            <w:r w:rsidRPr="00E52256">
              <w:rPr>
                <w:rFonts w:ascii="Verdana" w:hAnsi="Verdana"/>
                <w:sz w:val="18"/>
                <w:szCs w:val="18"/>
              </w:rPr>
              <w:t>7</w:t>
            </w:r>
          </w:p>
        </w:tc>
      </w:tr>
      <w:tr w:rsidRPr="00E52256" w:rsidR="002C46A8" w:rsidTr="00770ECF" w14:paraId="0CA36E84" w14:textId="77777777">
        <w:trPr>
          <w:trHeight w:val="246"/>
          <w:jc w:val="center"/>
        </w:trPr>
        <w:tc>
          <w:tcPr>
            <w:tcW w:w="5327" w:type="dxa"/>
            <w:shd w:val="clear" w:color="auto" w:fill="F2F2F2" w:themeFill="background1" w:themeFillShade="F2"/>
            <w:tcMar>
              <w:top w:w="60" w:type="dxa"/>
              <w:left w:w="120" w:type="dxa"/>
              <w:bottom w:w="60" w:type="dxa"/>
              <w:right w:w="120" w:type="dxa"/>
            </w:tcMar>
            <w:vAlign w:val="center"/>
          </w:tcPr>
          <w:p w:rsidRPr="00E52256" w:rsidR="002C46A8" w:rsidP="00E52256" w:rsidRDefault="002C46A8" w14:paraId="3BF4588A" w14:textId="77777777">
            <w:pPr>
              <w:spacing w:after="0" w:line="240" w:lineRule="auto"/>
              <w:jc w:val="center"/>
              <w:rPr>
                <w:rFonts w:ascii="Verdana" w:hAnsi="Verdana"/>
                <w:sz w:val="18"/>
                <w:szCs w:val="18"/>
              </w:rPr>
            </w:pPr>
            <w:r w:rsidRPr="00E52256">
              <w:rPr>
                <w:rFonts w:ascii="Verdana" w:hAnsi="Verdana"/>
                <w:sz w:val="18"/>
                <w:szCs w:val="18"/>
              </w:rPr>
              <w:t>Otras modalidades</w:t>
            </w:r>
          </w:p>
        </w:tc>
        <w:tc>
          <w:tcPr>
            <w:tcW w:w="1663" w:type="dxa"/>
            <w:shd w:val="clear" w:color="auto" w:fill="F2F2F2" w:themeFill="background1" w:themeFillShade="F2"/>
            <w:tcMar>
              <w:top w:w="60" w:type="dxa"/>
              <w:left w:w="120" w:type="dxa"/>
              <w:bottom w:w="60" w:type="dxa"/>
              <w:right w:w="120" w:type="dxa"/>
            </w:tcMar>
            <w:vAlign w:val="center"/>
          </w:tcPr>
          <w:p w:rsidRPr="00E52256" w:rsidR="002C46A8" w:rsidP="00E52256" w:rsidRDefault="002C46A8" w14:paraId="27F567FF" w14:textId="77777777">
            <w:pPr>
              <w:spacing w:after="0" w:line="240" w:lineRule="auto"/>
              <w:jc w:val="center"/>
              <w:rPr>
                <w:rFonts w:ascii="Verdana" w:hAnsi="Verdana"/>
                <w:sz w:val="18"/>
                <w:szCs w:val="18"/>
              </w:rPr>
            </w:pPr>
            <w:r w:rsidRPr="00E52256">
              <w:rPr>
                <w:rFonts w:ascii="Verdana" w:hAnsi="Verdana"/>
                <w:sz w:val="18"/>
                <w:szCs w:val="18"/>
              </w:rPr>
              <w:t>15</w:t>
            </w:r>
          </w:p>
        </w:tc>
      </w:tr>
    </w:tbl>
    <w:p w:rsidRPr="00E52256" w:rsidR="002C46A8" w:rsidP="00E52256" w:rsidRDefault="002C46A8" w14:paraId="74D37F5D" w14:textId="77777777">
      <w:pPr>
        <w:spacing w:after="0" w:line="240" w:lineRule="auto"/>
        <w:jc w:val="center"/>
        <w:rPr>
          <w:rFonts w:ascii="Verdana" w:hAnsi="Verdana"/>
          <w:sz w:val="18"/>
          <w:szCs w:val="18"/>
        </w:rPr>
      </w:pPr>
      <w:r w:rsidRPr="00E52256">
        <w:rPr>
          <w:rFonts w:ascii="Verdana" w:hAnsi="Verdana"/>
          <w:sz w:val="18"/>
          <w:szCs w:val="18"/>
        </w:rPr>
        <w:t>Fuente: Plataforma NEON y SECOP II.</w:t>
      </w:r>
    </w:p>
    <w:p w:rsidR="00E52256" w:rsidP="006A0A13" w:rsidRDefault="00E52256" w14:paraId="70CA0293" w14:textId="77777777">
      <w:pPr>
        <w:spacing w:after="0" w:line="360" w:lineRule="auto"/>
        <w:jc w:val="both"/>
        <w:rPr>
          <w:rFonts w:ascii="Verdana" w:hAnsi="Verdana"/>
          <w:sz w:val="24"/>
          <w:szCs w:val="24"/>
        </w:rPr>
      </w:pPr>
    </w:p>
    <w:p w:rsidRPr="00C140A0" w:rsidR="002C46A8" w:rsidP="006A0A13" w:rsidRDefault="002C46A8" w14:paraId="10D1C1E8" w14:textId="77777777">
      <w:pPr>
        <w:spacing w:after="0" w:line="360" w:lineRule="auto"/>
        <w:jc w:val="both"/>
        <w:rPr>
          <w:rFonts w:ascii="Verdana" w:hAnsi="Verdana"/>
          <w:sz w:val="24"/>
          <w:szCs w:val="24"/>
        </w:rPr>
      </w:pPr>
      <w:r w:rsidRPr="30CF4445" w:rsidR="6BD245D0">
        <w:rPr>
          <w:rFonts w:ascii="Verdana" w:hAnsi="Verdana"/>
          <w:sz w:val="24"/>
          <w:szCs w:val="24"/>
        </w:rPr>
        <w:t xml:space="preserve">La gestión desarrollada para este año destaca una </w:t>
      </w:r>
      <w:commentRangeStart w:id="1800106833"/>
      <w:r w:rsidRPr="30CF4445" w:rsidR="6BD245D0">
        <w:rPr>
          <w:rFonts w:ascii="Verdana" w:hAnsi="Verdana"/>
          <w:sz w:val="24"/>
          <w:szCs w:val="24"/>
        </w:rPr>
        <w:t>contratación enfocada al cumplimiento misional de la presente cartera enfocada</w:t>
      </w:r>
      <w:commentRangeEnd w:id="1800106833"/>
      <w:r>
        <w:rPr>
          <w:rStyle w:val="CommentReference"/>
        </w:rPr>
        <w:commentReference w:id="1800106833"/>
      </w:r>
      <w:r w:rsidRPr="30CF4445" w:rsidR="6BD245D0">
        <w:rPr>
          <w:rFonts w:ascii="Verdana" w:hAnsi="Verdana"/>
          <w:sz w:val="24"/>
          <w:szCs w:val="24"/>
        </w:rPr>
        <w:t xml:space="preserve"> al Plan Nacional de Desarrollo – PND, de conformidad con las necesidades reflejadas en el PAA-2023 por cada una de las dependencias. </w:t>
      </w:r>
    </w:p>
    <w:p w:rsidR="00B91FF3" w:rsidP="006A0A13" w:rsidRDefault="00B91FF3" w14:paraId="5A08A889" w14:textId="77777777">
      <w:pPr>
        <w:spacing w:after="0" w:line="360" w:lineRule="auto"/>
        <w:jc w:val="both"/>
        <w:rPr>
          <w:rFonts w:ascii="Verdana" w:hAnsi="Verdana"/>
          <w:sz w:val="24"/>
          <w:szCs w:val="24"/>
        </w:rPr>
      </w:pPr>
    </w:p>
    <w:p w:rsidRPr="00B91FF3" w:rsidR="002C46A8" w:rsidP="006A0A13" w:rsidRDefault="002C46A8" w14:paraId="19368602" w14:textId="77777777">
      <w:pPr>
        <w:spacing w:after="0" w:line="360" w:lineRule="auto"/>
        <w:jc w:val="both"/>
        <w:rPr>
          <w:rFonts w:ascii="Verdana" w:hAnsi="Verdana"/>
          <w:b/>
          <w:bCs/>
          <w:sz w:val="24"/>
          <w:szCs w:val="24"/>
        </w:rPr>
      </w:pPr>
      <w:r w:rsidRPr="00B91FF3">
        <w:rPr>
          <w:rFonts w:ascii="Verdana" w:hAnsi="Verdana"/>
          <w:b/>
          <w:bCs/>
          <w:sz w:val="24"/>
          <w:szCs w:val="24"/>
        </w:rPr>
        <w:t>VIGENCIA 2024</w:t>
      </w:r>
    </w:p>
    <w:p w:rsidR="00B91FF3" w:rsidP="006A0A13" w:rsidRDefault="00B91FF3" w14:paraId="5BBFC654" w14:textId="77777777">
      <w:pPr>
        <w:spacing w:after="0" w:line="360" w:lineRule="auto"/>
        <w:jc w:val="both"/>
        <w:rPr>
          <w:rFonts w:ascii="Verdana" w:hAnsi="Verdana"/>
          <w:sz w:val="24"/>
          <w:szCs w:val="24"/>
        </w:rPr>
      </w:pPr>
    </w:p>
    <w:p w:rsidRPr="00C140A0" w:rsidR="002C46A8" w:rsidP="006A0A13" w:rsidRDefault="002C46A8" w14:paraId="672868EB" w14:textId="77777777">
      <w:pPr>
        <w:spacing w:after="0" w:line="360" w:lineRule="auto"/>
        <w:jc w:val="both"/>
        <w:rPr>
          <w:rFonts w:ascii="Verdana" w:hAnsi="Verdana"/>
          <w:sz w:val="24"/>
          <w:szCs w:val="24"/>
        </w:rPr>
      </w:pPr>
      <w:r w:rsidRPr="00C140A0">
        <w:rPr>
          <w:rFonts w:ascii="Verdana" w:hAnsi="Verdana"/>
          <w:sz w:val="24"/>
          <w:szCs w:val="24"/>
        </w:rPr>
        <w:t>Total de contratos: 1.391</w:t>
      </w:r>
    </w:p>
    <w:p w:rsidRPr="00C140A0" w:rsidR="002C46A8" w:rsidP="006A0A13" w:rsidRDefault="403F1154" w14:paraId="144DE880" w14:textId="77777777">
      <w:pPr>
        <w:spacing w:after="0" w:line="360" w:lineRule="auto"/>
        <w:jc w:val="both"/>
        <w:rPr>
          <w:rFonts w:ascii="Verdana" w:hAnsi="Verdana"/>
          <w:sz w:val="24"/>
          <w:szCs w:val="24"/>
        </w:rPr>
      </w:pPr>
      <w:r w:rsidRPr="180099B3">
        <w:rPr>
          <w:rFonts w:ascii="Verdana" w:hAnsi="Verdana"/>
          <w:sz w:val="24"/>
          <w:szCs w:val="24"/>
        </w:rPr>
        <w:t>Valor total contratado: $631.37 mil millones</w:t>
      </w:r>
    </w:p>
    <w:p w:rsidR="180099B3" w:rsidP="006A0A13" w:rsidRDefault="180099B3" w14:paraId="0BDD23E9" w14:textId="77777777">
      <w:pPr>
        <w:spacing w:after="0" w:line="360" w:lineRule="auto"/>
        <w:jc w:val="both"/>
        <w:rPr>
          <w:rFonts w:ascii="Verdana" w:hAnsi="Verdana"/>
          <w:sz w:val="24"/>
          <w:szCs w:val="24"/>
        </w:rPr>
      </w:pPr>
    </w:p>
    <w:p w:rsidRPr="00E52256" w:rsidR="002C46A8" w:rsidP="180099B3" w:rsidRDefault="403F1154" w14:paraId="3DB757F8" w14:textId="77777777">
      <w:pPr>
        <w:pStyle w:val="Descripcin"/>
        <w:spacing w:after="0"/>
        <w:jc w:val="center"/>
        <w:rPr>
          <w:rFonts w:ascii="Verdana" w:hAnsi="Verdana"/>
          <w:b/>
          <w:bCs/>
          <w:i w:val="0"/>
          <w:iCs w:val="0"/>
          <w:color w:val="auto"/>
        </w:rPr>
      </w:pPr>
      <w:r w:rsidRPr="180099B3">
        <w:rPr>
          <w:rFonts w:ascii="Verdana" w:hAnsi="Verdana"/>
          <w:i w:val="0"/>
          <w:iCs w:val="0"/>
          <w:color w:val="auto"/>
        </w:rPr>
        <w:t>Tabla</w:t>
      </w:r>
      <w:r w:rsidRPr="180099B3" w:rsidR="5D6DC1CB">
        <w:rPr>
          <w:rFonts w:ascii="Verdana" w:hAnsi="Verdana"/>
          <w:i w:val="0"/>
          <w:iCs w:val="0"/>
          <w:color w:val="auto"/>
        </w:rPr>
        <w:t xml:space="preserve"> No. 5</w:t>
      </w:r>
      <w:r w:rsidRPr="180099B3" w:rsidR="5D010246">
        <w:rPr>
          <w:rFonts w:ascii="Verdana" w:hAnsi="Verdana"/>
          <w:i w:val="0"/>
          <w:iCs w:val="0"/>
          <w:color w:val="auto"/>
        </w:rPr>
        <w:t>6</w:t>
      </w:r>
      <w:r w:rsidRPr="180099B3">
        <w:rPr>
          <w:rFonts w:ascii="Verdana" w:hAnsi="Verdana"/>
          <w:i w:val="0"/>
          <w:iCs w:val="0"/>
          <w:color w:val="auto"/>
        </w:rPr>
        <w:t>. Vigencia 2024</w:t>
      </w:r>
    </w:p>
    <w:tbl>
      <w:tblPr>
        <w:tblW w:w="662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 w:type="dxa"/>
          <w:right w:w="10" w:type="dxa"/>
        </w:tblCellMar>
        <w:tblLook w:val="0000" w:firstRow="0" w:lastRow="0" w:firstColumn="0" w:lastColumn="0" w:noHBand="0" w:noVBand="0"/>
      </w:tblPr>
      <w:tblGrid>
        <w:gridCol w:w="5047"/>
        <w:gridCol w:w="1576"/>
      </w:tblGrid>
      <w:tr w:rsidRPr="00E52256" w:rsidR="002C46A8" w:rsidTr="00770ECF" w14:paraId="5F2304E9" w14:textId="77777777">
        <w:trPr>
          <w:trHeight w:val="194"/>
          <w:tblHeader/>
          <w:jc w:val="center"/>
        </w:trPr>
        <w:tc>
          <w:tcPr>
            <w:tcW w:w="5047" w:type="dxa"/>
            <w:shd w:val="clear" w:color="auto" w:fill="A6A6A6" w:themeFill="background1" w:themeFillShade="A6"/>
            <w:tcMar>
              <w:top w:w="80" w:type="dxa"/>
              <w:left w:w="120" w:type="dxa"/>
              <w:bottom w:w="80" w:type="dxa"/>
              <w:right w:w="120" w:type="dxa"/>
            </w:tcMar>
            <w:vAlign w:val="center"/>
          </w:tcPr>
          <w:p w:rsidRPr="00E52256" w:rsidR="002C46A8" w:rsidP="00E52256" w:rsidRDefault="002C46A8" w14:paraId="3DB69305" w14:textId="77777777">
            <w:pPr>
              <w:spacing w:after="0" w:line="240" w:lineRule="auto"/>
              <w:jc w:val="center"/>
              <w:rPr>
                <w:rFonts w:ascii="Verdana" w:hAnsi="Verdana"/>
                <w:b/>
                <w:bCs/>
                <w:sz w:val="18"/>
                <w:szCs w:val="18"/>
              </w:rPr>
            </w:pPr>
            <w:r w:rsidRPr="00E52256">
              <w:rPr>
                <w:rFonts w:ascii="Verdana" w:hAnsi="Verdana"/>
                <w:b/>
                <w:bCs/>
                <w:sz w:val="18"/>
                <w:szCs w:val="18"/>
              </w:rPr>
              <w:t>Modalidad de Contratación</w:t>
            </w:r>
          </w:p>
        </w:tc>
        <w:tc>
          <w:tcPr>
            <w:tcW w:w="1576" w:type="dxa"/>
            <w:shd w:val="clear" w:color="auto" w:fill="A6A6A6" w:themeFill="background1" w:themeFillShade="A6"/>
            <w:tcMar>
              <w:top w:w="80" w:type="dxa"/>
              <w:left w:w="120" w:type="dxa"/>
              <w:bottom w:w="80" w:type="dxa"/>
              <w:right w:w="120" w:type="dxa"/>
            </w:tcMar>
            <w:vAlign w:val="center"/>
          </w:tcPr>
          <w:p w:rsidRPr="00E52256" w:rsidR="002C46A8" w:rsidP="00E52256" w:rsidRDefault="002C46A8" w14:paraId="2032FD10" w14:textId="77777777">
            <w:pPr>
              <w:spacing w:after="0" w:line="240" w:lineRule="auto"/>
              <w:jc w:val="center"/>
              <w:rPr>
                <w:rFonts w:ascii="Verdana" w:hAnsi="Verdana"/>
                <w:b/>
                <w:bCs/>
                <w:sz w:val="18"/>
                <w:szCs w:val="18"/>
              </w:rPr>
            </w:pPr>
            <w:r w:rsidRPr="00E52256">
              <w:rPr>
                <w:rFonts w:ascii="Verdana" w:hAnsi="Verdana"/>
                <w:b/>
                <w:bCs/>
                <w:sz w:val="18"/>
                <w:szCs w:val="18"/>
              </w:rPr>
              <w:t>Contratos</w:t>
            </w:r>
          </w:p>
        </w:tc>
      </w:tr>
      <w:tr w:rsidRPr="00E52256" w:rsidR="002C46A8" w:rsidTr="00770ECF" w14:paraId="5A130E24" w14:textId="77777777">
        <w:trPr>
          <w:trHeight w:val="194"/>
          <w:jc w:val="center"/>
        </w:trPr>
        <w:tc>
          <w:tcPr>
            <w:tcW w:w="5047" w:type="dxa"/>
            <w:shd w:val="clear" w:color="auto" w:fill="FFFFFF" w:themeFill="background1"/>
            <w:tcMar>
              <w:top w:w="60" w:type="dxa"/>
              <w:left w:w="120" w:type="dxa"/>
              <w:bottom w:w="60" w:type="dxa"/>
              <w:right w:w="120" w:type="dxa"/>
            </w:tcMar>
            <w:vAlign w:val="center"/>
          </w:tcPr>
          <w:p w:rsidRPr="00E52256" w:rsidR="002C46A8" w:rsidP="00E52256" w:rsidRDefault="002C46A8" w14:paraId="5D803E07" w14:textId="77777777">
            <w:pPr>
              <w:spacing w:after="0" w:line="240" w:lineRule="auto"/>
              <w:jc w:val="center"/>
              <w:rPr>
                <w:rFonts w:ascii="Verdana" w:hAnsi="Verdana"/>
                <w:sz w:val="18"/>
                <w:szCs w:val="18"/>
              </w:rPr>
            </w:pPr>
            <w:r w:rsidRPr="00E52256">
              <w:rPr>
                <w:rFonts w:ascii="Verdana" w:hAnsi="Verdana"/>
                <w:sz w:val="18"/>
                <w:szCs w:val="18"/>
              </w:rPr>
              <w:t>CD Servicios Profesionales y Apoyo a la Gestión</w:t>
            </w:r>
          </w:p>
        </w:tc>
        <w:tc>
          <w:tcPr>
            <w:tcW w:w="1576" w:type="dxa"/>
            <w:shd w:val="clear" w:color="auto" w:fill="FFFFFF" w:themeFill="background1"/>
            <w:tcMar>
              <w:top w:w="60" w:type="dxa"/>
              <w:left w:w="120" w:type="dxa"/>
              <w:bottom w:w="60" w:type="dxa"/>
              <w:right w:w="120" w:type="dxa"/>
            </w:tcMar>
            <w:vAlign w:val="center"/>
          </w:tcPr>
          <w:p w:rsidRPr="00E52256" w:rsidR="002C46A8" w:rsidP="00E52256" w:rsidRDefault="002C46A8" w14:paraId="1BD87527" w14:textId="77777777">
            <w:pPr>
              <w:spacing w:after="0" w:line="240" w:lineRule="auto"/>
              <w:jc w:val="center"/>
              <w:rPr>
                <w:rFonts w:ascii="Verdana" w:hAnsi="Verdana"/>
                <w:sz w:val="18"/>
                <w:szCs w:val="18"/>
              </w:rPr>
            </w:pPr>
            <w:r w:rsidRPr="00E52256">
              <w:rPr>
                <w:rFonts w:ascii="Verdana" w:hAnsi="Verdana"/>
                <w:sz w:val="18"/>
                <w:szCs w:val="18"/>
              </w:rPr>
              <w:t>1.237</w:t>
            </w:r>
          </w:p>
        </w:tc>
      </w:tr>
      <w:tr w:rsidRPr="00E52256" w:rsidR="002C46A8" w:rsidTr="00770ECF" w14:paraId="6462A6E0" w14:textId="77777777">
        <w:trPr>
          <w:trHeight w:val="188"/>
          <w:jc w:val="center"/>
        </w:trPr>
        <w:tc>
          <w:tcPr>
            <w:tcW w:w="5047" w:type="dxa"/>
            <w:shd w:val="clear" w:color="auto" w:fill="F2F2F2" w:themeFill="background1" w:themeFillShade="F2"/>
            <w:tcMar>
              <w:top w:w="60" w:type="dxa"/>
              <w:left w:w="120" w:type="dxa"/>
              <w:bottom w:w="60" w:type="dxa"/>
              <w:right w:w="120" w:type="dxa"/>
            </w:tcMar>
            <w:vAlign w:val="center"/>
          </w:tcPr>
          <w:p w:rsidRPr="00E52256" w:rsidR="002C46A8" w:rsidP="00E52256" w:rsidRDefault="002C46A8" w14:paraId="28126507" w14:textId="77777777">
            <w:pPr>
              <w:spacing w:after="0" w:line="240" w:lineRule="auto"/>
              <w:jc w:val="center"/>
              <w:rPr>
                <w:rFonts w:ascii="Verdana" w:hAnsi="Verdana"/>
                <w:sz w:val="18"/>
                <w:szCs w:val="18"/>
              </w:rPr>
            </w:pPr>
            <w:r w:rsidRPr="00E52256">
              <w:rPr>
                <w:rFonts w:ascii="Verdana" w:hAnsi="Verdana"/>
                <w:sz w:val="18"/>
                <w:szCs w:val="18"/>
              </w:rPr>
              <w:t>Contratación Directa</w:t>
            </w:r>
          </w:p>
        </w:tc>
        <w:tc>
          <w:tcPr>
            <w:tcW w:w="1576" w:type="dxa"/>
            <w:shd w:val="clear" w:color="auto" w:fill="F2F2F2" w:themeFill="background1" w:themeFillShade="F2"/>
            <w:tcMar>
              <w:top w:w="60" w:type="dxa"/>
              <w:left w:w="120" w:type="dxa"/>
              <w:bottom w:w="60" w:type="dxa"/>
              <w:right w:w="120" w:type="dxa"/>
            </w:tcMar>
            <w:vAlign w:val="center"/>
          </w:tcPr>
          <w:p w:rsidRPr="00E52256" w:rsidR="002C46A8" w:rsidP="00E52256" w:rsidRDefault="002C46A8" w14:paraId="64BA913C" w14:textId="77777777">
            <w:pPr>
              <w:spacing w:after="0" w:line="240" w:lineRule="auto"/>
              <w:jc w:val="center"/>
              <w:rPr>
                <w:rFonts w:ascii="Verdana" w:hAnsi="Verdana"/>
                <w:sz w:val="18"/>
                <w:szCs w:val="18"/>
              </w:rPr>
            </w:pPr>
            <w:r w:rsidRPr="00E52256">
              <w:rPr>
                <w:rFonts w:ascii="Verdana" w:hAnsi="Verdana"/>
                <w:sz w:val="18"/>
                <w:szCs w:val="18"/>
              </w:rPr>
              <w:t>106</w:t>
            </w:r>
          </w:p>
        </w:tc>
      </w:tr>
      <w:tr w:rsidRPr="00E52256" w:rsidR="002C46A8" w:rsidTr="00770ECF" w14:paraId="1D4D5773" w14:textId="77777777">
        <w:trPr>
          <w:trHeight w:val="194"/>
          <w:jc w:val="center"/>
        </w:trPr>
        <w:tc>
          <w:tcPr>
            <w:tcW w:w="5047" w:type="dxa"/>
            <w:shd w:val="clear" w:color="auto" w:fill="FFFFFF" w:themeFill="background1"/>
            <w:tcMar>
              <w:top w:w="60" w:type="dxa"/>
              <w:left w:w="120" w:type="dxa"/>
              <w:bottom w:w="60" w:type="dxa"/>
              <w:right w:w="120" w:type="dxa"/>
            </w:tcMar>
            <w:vAlign w:val="center"/>
          </w:tcPr>
          <w:p w:rsidRPr="00E52256" w:rsidR="002C46A8" w:rsidP="00E52256" w:rsidRDefault="002C46A8" w14:paraId="37A8D7C9" w14:textId="77777777">
            <w:pPr>
              <w:spacing w:after="0" w:line="240" w:lineRule="auto"/>
              <w:jc w:val="center"/>
              <w:rPr>
                <w:rFonts w:ascii="Verdana" w:hAnsi="Verdana"/>
                <w:sz w:val="18"/>
                <w:szCs w:val="18"/>
              </w:rPr>
            </w:pPr>
            <w:r w:rsidRPr="00E52256">
              <w:rPr>
                <w:rFonts w:ascii="Verdana" w:hAnsi="Verdana"/>
                <w:sz w:val="18"/>
                <w:szCs w:val="18"/>
              </w:rPr>
              <w:t>Mínima Cuantía</w:t>
            </w:r>
          </w:p>
        </w:tc>
        <w:tc>
          <w:tcPr>
            <w:tcW w:w="1576" w:type="dxa"/>
            <w:shd w:val="clear" w:color="auto" w:fill="FFFFFF" w:themeFill="background1"/>
            <w:tcMar>
              <w:top w:w="60" w:type="dxa"/>
              <w:left w:w="120" w:type="dxa"/>
              <w:bottom w:w="60" w:type="dxa"/>
              <w:right w:w="120" w:type="dxa"/>
            </w:tcMar>
            <w:vAlign w:val="center"/>
          </w:tcPr>
          <w:p w:rsidRPr="00E52256" w:rsidR="002C46A8" w:rsidP="00E52256" w:rsidRDefault="002C46A8" w14:paraId="636B0FE3" w14:textId="77777777">
            <w:pPr>
              <w:spacing w:after="0" w:line="240" w:lineRule="auto"/>
              <w:jc w:val="center"/>
              <w:rPr>
                <w:rFonts w:ascii="Verdana" w:hAnsi="Verdana"/>
                <w:sz w:val="18"/>
                <w:szCs w:val="18"/>
              </w:rPr>
            </w:pPr>
            <w:r w:rsidRPr="00E52256">
              <w:rPr>
                <w:rFonts w:ascii="Verdana" w:hAnsi="Verdana"/>
                <w:sz w:val="18"/>
                <w:szCs w:val="18"/>
              </w:rPr>
              <w:t>20</w:t>
            </w:r>
          </w:p>
        </w:tc>
      </w:tr>
      <w:tr w:rsidRPr="00E52256" w:rsidR="002C46A8" w:rsidTr="00770ECF" w14:paraId="09F072C1" w14:textId="77777777">
        <w:trPr>
          <w:trHeight w:val="194"/>
          <w:jc w:val="center"/>
        </w:trPr>
        <w:tc>
          <w:tcPr>
            <w:tcW w:w="5047" w:type="dxa"/>
            <w:shd w:val="clear" w:color="auto" w:fill="F2F2F2" w:themeFill="background1" w:themeFillShade="F2"/>
            <w:tcMar>
              <w:top w:w="60" w:type="dxa"/>
              <w:left w:w="120" w:type="dxa"/>
              <w:bottom w:w="60" w:type="dxa"/>
              <w:right w:w="120" w:type="dxa"/>
            </w:tcMar>
            <w:vAlign w:val="center"/>
          </w:tcPr>
          <w:p w:rsidRPr="00E52256" w:rsidR="002C46A8" w:rsidP="00E52256" w:rsidRDefault="002C46A8" w14:paraId="3B20A467" w14:textId="77777777">
            <w:pPr>
              <w:spacing w:after="0" w:line="240" w:lineRule="auto"/>
              <w:jc w:val="center"/>
              <w:rPr>
                <w:rFonts w:ascii="Verdana" w:hAnsi="Verdana"/>
                <w:sz w:val="18"/>
                <w:szCs w:val="18"/>
              </w:rPr>
            </w:pPr>
            <w:r w:rsidRPr="00E52256">
              <w:rPr>
                <w:rFonts w:ascii="Verdana" w:hAnsi="Verdana"/>
                <w:sz w:val="18"/>
                <w:szCs w:val="18"/>
              </w:rPr>
              <w:t>Concurso de Méritos Abierto</w:t>
            </w:r>
          </w:p>
        </w:tc>
        <w:tc>
          <w:tcPr>
            <w:tcW w:w="1576" w:type="dxa"/>
            <w:shd w:val="clear" w:color="auto" w:fill="F2F2F2" w:themeFill="background1" w:themeFillShade="F2"/>
            <w:tcMar>
              <w:top w:w="60" w:type="dxa"/>
              <w:left w:w="120" w:type="dxa"/>
              <w:bottom w:w="60" w:type="dxa"/>
              <w:right w:w="120" w:type="dxa"/>
            </w:tcMar>
            <w:vAlign w:val="center"/>
          </w:tcPr>
          <w:p w:rsidRPr="00E52256" w:rsidR="002C46A8" w:rsidP="00E52256" w:rsidRDefault="002C46A8" w14:paraId="6E4FE426" w14:textId="77777777">
            <w:pPr>
              <w:spacing w:after="0" w:line="240" w:lineRule="auto"/>
              <w:jc w:val="center"/>
              <w:rPr>
                <w:rFonts w:ascii="Verdana" w:hAnsi="Verdana"/>
                <w:sz w:val="18"/>
                <w:szCs w:val="18"/>
              </w:rPr>
            </w:pPr>
            <w:r w:rsidRPr="00E52256">
              <w:rPr>
                <w:rFonts w:ascii="Verdana" w:hAnsi="Verdana"/>
                <w:sz w:val="18"/>
                <w:szCs w:val="18"/>
              </w:rPr>
              <w:t>10</w:t>
            </w:r>
          </w:p>
        </w:tc>
      </w:tr>
      <w:tr w:rsidRPr="00E52256" w:rsidR="002C46A8" w:rsidTr="00770ECF" w14:paraId="0927B950" w14:textId="77777777">
        <w:trPr>
          <w:trHeight w:val="194"/>
          <w:jc w:val="center"/>
        </w:trPr>
        <w:tc>
          <w:tcPr>
            <w:tcW w:w="5047" w:type="dxa"/>
            <w:shd w:val="clear" w:color="auto" w:fill="FFFFFF" w:themeFill="background1"/>
            <w:tcMar>
              <w:top w:w="60" w:type="dxa"/>
              <w:left w:w="120" w:type="dxa"/>
              <w:bottom w:w="60" w:type="dxa"/>
              <w:right w:w="120" w:type="dxa"/>
            </w:tcMar>
            <w:vAlign w:val="center"/>
          </w:tcPr>
          <w:p w:rsidRPr="00E52256" w:rsidR="002C46A8" w:rsidP="00E52256" w:rsidRDefault="002C46A8" w14:paraId="686F0DC8" w14:textId="77777777">
            <w:pPr>
              <w:spacing w:after="0" w:line="240" w:lineRule="auto"/>
              <w:jc w:val="center"/>
              <w:rPr>
                <w:rFonts w:ascii="Verdana" w:hAnsi="Verdana"/>
                <w:sz w:val="18"/>
                <w:szCs w:val="18"/>
              </w:rPr>
            </w:pPr>
            <w:r w:rsidRPr="00E52256">
              <w:rPr>
                <w:rFonts w:ascii="Verdana" w:hAnsi="Verdana"/>
                <w:sz w:val="18"/>
                <w:szCs w:val="18"/>
              </w:rPr>
              <w:t>Selección Abreviada / Subasta Inversa</w:t>
            </w:r>
          </w:p>
        </w:tc>
        <w:tc>
          <w:tcPr>
            <w:tcW w:w="1576" w:type="dxa"/>
            <w:shd w:val="clear" w:color="auto" w:fill="FFFFFF" w:themeFill="background1"/>
            <w:tcMar>
              <w:top w:w="60" w:type="dxa"/>
              <w:left w:w="120" w:type="dxa"/>
              <w:bottom w:w="60" w:type="dxa"/>
              <w:right w:w="120" w:type="dxa"/>
            </w:tcMar>
            <w:vAlign w:val="center"/>
          </w:tcPr>
          <w:p w:rsidRPr="00E52256" w:rsidR="002C46A8" w:rsidP="00E52256" w:rsidRDefault="002C46A8" w14:paraId="0770B04A" w14:textId="77777777">
            <w:pPr>
              <w:spacing w:after="0" w:line="240" w:lineRule="auto"/>
              <w:jc w:val="center"/>
              <w:rPr>
                <w:rFonts w:ascii="Verdana" w:hAnsi="Verdana"/>
                <w:sz w:val="18"/>
                <w:szCs w:val="18"/>
              </w:rPr>
            </w:pPr>
            <w:r w:rsidRPr="00E52256">
              <w:rPr>
                <w:rFonts w:ascii="Verdana" w:hAnsi="Verdana"/>
                <w:sz w:val="18"/>
                <w:szCs w:val="18"/>
              </w:rPr>
              <w:t>8</w:t>
            </w:r>
          </w:p>
        </w:tc>
      </w:tr>
      <w:tr w:rsidRPr="00E52256" w:rsidR="002C46A8" w:rsidTr="00770ECF" w14:paraId="49335C8F" w14:textId="77777777">
        <w:trPr>
          <w:trHeight w:val="188"/>
          <w:jc w:val="center"/>
        </w:trPr>
        <w:tc>
          <w:tcPr>
            <w:tcW w:w="5047" w:type="dxa"/>
            <w:shd w:val="clear" w:color="auto" w:fill="F2F2F2" w:themeFill="background1" w:themeFillShade="F2"/>
            <w:tcMar>
              <w:top w:w="60" w:type="dxa"/>
              <w:left w:w="120" w:type="dxa"/>
              <w:bottom w:w="60" w:type="dxa"/>
              <w:right w:w="120" w:type="dxa"/>
            </w:tcMar>
            <w:vAlign w:val="center"/>
          </w:tcPr>
          <w:p w:rsidRPr="00E52256" w:rsidR="002C46A8" w:rsidP="00E52256" w:rsidRDefault="002C46A8" w14:paraId="53FCEEE7" w14:textId="77777777">
            <w:pPr>
              <w:spacing w:after="0" w:line="240" w:lineRule="auto"/>
              <w:jc w:val="center"/>
              <w:rPr>
                <w:rFonts w:ascii="Verdana" w:hAnsi="Verdana"/>
                <w:sz w:val="18"/>
                <w:szCs w:val="18"/>
              </w:rPr>
            </w:pPr>
            <w:r w:rsidRPr="00E52256">
              <w:rPr>
                <w:rFonts w:ascii="Verdana" w:hAnsi="Verdana"/>
                <w:sz w:val="18"/>
                <w:szCs w:val="18"/>
              </w:rPr>
              <w:t>Régimen Especial</w:t>
            </w:r>
          </w:p>
        </w:tc>
        <w:tc>
          <w:tcPr>
            <w:tcW w:w="1576" w:type="dxa"/>
            <w:shd w:val="clear" w:color="auto" w:fill="F2F2F2" w:themeFill="background1" w:themeFillShade="F2"/>
            <w:tcMar>
              <w:top w:w="60" w:type="dxa"/>
              <w:left w:w="120" w:type="dxa"/>
              <w:bottom w:w="60" w:type="dxa"/>
              <w:right w:w="120" w:type="dxa"/>
            </w:tcMar>
            <w:vAlign w:val="center"/>
          </w:tcPr>
          <w:p w:rsidRPr="00E52256" w:rsidR="002C46A8" w:rsidP="00E52256" w:rsidRDefault="002C46A8" w14:paraId="296600A4" w14:textId="77777777">
            <w:pPr>
              <w:spacing w:after="0" w:line="240" w:lineRule="auto"/>
              <w:jc w:val="center"/>
              <w:rPr>
                <w:rFonts w:ascii="Verdana" w:hAnsi="Verdana"/>
                <w:sz w:val="18"/>
                <w:szCs w:val="18"/>
              </w:rPr>
            </w:pPr>
            <w:r w:rsidRPr="00E52256">
              <w:rPr>
                <w:rFonts w:ascii="Verdana" w:hAnsi="Verdana"/>
                <w:sz w:val="18"/>
                <w:szCs w:val="18"/>
              </w:rPr>
              <w:t>4</w:t>
            </w:r>
          </w:p>
        </w:tc>
      </w:tr>
      <w:tr w:rsidRPr="00E52256" w:rsidR="002C46A8" w:rsidTr="00770ECF" w14:paraId="3EC87911" w14:textId="77777777">
        <w:trPr>
          <w:trHeight w:val="194"/>
          <w:jc w:val="center"/>
        </w:trPr>
        <w:tc>
          <w:tcPr>
            <w:tcW w:w="5047" w:type="dxa"/>
            <w:shd w:val="clear" w:color="auto" w:fill="FFFFFF" w:themeFill="background1"/>
            <w:tcMar>
              <w:top w:w="60" w:type="dxa"/>
              <w:left w:w="120" w:type="dxa"/>
              <w:bottom w:w="60" w:type="dxa"/>
              <w:right w:w="120" w:type="dxa"/>
            </w:tcMar>
            <w:vAlign w:val="center"/>
          </w:tcPr>
          <w:p w:rsidRPr="00E52256" w:rsidR="002C46A8" w:rsidP="00E52256" w:rsidRDefault="002C46A8" w14:paraId="5272B0A4" w14:textId="77777777">
            <w:pPr>
              <w:spacing w:after="0" w:line="240" w:lineRule="auto"/>
              <w:jc w:val="center"/>
              <w:rPr>
                <w:rFonts w:ascii="Verdana" w:hAnsi="Verdana"/>
                <w:sz w:val="18"/>
                <w:szCs w:val="18"/>
              </w:rPr>
            </w:pPr>
            <w:r w:rsidRPr="00E52256">
              <w:rPr>
                <w:rFonts w:ascii="Verdana" w:hAnsi="Verdana"/>
                <w:sz w:val="18"/>
                <w:szCs w:val="18"/>
              </w:rPr>
              <w:t>Selección Abreviada Acuerdo Marco de Precios</w:t>
            </w:r>
          </w:p>
        </w:tc>
        <w:tc>
          <w:tcPr>
            <w:tcW w:w="1576" w:type="dxa"/>
            <w:shd w:val="clear" w:color="auto" w:fill="FFFFFF" w:themeFill="background1"/>
            <w:tcMar>
              <w:top w:w="60" w:type="dxa"/>
              <w:left w:w="120" w:type="dxa"/>
              <w:bottom w:w="60" w:type="dxa"/>
              <w:right w:w="120" w:type="dxa"/>
            </w:tcMar>
            <w:vAlign w:val="center"/>
          </w:tcPr>
          <w:p w:rsidRPr="00E52256" w:rsidR="002C46A8" w:rsidP="00E52256" w:rsidRDefault="002C46A8" w14:paraId="14EF637D" w14:textId="77777777">
            <w:pPr>
              <w:spacing w:after="0" w:line="240" w:lineRule="auto"/>
              <w:jc w:val="center"/>
              <w:rPr>
                <w:rFonts w:ascii="Verdana" w:hAnsi="Verdana"/>
                <w:sz w:val="18"/>
                <w:szCs w:val="18"/>
              </w:rPr>
            </w:pPr>
            <w:r w:rsidRPr="00E52256">
              <w:rPr>
                <w:rFonts w:ascii="Verdana" w:hAnsi="Verdana"/>
                <w:sz w:val="18"/>
                <w:szCs w:val="18"/>
              </w:rPr>
              <w:t>4</w:t>
            </w:r>
          </w:p>
        </w:tc>
      </w:tr>
      <w:tr w:rsidRPr="00E52256" w:rsidR="002C46A8" w:rsidTr="00770ECF" w14:paraId="0A19C4F2" w14:textId="77777777">
        <w:trPr>
          <w:trHeight w:val="194"/>
          <w:jc w:val="center"/>
        </w:trPr>
        <w:tc>
          <w:tcPr>
            <w:tcW w:w="5047" w:type="dxa"/>
            <w:shd w:val="clear" w:color="auto" w:fill="F2F2F2" w:themeFill="background1" w:themeFillShade="F2"/>
            <w:tcMar>
              <w:top w:w="60" w:type="dxa"/>
              <w:left w:w="120" w:type="dxa"/>
              <w:bottom w:w="60" w:type="dxa"/>
              <w:right w:w="120" w:type="dxa"/>
            </w:tcMar>
            <w:vAlign w:val="center"/>
          </w:tcPr>
          <w:p w:rsidRPr="00E52256" w:rsidR="002C46A8" w:rsidP="00E52256" w:rsidRDefault="002C46A8" w14:paraId="2BD96608" w14:textId="77777777">
            <w:pPr>
              <w:spacing w:after="0" w:line="240" w:lineRule="auto"/>
              <w:jc w:val="center"/>
              <w:rPr>
                <w:rFonts w:ascii="Verdana" w:hAnsi="Verdana"/>
                <w:sz w:val="18"/>
                <w:szCs w:val="18"/>
              </w:rPr>
            </w:pPr>
            <w:r w:rsidRPr="00E52256">
              <w:rPr>
                <w:rFonts w:ascii="Verdana" w:hAnsi="Verdana"/>
                <w:sz w:val="18"/>
                <w:szCs w:val="18"/>
              </w:rPr>
              <w:t>Selección Abreviada / Menor Cuantía</w:t>
            </w:r>
          </w:p>
        </w:tc>
        <w:tc>
          <w:tcPr>
            <w:tcW w:w="1576" w:type="dxa"/>
            <w:shd w:val="clear" w:color="auto" w:fill="F2F2F2" w:themeFill="background1" w:themeFillShade="F2"/>
            <w:tcMar>
              <w:top w:w="60" w:type="dxa"/>
              <w:left w:w="120" w:type="dxa"/>
              <w:bottom w:w="60" w:type="dxa"/>
              <w:right w:w="120" w:type="dxa"/>
            </w:tcMar>
            <w:vAlign w:val="center"/>
          </w:tcPr>
          <w:p w:rsidRPr="00E52256" w:rsidR="002C46A8" w:rsidP="00E52256" w:rsidRDefault="002C46A8" w14:paraId="4E2C071D" w14:textId="77777777">
            <w:pPr>
              <w:spacing w:after="0" w:line="240" w:lineRule="auto"/>
              <w:jc w:val="center"/>
              <w:rPr>
                <w:rFonts w:ascii="Verdana" w:hAnsi="Verdana"/>
                <w:sz w:val="18"/>
                <w:szCs w:val="18"/>
              </w:rPr>
            </w:pPr>
            <w:r w:rsidRPr="00E52256">
              <w:rPr>
                <w:rFonts w:ascii="Verdana" w:hAnsi="Verdana"/>
                <w:sz w:val="18"/>
                <w:szCs w:val="18"/>
              </w:rPr>
              <w:t>2</w:t>
            </w:r>
          </w:p>
        </w:tc>
      </w:tr>
    </w:tbl>
    <w:p w:rsidRPr="00E52256" w:rsidR="002C46A8" w:rsidP="00E52256" w:rsidRDefault="002C46A8" w14:paraId="19A5307D" w14:textId="77777777">
      <w:pPr>
        <w:spacing w:after="0" w:line="240" w:lineRule="auto"/>
        <w:jc w:val="center"/>
        <w:rPr>
          <w:rFonts w:ascii="Verdana" w:hAnsi="Verdana"/>
          <w:sz w:val="18"/>
          <w:szCs w:val="18"/>
        </w:rPr>
      </w:pPr>
      <w:r w:rsidRPr="00E52256">
        <w:rPr>
          <w:rFonts w:ascii="Verdana" w:hAnsi="Verdana"/>
          <w:sz w:val="18"/>
          <w:szCs w:val="18"/>
        </w:rPr>
        <w:t>Fuente: Plataforma NEON y SECOP II.</w:t>
      </w:r>
    </w:p>
    <w:p w:rsidR="00E52256" w:rsidP="00E52256" w:rsidRDefault="00E52256" w14:paraId="7141E434" w14:textId="77777777">
      <w:pPr>
        <w:spacing w:after="0" w:line="360" w:lineRule="auto"/>
        <w:jc w:val="both"/>
        <w:rPr>
          <w:rFonts w:ascii="Verdana" w:hAnsi="Verdana"/>
          <w:sz w:val="24"/>
          <w:szCs w:val="24"/>
        </w:rPr>
      </w:pPr>
    </w:p>
    <w:p w:rsidRPr="00C140A0" w:rsidR="002C46A8" w:rsidP="006A0A13" w:rsidRDefault="002C46A8" w14:paraId="07DC92F5" w14:textId="63B5D8AD">
      <w:pPr>
        <w:spacing w:after="0" w:line="360" w:lineRule="auto"/>
        <w:jc w:val="both"/>
        <w:rPr>
          <w:rFonts w:ascii="Verdana" w:hAnsi="Verdana"/>
          <w:sz w:val="24"/>
          <w:szCs w:val="24"/>
        </w:rPr>
      </w:pPr>
      <w:r w:rsidRPr="30CF4445" w:rsidR="6BD245D0">
        <w:rPr>
          <w:rFonts w:ascii="Verdana" w:hAnsi="Verdana"/>
          <w:sz w:val="24"/>
          <w:szCs w:val="24"/>
        </w:rPr>
        <w:t xml:space="preserve">La gestión para este año refleja una estructura contractual del equipo GGC organizada y activa, enfocada en la celebración de 1.391 contratos dadas sus diferentes modalidades de contratación de cara al cumplimiento misional. </w:t>
      </w:r>
      <w:r w:rsidRPr="30CF4445" w:rsidR="1189FA89">
        <w:rPr>
          <w:rFonts w:ascii="Verdana" w:hAnsi="Verdana"/>
          <w:sz w:val="24"/>
          <w:szCs w:val="24"/>
        </w:rPr>
        <w:t>D</w:t>
      </w:r>
      <w:r w:rsidRPr="30CF4445" w:rsidR="6BD245D0">
        <w:rPr>
          <w:rFonts w:ascii="Verdana" w:hAnsi="Verdana"/>
          <w:sz w:val="24"/>
          <w:szCs w:val="24"/>
        </w:rPr>
        <w:t xml:space="preserve">onde de manera notable se evidencia que esta </w:t>
      </w:r>
      <w:r w:rsidRPr="30CF4445" w:rsidR="0F627F08">
        <w:rPr>
          <w:rFonts w:ascii="Verdana" w:hAnsi="Verdana"/>
          <w:sz w:val="24"/>
          <w:szCs w:val="24"/>
        </w:rPr>
        <w:t>c</w:t>
      </w:r>
      <w:r w:rsidRPr="30CF4445" w:rsidR="6BD245D0">
        <w:rPr>
          <w:rFonts w:ascii="Verdana" w:hAnsi="Verdana"/>
          <w:sz w:val="24"/>
          <w:szCs w:val="24"/>
        </w:rPr>
        <w:t>artera no se limita a un s</w:t>
      </w:r>
      <w:r w:rsidRPr="30CF4445" w:rsidR="73BB2D4C">
        <w:rPr>
          <w:rFonts w:ascii="Verdana" w:hAnsi="Verdana"/>
          <w:sz w:val="24"/>
          <w:szCs w:val="24"/>
        </w:rPr>
        <w:t>o</w:t>
      </w:r>
      <w:r w:rsidRPr="30CF4445" w:rsidR="6BD245D0">
        <w:rPr>
          <w:rFonts w:ascii="Verdana" w:hAnsi="Verdana"/>
          <w:sz w:val="24"/>
          <w:szCs w:val="24"/>
        </w:rPr>
        <w:t xml:space="preserve">lo método para contratar, se tiene una apertura de la competencia y un esfuerzo por buscar la mejor relación costo - beneficio, asegurándose de esta manera el mérito y la eficiencia. </w:t>
      </w:r>
    </w:p>
    <w:p w:rsidRPr="00E52256" w:rsidR="002C46A8" w:rsidP="006A0A13" w:rsidRDefault="002C46A8" w14:paraId="4FF8DFB7" w14:textId="77777777">
      <w:pPr>
        <w:spacing w:after="0" w:line="360" w:lineRule="auto"/>
        <w:jc w:val="both"/>
        <w:rPr>
          <w:rFonts w:ascii="Verdana" w:hAnsi="Verdana"/>
          <w:b/>
          <w:bCs/>
          <w:sz w:val="24"/>
          <w:szCs w:val="24"/>
        </w:rPr>
      </w:pPr>
      <w:r w:rsidRPr="00E52256">
        <w:rPr>
          <w:rFonts w:ascii="Verdana" w:hAnsi="Verdana"/>
          <w:b/>
          <w:bCs/>
          <w:sz w:val="24"/>
          <w:szCs w:val="24"/>
        </w:rPr>
        <w:t>VIGENCIA 2025</w:t>
      </w:r>
    </w:p>
    <w:p w:rsidR="00E52256" w:rsidP="006A0A13" w:rsidRDefault="00E52256" w14:paraId="19AB5EE7" w14:textId="77777777">
      <w:pPr>
        <w:spacing w:after="0" w:line="360" w:lineRule="auto"/>
        <w:jc w:val="both"/>
        <w:rPr>
          <w:rFonts w:ascii="Verdana" w:hAnsi="Verdana"/>
          <w:sz w:val="24"/>
          <w:szCs w:val="24"/>
        </w:rPr>
      </w:pPr>
    </w:p>
    <w:p w:rsidRPr="00C140A0" w:rsidR="002C46A8" w:rsidP="006A0A13" w:rsidRDefault="002C46A8" w14:paraId="5E647B37" w14:textId="77777777">
      <w:pPr>
        <w:spacing w:after="0" w:line="360" w:lineRule="auto"/>
        <w:jc w:val="both"/>
        <w:rPr>
          <w:rFonts w:ascii="Verdana" w:hAnsi="Verdana"/>
          <w:sz w:val="24"/>
          <w:szCs w:val="24"/>
        </w:rPr>
      </w:pPr>
      <w:r w:rsidRPr="00C140A0">
        <w:rPr>
          <w:rFonts w:ascii="Verdana" w:hAnsi="Verdana"/>
          <w:sz w:val="24"/>
          <w:szCs w:val="24"/>
        </w:rPr>
        <w:t>Total de contratos: 2.119</w:t>
      </w:r>
    </w:p>
    <w:p w:rsidRPr="00C140A0" w:rsidR="002C46A8" w:rsidP="006A0A13" w:rsidRDefault="403F1154" w14:paraId="4FD7C8C4" w14:textId="77777777">
      <w:pPr>
        <w:spacing w:after="0" w:line="360" w:lineRule="auto"/>
        <w:jc w:val="both"/>
        <w:rPr>
          <w:rFonts w:ascii="Verdana" w:hAnsi="Verdana"/>
          <w:sz w:val="24"/>
          <w:szCs w:val="24"/>
        </w:rPr>
      </w:pPr>
      <w:r w:rsidRPr="180099B3">
        <w:rPr>
          <w:rFonts w:ascii="Verdana" w:hAnsi="Verdana"/>
          <w:sz w:val="24"/>
          <w:szCs w:val="24"/>
        </w:rPr>
        <w:t>Valor total contratado: $6.15 billones</w:t>
      </w:r>
    </w:p>
    <w:p w:rsidR="180099B3" w:rsidP="006A0A13" w:rsidRDefault="180099B3" w14:paraId="243DF49A" w14:textId="77777777">
      <w:pPr>
        <w:spacing w:after="0" w:line="360" w:lineRule="auto"/>
        <w:jc w:val="both"/>
        <w:rPr>
          <w:rFonts w:ascii="Verdana" w:hAnsi="Verdana"/>
          <w:sz w:val="24"/>
          <w:szCs w:val="24"/>
        </w:rPr>
      </w:pPr>
    </w:p>
    <w:p w:rsidRPr="00E52256" w:rsidR="002C46A8" w:rsidP="180099B3" w:rsidRDefault="403F1154" w14:paraId="77DD72E9" w14:textId="77777777">
      <w:pPr>
        <w:pStyle w:val="Descripcin"/>
        <w:spacing w:after="0"/>
        <w:jc w:val="center"/>
        <w:rPr>
          <w:rFonts w:ascii="Verdana" w:hAnsi="Verdana"/>
          <w:b/>
          <w:bCs/>
          <w:i w:val="0"/>
          <w:iCs w:val="0"/>
        </w:rPr>
      </w:pPr>
      <w:r w:rsidRPr="180099B3">
        <w:rPr>
          <w:rFonts w:ascii="Verdana" w:hAnsi="Verdana"/>
          <w:i w:val="0"/>
          <w:iCs w:val="0"/>
        </w:rPr>
        <w:t>Tabla</w:t>
      </w:r>
      <w:r w:rsidRPr="180099B3" w:rsidR="5D6DC1CB">
        <w:rPr>
          <w:rFonts w:ascii="Verdana" w:hAnsi="Verdana"/>
          <w:i w:val="0"/>
          <w:iCs w:val="0"/>
        </w:rPr>
        <w:t xml:space="preserve"> No. 5</w:t>
      </w:r>
      <w:r w:rsidRPr="180099B3" w:rsidR="187B2F15">
        <w:rPr>
          <w:rFonts w:ascii="Verdana" w:hAnsi="Verdana"/>
          <w:i w:val="0"/>
          <w:iCs w:val="0"/>
        </w:rPr>
        <w:t>7</w:t>
      </w:r>
      <w:r w:rsidRPr="180099B3" w:rsidR="5EDD2324">
        <w:rPr>
          <w:rFonts w:ascii="Verdana" w:hAnsi="Verdana"/>
          <w:i w:val="0"/>
          <w:iCs w:val="0"/>
        </w:rPr>
        <w:t>.</w:t>
      </w:r>
      <w:r w:rsidRPr="180099B3">
        <w:rPr>
          <w:rFonts w:ascii="Verdana" w:hAnsi="Verdana"/>
          <w:i w:val="0"/>
          <w:iCs w:val="0"/>
        </w:rPr>
        <w:t xml:space="preserve"> Vigencia 2025</w:t>
      </w:r>
    </w:p>
    <w:tbl>
      <w:tblPr>
        <w:tblW w:w="75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 w:type="dxa"/>
          <w:right w:w="10" w:type="dxa"/>
        </w:tblCellMar>
        <w:tblLook w:val="0000" w:firstRow="0" w:lastRow="0" w:firstColumn="0" w:lastColumn="0" w:noHBand="0" w:noVBand="0"/>
      </w:tblPr>
      <w:tblGrid>
        <w:gridCol w:w="5760"/>
        <w:gridCol w:w="1800"/>
      </w:tblGrid>
      <w:tr w:rsidRPr="00E52256" w:rsidR="002C46A8" w:rsidTr="006A0A13" w14:paraId="0D45C8BB" w14:textId="77777777">
        <w:trPr>
          <w:tblHeader/>
          <w:jc w:val="center"/>
        </w:trPr>
        <w:tc>
          <w:tcPr>
            <w:tcW w:w="5760" w:type="dxa"/>
            <w:shd w:val="clear" w:color="auto" w:fill="A6A6A6" w:themeFill="background1" w:themeFillShade="A6"/>
            <w:tcMar>
              <w:top w:w="80" w:type="dxa"/>
              <w:left w:w="120" w:type="dxa"/>
              <w:bottom w:w="80" w:type="dxa"/>
              <w:right w:w="120" w:type="dxa"/>
            </w:tcMar>
            <w:vAlign w:val="center"/>
          </w:tcPr>
          <w:p w:rsidRPr="00E52256" w:rsidR="002C46A8" w:rsidP="00E52256" w:rsidRDefault="002C46A8" w14:paraId="058E52FA" w14:textId="77777777">
            <w:pPr>
              <w:spacing w:after="0" w:line="240" w:lineRule="auto"/>
              <w:jc w:val="center"/>
              <w:rPr>
                <w:rFonts w:ascii="Verdana" w:hAnsi="Verdana"/>
                <w:color w:val="000000"/>
                <w:sz w:val="18"/>
                <w:szCs w:val="18"/>
              </w:rPr>
            </w:pPr>
            <w:r w:rsidRPr="00E52256">
              <w:rPr>
                <w:rFonts w:ascii="Verdana" w:hAnsi="Verdana"/>
                <w:color w:val="000000"/>
                <w:sz w:val="18"/>
                <w:szCs w:val="18"/>
              </w:rPr>
              <w:t>Modalidad de Contratación</w:t>
            </w:r>
          </w:p>
        </w:tc>
        <w:tc>
          <w:tcPr>
            <w:tcW w:w="1800" w:type="dxa"/>
            <w:shd w:val="clear" w:color="auto" w:fill="A6A6A6" w:themeFill="background1" w:themeFillShade="A6"/>
            <w:tcMar>
              <w:top w:w="80" w:type="dxa"/>
              <w:left w:w="120" w:type="dxa"/>
              <w:bottom w:w="80" w:type="dxa"/>
              <w:right w:w="120" w:type="dxa"/>
            </w:tcMar>
            <w:vAlign w:val="center"/>
          </w:tcPr>
          <w:p w:rsidRPr="00E52256" w:rsidR="002C46A8" w:rsidP="00E52256" w:rsidRDefault="002C46A8" w14:paraId="4011FDE3" w14:textId="77777777">
            <w:pPr>
              <w:spacing w:after="0" w:line="240" w:lineRule="auto"/>
              <w:jc w:val="center"/>
              <w:rPr>
                <w:rFonts w:ascii="Verdana" w:hAnsi="Verdana"/>
                <w:color w:val="000000"/>
                <w:sz w:val="18"/>
                <w:szCs w:val="18"/>
              </w:rPr>
            </w:pPr>
            <w:r w:rsidRPr="00E52256">
              <w:rPr>
                <w:rFonts w:ascii="Verdana" w:hAnsi="Verdana"/>
                <w:color w:val="000000"/>
                <w:sz w:val="18"/>
                <w:szCs w:val="18"/>
              </w:rPr>
              <w:t>Contratos</w:t>
            </w:r>
          </w:p>
        </w:tc>
      </w:tr>
      <w:tr w:rsidRPr="00E52256" w:rsidR="002C46A8" w:rsidTr="006A0A13" w14:paraId="483303FA" w14:textId="77777777">
        <w:trPr>
          <w:jc w:val="center"/>
        </w:trPr>
        <w:tc>
          <w:tcPr>
            <w:tcW w:w="5760" w:type="dxa"/>
            <w:shd w:val="clear" w:color="auto" w:fill="FFFFFF" w:themeFill="background1"/>
            <w:tcMar>
              <w:top w:w="60" w:type="dxa"/>
              <w:left w:w="120" w:type="dxa"/>
              <w:bottom w:w="60" w:type="dxa"/>
              <w:right w:w="120" w:type="dxa"/>
            </w:tcMar>
            <w:vAlign w:val="center"/>
          </w:tcPr>
          <w:p w:rsidRPr="00E52256" w:rsidR="002C46A8" w:rsidP="00E52256" w:rsidRDefault="002C46A8" w14:paraId="49326A8D" w14:textId="77777777">
            <w:pPr>
              <w:spacing w:after="0" w:line="240" w:lineRule="auto"/>
              <w:jc w:val="center"/>
              <w:rPr>
                <w:rFonts w:ascii="Verdana" w:hAnsi="Verdana"/>
                <w:color w:val="000000"/>
                <w:sz w:val="18"/>
                <w:szCs w:val="18"/>
              </w:rPr>
            </w:pPr>
            <w:r w:rsidRPr="00E52256">
              <w:rPr>
                <w:rFonts w:ascii="Verdana" w:hAnsi="Verdana"/>
                <w:color w:val="000000"/>
                <w:sz w:val="18"/>
                <w:szCs w:val="18"/>
              </w:rPr>
              <w:t>CD Servicios Profesionales y Apoyo a la Gestión</w:t>
            </w:r>
          </w:p>
        </w:tc>
        <w:tc>
          <w:tcPr>
            <w:tcW w:w="1800" w:type="dxa"/>
            <w:shd w:val="clear" w:color="auto" w:fill="FFFFFF" w:themeFill="background1"/>
            <w:tcMar>
              <w:top w:w="60" w:type="dxa"/>
              <w:left w:w="120" w:type="dxa"/>
              <w:bottom w:w="60" w:type="dxa"/>
              <w:right w:w="120" w:type="dxa"/>
            </w:tcMar>
            <w:vAlign w:val="center"/>
          </w:tcPr>
          <w:p w:rsidRPr="00E52256" w:rsidR="002C46A8" w:rsidP="00E52256" w:rsidRDefault="002C46A8" w14:paraId="2E2E7B0A" w14:textId="77777777">
            <w:pPr>
              <w:spacing w:after="0" w:line="240" w:lineRule="auto"/>
              <w:jc w:val="center"/>
              <w:rPr>
                <w:rFonts w:ascii="Verdana" w:hAnsi="Verdana"/>
                <w:color w:val="000000"/>
                <w:sz w:val="18"/>
                <w:szCs w:val="18"/>
              </w:rPr>
            </w:pPr>
            <w:r w:rsidRPr="00E52256">
              <w:rPr>
                <w:rFonts w:ascii="Verdana" w:hAnsi="Verdana"/>
                <w:color w:val="000000"/>
                <w:sz w:val="18"/>
                <w:szCs w:val="18"/>
              </w:rPr>
              <w:t>1.912</w:t>
            </w:r>
          </w:p>
        </w:tc>
      </w:tr>
      <w:tr w:rsidRPr="00E52256" w:rsidR="002C46A8" w:rsidTr="006A0A13" w14:paraId="7FA321CB" w14:textId="77777777">
        <w:trPr>
          <w:jc w:val="center"/>
        </w:trPr>
        <w:tc>
          <w:tcPr>
            <w:tcW w:w="5760" w:type="dxa"/>
            <w:shd w:val="clear" w:color="auto" w:fill="F2F2F2" w:themeFill="background1" w:themeFillShade="F2"/>
            <w:tcMar>
              <w:top w:w="60" w:type="dxa"/>
              <w:left w:w="120" w:type="dxa"/>
              <w:bottom w:w="60" w:type="dxa"/>
              <w:right w:w="120" w:type="dxa"/>
            </w:tcMar>
            <w:vAlign w:val="center"/>
          </w:tcPr>
          <w:p w:rsidRPr="00E52256" w:rsidR="002C46A8" w:rsidP="00E52256" w:rsidRDefault="002C46A8" w14:paraId="682C6363" w14:textId="77777777">
            <w:pPr>
              <w:spacing w:after="0" w:line="240" w:lineRule="auto"/>
              <w:jc w:val="center"/>
              <w:rPr>
                <w:rFonts w:ascii="Verdana" w:hAnsi="Verdana"/>
                <w:color w:val="000000"/>
                <w:sz w:val="18"/>
                <w:szCs w:val="18"/>
              </w:rPr>
            </w:pPr>
            <w:r w:rsidRPr="00E52256">
              <w:rPr>
                <w:rFonts w:ascii="Verdana" w:hAnsi="Verdana"/>
                <w:color w:val="000000"/>
                <w:sz w:val="18"/>
                <w:szCs w:val="18"/>
              </w:rPr>
              <w:t>Contratación Directa</w:t>
            </w:r>
          </w:p>
        </w:tc>
        <w:tc>
          <w:tcPr>
            <w:tcW w:w="1800" w:type="dxa"/>
            <w:shd w:val="clear" w:color="auto" w:fill="F2F2F2" w:themeFill="background1" w:themeFillShade="F2"/>
            <w:tcMar>
              <w:top w:w="60" w:type="dxa"/>
              <w:left w:w="120" w:type="dxa"/>
              <w:bottom w:w="60" w:type="dxa"/>
              <w:right w:w="120" w:type="dxa"/>
            </w:tcMar>
            <w:vAlign w:val="center"/>
          </w:tcPr>
          <w:p w:rsidRPr="00E52256" w:rsidR="002C46A8" w:rsidP="00E52256" w:rsidRDefault="002C46A8" w14:paraId="09EDB771" w14:textId="77777777">
            <w:pPr>
              <w:spacing w:after="0" w:line="240" w:lineRule="auto"/>
              <w:jc w:val="center"/>
              <w:rPr>
                <w:rFonts w:ascii="Verdana" w:hAnsi="Verdana"/>
                <w:color w:val="000000"/>
                <w:sz w:val="18"/>
                <w:szCs w:val="18"/>
              </w:rPr>
            </w:pPr>
            <w:r w:rsidRPr="00E52256">
              <w:rPr>
                <w:rFonts w:ascii="Verdana" w:hAnsi="Verdana"/>
                <w:color w:val="000000"/>
                <w:sz w:val="18"/>
                <w:szCs w:val="18"/>
              </w:rPr>
              <w:t>154</w:t>
            </w:r>
          </w:p>
        </w:tc>
      </w:tr>
      <w:tr w:rsidRPr="00E52256" w:rsidR="002C46A8" w:rsidTr="006A0A13" w14:paraId="29B402AB" w14:textId="77777777">
        <w:trPr>
          <w:jc w:val="center"/>
        </w:trPr>
        <w:tc>
          <w:tcPr>
            <w:tcW w:w="5760" w:type="dxa"/>
            <w:shd w:val="clear" w:color="auto" w:fill="FFFFFF" w:themeFill="background1"/>
            <w:tcMar>
              <w:top w:w="60" w:type="dxa"/>
              <w:left w:w="120" w:type="dxa"/>
              <w:bottom w:w="60" w:type="dxa"/>
              <w:right w:w="120" w:type="dxa"/>
            </w:tcMar>
            <w:vAlign w:val="center"/>
          </w:tcPr>
          <w:p w:rsidRPr="00E52256" w:rsidR="002C46A8" w:rsidP="00E52256" w:rsidRDefault="002C46A8" w14:paraId="30546E58" w14:textId="77777777">
            <w:pPr>
              <w:spacing w:after="0" w:line="240" w:lineRule="auto"/>
              <w:jc w:val="center"/>
              <w:rPr>
                <w:rFonts w:ascii="Verdana" w:hAnsi="Verdana"/>
                <w:color w:val="000000"/>
                <w:sz w:val="18"/>
                <w:szCs w:val="18"/>
              </w:rPr>
            </w:pPr>
            <w:r w:rsidRPr="00E52256">
              <w:rPr>
                <w:rFonts w:ascii="Verdana" w:hAnsi="Verdana"/>
                <w:color w:val="000000"/>
                <w:sz w:val="18"/>
                <w:szCs w:val="18"/>
              </w:rPr>
              <w:t>Mínima Cuantía</w:t>
            </w:r>
          </w:p>
        </w:tc>
        <w:tc>
          <w:tcPr>
            <w:tcW w:w="1800" w:type="dxa"/>
            <w:shd w:val="clear" w:color="auto" w:fill="FFFFFF" w:themeFill="background1"/>
            <w:tcMar>
              <w:top w:w="60" w:type="dxa"/>
              <w:left w:w="120" w:type="dxa"/>
              <w:bottom w:w="60" w:type="dxa"/>
              <w:right w:w="120" w:type="dxa"/>
            </w:tcMar>
            <w:vAlign w:val="center"/>
          </w:tcPr>
          <w:p w:rsidRPr="00E52256" w:rsidR="002C46A8" w:rsidP="00E52256" w:rsidRDefault="002C46A8" w14:paraId="3219FAB7" w14:textId="77777777">
            <w:pPr>
              <w:spacing w:after="0" w:line="240" w:lineRule="auto"/>
              <w:jc w:val="center"/>
              <w:rPr>
                <w:rFonts w:ascii="Verdana" w:hAnsi="Verdana"/>
                <w:color w:val="000000"/>
                <w:sz w:val="18"/>
                <w:szCs w:val="18"/>
              </w:rPr>
            </w:pPr>
            <w:r w:rsidRPr="00E52256">
              <w:rPr>
                <w:rFonts w:ascii="Verdana" w:hAnsi="Verdana"/>
                <w:color w:val="000000"/>
                <w:sz w:val="18"/>
                <w:szCs w:val="18"/>
              </w:rPr>
              <w:t>19</w:t>
            </w:r>
          </w:p>
        </w:tc>
      </w:tr>
      <w:tr w:rsidRPr="00E52256" w:rsidR="002C46A8" w:rsidTr="006A0A13" w14:paraId="04213A9B" w14:textId="77777777">
        <w:trPr>
          <w:jc w:val="center"/>
        </w:trPr>
        <w:tc>
          <w:tcPr>
            <w:tcW w:w="5760" w:type="dxa"/>
            <w:shd w:val="clear" w:color="auto" w:fill="F2F2F2" w:themeFill="background1" w:themeFillShade="F2"/>
            <w:tcMar>
              <w:top w:w="60" w:type="dxa"/>
              <w:left w:w="120" w:type="dxa"/>
              <w:bottom w:w="60" w:type="dxa"/>
              <w:right w:w="120" w:type="dxa"/>
            </w:tcMar>
            <w:vAlign w:val="center"/>
          </w:tcPr>
          <w:p w:rsidRPr="00E52256" w:rsidR="002C46A8" w:rsidP="00E52256" w:rsidRDefault="002C46A8" w14:paraId="79D718D5" w14:textId="77777777">
            <w:pPr>
              <w:spacing w:after="0" w:line="240" w:lineRule="auto"/>
              <w:jc w:val="center"/>
              <w:rPr>
                <w:rFonts w:ascii="Verdana" w:hAnsi="Verdana"/>
                <w:color w:val="000000"/>
                <w:sz w:val="18"/>
                <w:szCs w:val="18"/>
              </w:rPr>
            </w:pPr>
            <w:r w:rsidRPr="00E52256">
              <w:rPr>
                <w:rFonts w:ascii="Verdana" w:hAnsi="Verdana"/>
                <w:color w:val="000000"/>
                <w:sz w:val="18"/>
                <w:szCs w:val="18"/>
              </w:rPr>
              <w:t>Concurso de Méritos Abierto</w:t>
            </w:r>
          </w:p>
        </w:tc>
        <w:tc>
          <w:tcPr>
            <w:tcW w:w="1800" w:type="dxa"/>
            <w:shd w:val="clear" w:color="auto" w:fill="F2F2F2" w:themeFill="background1" w:themeFillShade="F2"/>
            <w:tcMar>
              <w:top w:w="60" w:type="dxa"/>
              <w:left w:w="120" w:type="dxa"/>
              <w:bottom w:w="60" w:type="dxa"/>
              <w:right w:w="120" w:type="dxa"/>
            </w:tcMar>
            <w:vAlign w:val="center"/>
          </w:tcPr>
          <w:p w:rsidRPr="00E52256" w:rsidR="002C46A8" w:rsidP="00E52256" w:rsidRDefault="002C46A8" w14:paraId="4BE0A4DB" w14:textId="77777777">
            <w:pPr>
              <w:spacing w:after="0" w:line="240" w:lineRule="auto"/>
              <w:jc w:val="center"/>
              <w:rPr>
                <w:rFonts w:ascii="Verdana" w:hAnsi="Verdana"/>
                <w:color w:val="000000"/>
                <w:sz w:val="18"/>
                <w:szCs w:val="18"/>
              </w:rPr>
            </w:pPr>
            <w:r w:rsidRPr="00E52256">
              <w:rPr>
                <w:rFonts w:ascii="Verdana" w:hAnsi="Verdana"/>
                <w:color w:val="000000"/>
                <w:sz w:val="18"/>
                <w:szCs w:val="18"/>
              </w:rPr>
              <w:t>19</w:t>
            </w:r>
          </w:p>
        </w:tc>
      </w:tr>
      <w:tr w:rsidRPr="00E52256" w:rsidR="002C46A8" w:rsidTr="006A0A13" w14:paraId="1A591B9E" w14:textId="77777777">
        <w:trPr>
          <w:jc w:val="center"/>
        </w:trPr>
        <w:tc>
          <w:tcPr>
            <w:tcW w:w="5760" w:type="dxa"/>
            <w:shd w:val="clear" w:color="auto" w:fill="FFFFFF" w:themeFill="background1"/>
            <w:tcMar>
              <w:top w:w="60" w:type="dxa"/>
              <w:left w:w="120" w:type="dxa"/>
              <w:bottom w:w="60" w:type="dxa"/>
              <w:right w:w="120" w:type="dxa"/>
            </w:tcMar>
            <w:vAlign w:val="center"/>
          </w:tcPr>
          <w:p w:rsidRPr="00E52256" w:rsidR="002C46A8" w:rsidP="00E52256" w:rsidRDefault="002C46A8" w14:paraId="09D20602" w14:textId="77777777">
            <w:pPr>
              <w:spacing w:after="0" w:line="240" w:lineRule="auto"/>
              <w:jc w:val="center"/>
              <w:rPr>
                <w:rFonts w:ascii="Verdana" w:hAnsi="Verdana"/>
                <w:color w:val="000000"/>
                <w:sz w:val="18"/>
                <w:szCs w:val="18"/>
              </w:rPr>
            </w:pPr>
            <w:r w:rsidRPr="00E52256">
              <w:rPr>
                <w:rFonts w:ascii="Verdana" w:hAnsi="Verdana"/>
                <w:color w:val="000000"/>
                <w:sz w:val="18"/>
                <w:szCs w:val="18"/>
              </w:rPr>
              <w:t>Selección Abreviada / Subasta Inversa</w:t>
            </w:r>
          </w:p>
        </w:tc>
        <w:tc>
          <w:tcPr>
            <w:tcW w:w="1800" w:type="dxa"/>
            <w:shd w:val="clear" w:color="auto" w:fill="FFFFFF" w:themeFill="background1"/>
            <w:tcMar>
              <w:top w:w="60" w:type="dxa"/>
              <w:left w:w="120" w:type="dxa"/>
              <w:bottom w:w="60" w:type="dxa"/>
              <w:right w:w="120" w:type="dxa"/>
            </w:tcMar>
            <w:vAlign w:val="center"/>
          </w:tcPr>
          <w:p w:rsidRPr="00E52256" w:rsidR="002C46A8" w:rsidP="00E52256" w:rsidRDefault="002C46A8" w14:paraId="593D28F5" w14:textId="77777777">
            <w:pPr>
              <w:spacing w:after="0" w:line="240" w:lineRule="auto"/>
              <w:jc w:val="center"/>
              <w:rPr>
                <w:rFonts w:ascii="Verdana" w:hAnsi="Verdana"/>
                <w:color w:val="000000"/>
                <w:sz w:val="18"/>
                <w:szCs w:val="18"/>
              </w:rPr>
            </w:pPr>
            <w:r w:rsidRPr="00E52256">
              <w:rPr>
                <w:rFonts w:ascii="Verdana" w:hAnsi="Verdana"/>
                <w:color w:val="000000"/>
                <w:sz w:val="18"/>
                <w:szCs w:val="18"/>
              </w:rPr>
              <w:t>5</w:t>
            </w:r>
          </w:p>
        </w:tc>
      </w:tr>
      <w:tr w:rsidRPr="00E52256" w:rsidR="002C46A8" w:rsidTr="006A0A13" w14:paraId="09630F53" w14:textId="77777777">
        <w:trPr>
          <w:jc w:val="center"/>
        </w:trPr>
        <w:tc>
          <w:tcPr>
            <w:tcW w:w="5760" w:type="dxa"/>
            <w:shd w:val="clear" w:color="auto" w:fill="F2F2F2" w:themeFill="background1" w:themeFillShade="F2"/>
            <w:tcMar>
              <w:top w:w="60" w:type="dxa"/>
              <w:left w:w="120" w:type="dxa"/>
              <w:bottom w:w="60" w:type="dxa"/>
              <w:right w:w="120" w:type="dxa"/>
            </w:tcMar>
            <w:vAlign w:val="center"/>
          </w:tcPr>
          <w:p w:rsidRPr="00E52256" w:rsidR="002C46A8" w:rsidP="00E52256" w:rsidRDefault="002C46A8" w14:paraId="6785435A" w14:textId="77777777">
            <w:pPr>
              <w:spacing w:after="0" w:line="240" w:lineRule="auto"/>
              <w:jc w:val="center"/>
              <w:rPr>
                <w:rFonts w:ascii="Verdana" w:hAnsi="Verdana"/>
                <w:color w:val="000000"/>
                <w:sz w:val="18"/>
                <w:szCs w:val="18"/>
              </w:rPr>
            </w:pPr>
            <w:r w:rsidRPr="00E52256">
              <w:rPr>
                <w:rFonts w:ascii="Verdana" w:hAnsi="Verdana"/>
                <w:color w:val="000000"/>
                <w:sz w:val="18"/>
                <w:szCs w:val="18"/>
              </w:rPr>
              <w:t>Selección Abreviada Acuerdo Marco de Precios</w:t>
            </w:r>
          </w:p>
        </w:tc>
        <w:tc>
          <w:tcPr>
            <w:tcW w:w="1800" w:type="dxa"/>
            <w:shd w:val="clear" w:color="auto" w:fill="F2F2F2" w:themeFill="background1" w:themeFillShade="F2"/>
            <w:tcMar>
              <w:top w:w="60" w:type="dxa"/>
              <w:left w:w="120" w:type="dxa"/>
              <w:bottom w:w="60" w:type="dxa"/>
              <w:right w:w="120" w:type="dxa"/>
            </w:tcMar>
            <w:vAlign w:val="center"/>
          </w:tcPr>
          <w:p w:rsidRPr="00E52256" w:rsidR="002C46A8" w:rsidP="00E52256" w:rsidRDefault="002C46A8" w14:paraId="7E75D46B" w14:textId="77777777">
            <w:pPr>
              <w:spacing w:after="0" w:line="240" w:lineRule="auto"/>
              <w:jc w:val="center"/>
              <w:rPr>
                <w:rFonts w:ascii="Verdana" w:hAnsi="Verdana"/>
                <w:color w:val="000000"/>
                <w:sz w:val="18"/>
                <w:szCs w:val="18"/>
              </w:rPr>
            </w:pPr>
            <w:r w:rsidRPr="00E52256">
              <w:rPr>
                <w:rFonts w:ascii="Verdana" w:hAnsi="Verdana"/>
                <w:color w:val="000000"/>
                <w:sz w:val="18"/>
                <w:szCs w:val="18"/>
              </w:rPr>
              <w:t>4</w:t>
            </w:r>
          </w:p>
        </w:tc>
      </w:tr>
      <w:tr w:rsidRPr="00E52256" w:rsidR="002C46A8" w:rsidTr="006A0A13" w14:paraId="633424F1" w14:textId="77777777">
        <w:trPr>
          <w:jc w:val="center"/>
        </w:trPr>
        <w:tc>
          <w:tcPr>
            <w:tcW w:w="5760" w:type="dxa"/>
            <w:shd w:val="clear" w:color="auto" w:fill="FFFFFF" w:themeFill="background1"/>
            <w:tcMar>
              <w:top w:w="60" w:type="dxa"/>
              <w:left w:w="120" w:type="dxa"/>
              <w:bottom w:w="60" w:type="dxa"/>
              <w:right w:w="120" w:type="dxa"/>
            </w:tcMar>
            <w:vAlign w:val="center"/>
          </w:tcPr>
          <w:p w:rsidRPr="00E52256" w:rsidR="002C46A8" w:rsidP="00E52256" w:rsidRDefault="002C46A8" w14:paraId="384F9FC5" w14:textId="77777777">
            <w:pPr>
              <w:spacing w:after="0" w:line="240" w:lineRule="auto"/>
              <w:jc w:val="center"/>
              <w:rPr>
                <w:rFonts w:ascii="Verdana" w:hAnsi="Verdana"/>
                <w:color w:val="000000"/>
                <w:sz w:val="18"/>
                <w:szCs w:val="18"/>
              </w:rPr>
            </w:pPr>
            <w:r w:rsidRPr="00E52256">
              <w:rPr>
                <w:rFonts w:ascii="Verdana" w:hAnsi="Verdana"/>
                <w:color w:val="000000"/>
                <w:sz w:val="18"/>
                <w:szCs w:val="18"/>
              </w:rPr>
              <w:t>Selección Abreviada / Menor Cuantía</w:t>
            </w:r>
          </w:p>
        </w:tc>
        <w:tc>
          <w:tcPr>
            <w:tcW w:w="1800" w:type="dxa"/>
            <w:shd w:val="clear" w:color="auto" w:fill="FFFFFF" w:themeFill="background1"/>
            <w:tcMar>
              <w:top w:w="60" w:type="dxa"/>
              <w:left w:w="120" w:type="dxa"/>
              <w:bottom w:w="60" w:type="dxa"/>
              <w:right w:w="120" w:type="dxa"/>
            </w:tcMar>
            <w:vAlign w:val="center"/>
          </w:tcPr>
          <w:p w:rsidRPr="00E52256" w:rsidR="002C46A8" w:rsidP="00E52256" w:rsidRDefault="002C46A8" w14:paraId="61B12061" w14:textId="77777777">
            <w:pPr>
              <w:spacing w:after="0" w:line="240" w:lineRule="auto"/>
              <w:jc w:val="center"/>
              <w:rPr>
                <w:rFonts w:ascii="Verdana" w:hAnsi="Verdana"/>
                <w:color w:val="000000"/>
                <w:sz w:val="18"/>
                <w:szCs w:val="18"/>
              </w:rPr>
            </w:pPr>
            <w:r w:rsidRPr="00E52256">
              <w:rPr>
                <w:rFonts w:ascii="Verdana" w:hAnsi="Verdana"/>
                <w:color w:val="000000"/>
                <w:sz w:val="18"/>
                <w:szCs w:val="18"/>
              </w:rPr>
              <w:t>4</w:t>
            </w:r>
          </w:p>
        </w:tc>
      </w:tr>
      <w:tr w:rsidRPr="00E52256" w:rsidR="002C46A8" w:rsidTr="006A0A13" w14:paraId="34D286A4" w14:textId="77777777">
        <w:trPr>
          <w:jc w:val="center"/>
        </w:trPr>
        <w:tc>
          <w:tcPr>
            <w:tcW w:w="5760" w:type="dxa"/>
            <w:shd w:val="clear" w:color="auto" w:fill="F2F2F2" w:themeFill="background1" w:themeFillShade="F2"/>
            <w:tcMar>
              <w:top w:w="60" w:type="dxa"/>
              <w:left w:w="120" w:type="dxa"/>
              <w:bottom w:w="60" w:type="dxa"/>
              <w:right w:w="120" w:type="dxa"/>
            </w:tcMar>
            <w:vAlign w:val="center"/>
          </w:tcPr>
          <w:p w:rsidRPr="00E52256" w:rsidR="002C46A8" w:rsidP="00E52256" w:rsidRDefault="002C46A8" w14:paraId="627A2D7B" w14:textId="77777777">
            <w:pPr>
              <w:spacing w:after="0" w:line="240" w:lineRule="auto"/>
              <w:jc w:val="center"/>
              <w:rPr>
                <w:rFonts w:ascii="Verdana" w:hAnsi="Verdana"/>
                <w:color w:val="000000"/>
                <w:sz w:val="18"/>
                <w:szCs w:val="18"/>
              </w:rPr>
            </w:pPr>
            <w:r w:rsidRPr="00E52256">
              <w:rPr>
                <w:rFonts w:ascii="Verdana" w:hAnsi="Verdana"/>
                <w:color w:val="000000"/>
                <w:sz w:val="18"/>
                <w:szCs w:val="18"/>
              </w:rPr>
              <w:t>Régimen Especial</w:t>
            </w:r>
          </w:p>
        </w:tc>
        <w:tc>
          <w:tcPr>
            <w:tcW w:w="1800" w:type="dxa"/>
            <w:shd w:val="clear" w:color="auto" w:fill="F2F2F2" w:themeFill="background1" w:themeFillShade="F2"/>
            <w:tcMar>
              <w:top w:w="60" w:type="dxa"/>
              <w:left w:w="120" w:type="dxa"/>
              <w:bottom w:w="60" w:type="dxa"/>
              <w:right w:w="120" w:type="dxa"/>
            </w:tcMar>
            <w:vAlign w:val="center"/>
          </w:tcPr>
          <w:p w:rsidRPr="00E52256" w:rsidR="002C46A8" w:rsidP="00E52256" w:rsidRDefault="002C46A8" w14:paraId="042FB229" w14:textId="77777777">
            <w:pPr>
              <w:spacing w:after="0" w:line="240" w:lineRule="auto"/>
              <w:jc w:val="center"/>
              <w:rPr>
                <w:rFonts w:ascii="Verdana" w:hAnsi="Verdana"/>
                <w:color w:val="000000"/>
                <w:sz w:val="18"/>
                <w:szCs w:val="18"/>
              </w:rPr>
            </w:pPr>
            <w:r w:rsidRPr="00E52256">
              <w:rPr>
                <w:rFonts w:ascii="Verdana" w:hAnsi="Verdana"/>
                <w:color w:val="000000"/>
                <w:sz w:val="18"/>
                <w:szCs w:val="18"/>
              </w:rPr>
              <w:t>1</w:t>
            </w:r>
          </w:p>
        </w:tc>
      </w:tr>
      <w:tr w:rsidRPr="00E52256" w:rsidR="002C46A8" w:rsidTr="006A0A13" w14:paraId="786EDB03" w14:textId="77777777">
        <w:trPr>
          <w:jc w:val="center"/>
        </w:trPr>
        <w:tc>
          <w:tcPr>
            <w:tcW w:w="5760" w:type="dxa"/>
            <w:shd w:val="clear" w:color="auto" w:fill="FFFFFF" w:themeFill="background1"/>
            <w:tcMar>
              <w:top w:w="60" w:type="dxa"/>
              <w:left w:w="120" w:type="dxa"/>
              <w:bottom w:w="60" w:type="dxa"/>
              <w:right w:w="120" w:type="dxa"/>
            </w:tcMar>
            <w:vAlign w:val="center"/>
          </w:tcPr>
          <w:p w:rsidRPr="00E52256" w:rsidR="002C46A8" w:rsidP="00E52256" w:rsidRDefault="002C46A8" w14:paraId="0B8420D1" w14:textId="77777777">
            <w:pPr>
              <w:spacing w:after="0" w:line="240" w:lineRule="auto"/>
              <w:jc w:val="center"/>
              <w:rPr>
                <w:rFonts w:ascii="Verdana" w:hAnsi="Verdana"/>
                <w:color w:val="000000"/>
                <w:sz w:val="18"/>
                <w:szCs w:val="18"/>
              </w:rPr>
            </w:pPr>
            <w:r w:rsidRPr="00E52256">
              <w:rPr>
                <w:rFonts w:ascii="Verdana" w:hAnsi="Verdana"/>
                <w:color w:val="000000"/>
                <w:sz w:val="18"/>
                <w:szCs w:val="18"/>
              </w:rPr>
              <w:t>Selección Abreviada / Bolsa de Productos</w:t>
            </w:r>
          </w:p>
        </w:tc>
        <w:tc>
          <w:tcPr>
            <w:tcW w:w="1800" w:type="dxa"/>
            <w:shd w:val="clear" w:color="auto" w:fill="FFFFFF" w:themeFill="background1"/>
            <w:tcMar>
              <w:top w:w="60" w:type="dxa"/>
              <w:left w:w="120" w:type="dxa"/>
              <w:bottom w:w="60" w:type="dxa"/>
              <w:right w:w="120" w:type="dxa"/>
            </w:tcMar>
            <w:vAlign w:val="center"/>
          </w:tcPr>
          <w:p w:rsidRPr="00E52256" w:rsidR="002C46A8" w:rsidP="00E52256" w:rsidRDefault="002C46A8" w14:paraId="66EBA03B" w14:textId="77777777">
            <w:pPr>
              <w:spacing w:after="0" w:line="240" w:lineRule="auto"/>
              <w:jc w:val="center"/>
              <w:rPr>
                <w:rFonts w:ascii="Verdana" w:hAnsi="Verdana"/>
                <w:color w:val="000000"/>
                <w:sz w:val="18"/>
                <w:szCs w:val="18"/>
              </w:rPr>
            </w:pPr>
            <w:r w:rsidRPr="00E52256">
              <w:rPr>
                <w:rFonts w:ascii="Verdana" w:hAnsi="Verdana"/>
                <w:color w:val="000000"/>
                <w:sz w:val="18"/>
                <w:szCs w:val="18"/>
              </w:rPr>
              <w:t>1</w:t>
            </w:r>
          </w:p>
        </w:tc>
      </w:tr>
    </w:tbl>
    <w:p w:rsidRPr="00E52256" w:rsidR="002C46A8" w:rsidP="00E52256" w:rsidRDefault="002C46A8" w14:paraId="4FD4EB4A" w14:textId="77777777">
      <w:pPr>
        <w:spacing w:after="0" w:line="240" w:lineRule="auto"/>
        <w:jc w:val="center"/>
        <w:rPr>
          <w:rFonts w:ascii="Verdana" w:hAnsi="Verdana"/>
          <w:sz w:val="18"/>
          <w:szCs w:val="18"/>
        </w:rPr>
      </w:pPr>
      <w:r w:rsidRPr="00E52256">
        <w:rPr>
          <w:rFonts w:ascii="Verdana" w:hAnsi="Verdana"/>
          <w:sz w:val="18"/>
          <w:szCs w:val="18"/>
        </w:rPr>
        <w:t>Fuente: Plataforma NEON y SECOP II.</w:t>
      </w:r>
    </w:p>
    <w:p w:rsidR="00E52256" w:rsidP="006A0A13" w:rsidRDefault="00E52256" w14:paraId="3653509F" w14:textId="77777777">
      <w:pPr>
        <w:spacing w:after="0" w:line="360" w:lineRule="auto"/>
        <w:jc w:val="both"/>
        <w:rPr>
          <w:rFonts w:ascii="Verdana" w:hAnsi="Verdana"/>
          <w:sz w:val="24"/>
          <w:szCs w:val="24"/>
        </w:rPr>
      </w:pPr>
    </w:p>
    <w:p w:rsidRPr="00C140A0" w:rsidR="002C46A8" w:rsidP="006A0A13" w:rsidRDefault="002C46A8" w14:paraId="3548BC54" w14:textId="77777777">
      <w:pPr>
        <w:spacing w:after="0" w:line="360" w:lineRule="auto"/>
        <w:jc w:val="both"/>
        <w:rPr>
          <w:rFonts w:ascii="Verdana" w:hAnsi="Verdana"/>
          <w:sz w:val="24"/>
          <w:szCs w:val="24"/>
        </w:rPr>
      </w:pPr>
      <w:r w:rsidRPr="00C140A0">
        <w:rPr>
          <w:rFonts w:ascii="Verdana" w:hAnsi="Verdana"/>
          <w:sz w:val="24"/>
          <w:szCs w:val="24"/>
        </w:rPr>
        <w:t>Con un enfoque de refuerzo al cumplimiento del PND, desde cada dependencia en su misionalidad y necesidad se estructura el PAA, el cual, al cierre del 2025, permite tener como resultado la contratación y compromiso presupuestal mediante la celebración de 2.119 contratos. Esto abonado, a la estructura contractual del equipo GGC organizada y activa, enfocada al cumplimiento de los fines del Estado.</w:t>
      </w:r>
    </w:p>
    <w:p w:rsidR="00E52256" w:rsidP="006A0A13" w:rsidRDefault="00E52256" w14:paraId="426DB0D1" w14:textId="77777777">
      <w:pPr>
        <w:spacing w:after="0" w:line="360" w:lineRule="auto"/>
        <w:jc w:val="both"/>
        <w:rPr>
          <w:rFonts w:ascii="Verdana" w:hAnsi="Verdana"/>
          <w:sz w:val="24"/>
          <w:szCs w:val="24"/>
        </w:rPr>
      </w:pPr>
    </w:p>
    <w:p w:rsidRPr="00E52256" w:rsidR="002C46A8" w:rsidP="006A0A13" w:rsidRDefault="002C46A8" w14:paraId="052514A7" w14:textId="77777777">
      <w:pPr>
        <w:spacing w:after="0" w:line="360" w:lineRule="auto"/>
        <w:jc w:val="both"/>
        <w:rPr>
          <w:rFonts w:ascii="Verdana" w:hAnsi="Verdana"/>
          <w:b/>
          <w:bCs/>
          <w:sz w:val="24"/>
          <w:szCs w:val="24"/>
        </w:rPr>
      </w:pPr>
      <w:r w:rsidRPr="00E52256">
        <w:rPr>
          <w:rFonts w:ascii="Verdana" w:hAnsi="Verdana"/>
          <w:b/>
          <w:bCs/>
          <w:sz w:val="24"/>
          <w:szCs w:val="24"/>
        </w:rPr>
        <w:t>VIGENCIA 2026 (ENE–MAR 2026)</w:t>
      </w:r>
    </w:p>
    <w:p w:rsidR="00E52256" w:rsidP="006A0A13" w:rsidRDefault="00E52256" w14:paraId="7A95EC28" w14:textId="77777777">
      <w:pPr>
        <w:spacing w:after="0" w:line="360" w:lineRule="auto"/>
        <w:jc w:val="both"/>
        <w:rPr>
          <w:rFonts w:ascii="Verdana" w:hAnsi="Verdana"/>
          <w:sz w:val="24"/>
          <w:szCs w:val="24"/>
        </w:rPr>
      </w:pPr>
    </w:p>
    <w:p w:rsidRPr="00C140A0" w:rsidR="002C46A8" w:rsidP="006A0A13" w:rsidRDefault="002C46A8" w14:paraId="6491C226" w14:textId="77777777">
      <w:pPr>
        <w:spacing w:after="0" w:line="360" w:lineRule="auto"/>
        <w:jc w:val="both"/>
        <w:rPr>
          <w:rFonts w:ascii="Verdana" w:hAnsi="Verdana"/>
          <w:sz w:val="24"/>
          <w:szCs w:val="24"/>
        </w:rPr>
      </w:pPr>
      <w:r w:rsidRPr="00C140A0">
        <w:rPr>
          <w:rFonts w:ascii="Verdana" w:hAnsi="Verdana"/>
          <w:sz w:val="24"/>
          <w:szCs w:val="24"/>
        </w:rPr>
        <w:t>Total de contratos: 1.828</w:t>
      </w:r>
    </w:p>
    <w:p w:rsidRPr="00C140A0" w:rsidR="002C46A8" w:rsidP="006A0A13" w:rsidRDefault="403F1154" w14:paraId="46D22351" w14:textId="77777777">
      <w:pPr>
        <w:spacing w:after="0" w:line="360" w:lineRule="auto"/>
        <w:jc w:val="both"/>
        <w:rPr>
          <w:rFonts w:ascii="Verdana" w:hAnsi="Verdana"/>
          <w:sz w:val="24"/>
          <w:szCs w:val="24"/>
        </w:rPr>
      </w:pPr>
      <w:r w:rsidRPr="180099B3">
        <w:rPr>
          <w:rFonts w:ascii="Verdana" w:hAnsi="Verdana"/>
          <w:sz w:val="24"/>
          <w:szCs w:val="24"/>
        </w:rPr>
        <w:t>Valor total contratado: $494.17 mil millones</w:t>
      </w:r>
    </w:p>
    <w:p w:rsidR="180099B3" w:rsidP="006A0A13" w:rsidRDefault="180099B3" w14:paraId="06A1A967" w14:textId="77777777">
      <w:pPr>
        <w:spacing w:after="0" w:line="360" w:lineRule="auto"/>
        <w:jc w:val="both"/>
        <w:rPr>
          <w:rFonts w:ascii="Verdana" w:hAnsi="Verdana"/>
          <w:sz w:val="24"/>
          <w:szCs w:val="24"/>
        </w:rPr>
      </w:pPr>
    </w:p>
    <w:p w:rsidRPr="00BE4B9E" w:rsidR="002C46A8" w:rsidP="180099B3" w:rsidRDefault="403F1154" w14:paraId="02EC9922" w14:textId="77777777">
      <w:pPr>
        <w:pStyle w:val="Descripcin"/>
        <w:spacing w:after="0"/>
        <w:jc w:val="center"/>
        <w:rPr>
          <w:rFonts w:ascii="Verdana" w:hAnsi="Verdana"/>
          <w:b/>
          <w:bCs/>
          <w:i w:val="0"/>
          <w:iCs w:val="0"/>
        </w:rPr>
      </w:pPr>
      <w:r w:rsidRPr="180099B3">
        <w:rPr>
          <w:rFonts w:ascii="Verdana" w:hAnsi="Verdana"/>
          <w:i w:val="0"/>
          <w:iCs w:val="0"/>
        </w:rPr>
        <w:t>Tabla</w:t>
      </w:r>
      <w:r w:rsidRPr="180099B3" w:rsidR="5D6DC1CB">
        <w:rPr>
          <w:rFonts w:ascii="Verdana" w:hAnsi="Verdana"/>
          <w:i w:val="0"/>
          <w:iCs w:val="0"/>
        </w:rPr>
        <w:t xml:space="preserve"> No. 5</w:t>
      </w:r>
      <w:r w:rsidRPr="180099B3" w:rsidR="0E76246D">
        <w:rPr>
          <w:rFonts w:ascii="Verdana" w:hAnsi="Verdana"/>
          <w:i w:val="0"/>
          <w:iCs w:val="0"/>
        </w:rPr>
        <w:t>8</w:t>
      </w:r>
      <w:r w:rsidRPr="180099B3">
        <w:rPr>
          <w:rFonts w:ascii="Verdana" w:hAnsi="Verdana"/>
          <w:i w:val="0"/>
          <w:iCs w:val="0"/>
        </w:rPr>
        <w:t>. Ene-Mar 2026</w:t>
      </w:r>
    </w:p>
    <w:tbl>
      <w:tblPr>
        <w:tblW w:w="80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 w:type="dxa"/>
          <w:right w:w="10" w:type="dxa"/>
        </w:tblCellMar>
        <w:tblLook w:val="0000" w:firstRow="0" w:lastRow="0" w:firstColumn="0" w:lastColumn="0" w:noHBand="0" w:noVBand="0"/>
      </w:tblPr>
      <w:tblGrid>
        <w:gridCol w:w="4706"/>
        <w:gridCol w:w="1584"/>
        <w:gridCol w:w="1762"/>
      </w:tblGrid>
      <w:tr w:rsidRPr="00E52256" w:rsidR="002C46A8" w:rsidTr="180099B3" w14:paraId="0D305AD3" w14:textId="77777777">
        <w:trPr>
          <w:trHeight w:val="212"/>
          <w:tblHeader/>
        </w:trPr>
        <w:tc>
          <w:tcPr>
            <w:tcW w:w="4706" w:type="dxa"/>
            <w:shd w:val="clear" w:color="auto" w:fill="A6A6A6" w:themeFill="background1" w:themeFillShade="A6"/>
            <w:tcMar>
              <w:top w:w="80" w:type="dxa"/>
              <w:left w:w="120" w:type="dxa"/>
              <w:bottom w:w="80" w:type="dxa"/>
              <w:right w:w="120" w:type="dxa"/>
            </w:tcMar>
            <w:vAlign w:val="center"/>
          </w:tcPr>
          <w:p w:rsidRPr="00E52256" w:rsidR="002C46A8" w:rsidP="00BE4B9E" w:rsidRDefault="002C46A8" w14:paraId="49BB501E" w14:textId="77777777">
            <w:pPr>
              <w:spacing w:after="0" w:line="240" w:lineRule="auto"/>
              <w:jc w:val="center"/>
              <w:rPr>
                <w:rFonts w:ascii="Verdana" w:hAnsi="Verdana"/>
                <w:b/>
                <w:bCs/>
                <w:color w:val="000000"/>
                <w:sz w:val="18"/>
                <w:szCs w:val="18"/>
              </w:rPr>
            </w:pPr>
            <w:r w:rsidRPr="00E52256">
              <w:rPr>
                <w:rFonts w:ascii="Verdana" w:hAnsi="Verdana"/>
                <w:b/>
                <w:bCs/>
                <w:color w:val="000000"/>
                <w:sz w:val="18"/>
                <w:szCs w:val="18"/>
              </w:rPr>
              <w:t>Modalidad de Contratación</w:t>
            </w:r>
          </w:p>
        </w:tc>
        <w:tc>
          <w:tcPr>
            <w:tcW w:w="1584" w:type="dxa"/>
            <w:shd w:val="clear" w:color="auto" w:fill="A6A6A6" w:themeFill="background1" w:themeFillShade="A6"/>
            <w:tcMar>
              <w:top w:w="80" w:type="dxa"/>
              <w:left w:w="120" w:type="dxa"/>
              <w:bottom w:w="80" w:type="dxa"/>
              <w:right w:w="120" w:type="dxa"/>
            </w:tcMar>
            <w:vAlign w:val="center"/>
          </w:tcPr>
          <w:p w:rsidRPr="00E52256" w:rsidR="002C46A8" w:rsidP="00BE4B9E" w:rsidRDefault="002C46A8" w14:paraId="31FD7388" w14:textId="77777777">
            <w:pPr>
              <w:spacing w:after="0" w:line="240" w:lineRule="auto"/>
              <w:jc w:val="center"/>
              <w:rPr>
                <w:rFonts w:ascii="Verdana" w:hAnsi="Verdana"/>
                <w:b/>
                <w:bCs/>
                <w:color w:val="000000"/>
                <w:sz w:val="18"/>
                <w:szCs w:val="18"/>
              </w:rPr>
            </w:pPr>
            <w:r w:rsidRPr="00E52256">
              <w:rPr>
                <w:rFonts w:ascii="Verdana" w:hAnsi="Verdana"/>
                <w:b/>
                <w:bCs/>
                <w:color w:val="000000"/>
                <w:sz w:val="18"/>
                <w:szCs w:val="18"/>
              </w:rPr>
              <w:t>Contratos</w:t>
            </w:r>
          </w:p>
        </w:tc>
        <w:tc>
          <w:tcPr>
            <w:tcW w:w="1762" w:type="dxa"/>
            <w:shd w:val="clear" w:color="auto" w:fill="A6A6A6" w:themeFill="background1" w:themeFillShade="A6"/>
            <w:tcMar>
              <w:top w:w="80" w:type="dxa"/>
              <w:left w:w="120" w:type="dxa"/>
              <w:bottom w:w="80" w:type="dxa"/>
              <w:right w:w="120" w:type="dxa"/>
            </w:tcMar>
            <w:vAlign w:val="center"/>
          </w:tcPr>
          <w:p w:rsidRPr="00E52256" w:rsidR="002C46A8" w:rsidP="00BE4B9E" w:rsidRDefault="002C46A8" w14:paraId="6345F0B6" w14:textId="77777777">
            <w:pPr>
              <w:spacing w:after="0" w:line="240" w:lineRule="auto"/>
              <w:jc w:val="center"/>
              <w:rPr>
                <w:rFonts w:ascii="Verdana" w:hAnsi="Verdana"/>
                <w:b/>
                <w:bCs/>
                <w:color w:val="000000"/>
                <w:sz w:val="18"/>
                <w:szCs w:val="18"/>
              </w:rPr>
            </w:pPr>
            <w:r w:rsidRPr="00E52256">
              <w:rPr>
                <w:rFonts w:ascii="Verdana" w:hAnsi="Verdana"/>
                <w:b/>
                <w:bCs/>
                <w:color w:val="000000"/>
                <w:sz w:val="18"/>
                <w:szCs w:val="18"/>
              </w:rPr>
              <w:t>Participación</w:t>
            </w:r>
          </w:p>
        </w:tc>
      </w:tr>
      <w:tr w:rsidRPr="00E52256" w:rsidR="002C46A8" w:rsidTr="180099B3" w14:paraId="072B253A" w14:textId="77777777">
        <w:trPr>
          <w:trHeight w:val="199"/>
        </w:trPr>
        <w:tc>
          <w:tcPr>
            <w:tcW w:w="4706" w:type="dxa"/>
            <w:shd w:val="clear" w:color="auto" w:fill="FFFFFF" w:themeFill="background1"/>
            <w:tcMar>
              <w:top w:w="60" w:type="dxa"/>
              <w:left w:w="120" w:type="dxa"/>
              <w:bottom w:w="60" w:type="dxa"/>
              <w:right w:w="120" w:type="dxa"/>
            </w:tcMar>
            <w:vAlign w:val="center"/>
          </w:tcPr>
          <w:p w:rsidRPr="00E52256" w:rsidR="002C46A8" w:rsidP="00BE4B9E" w:rsidRDefault="002C46A8" w14:paraId="131908ED" w14:textId="77777777">
            <w:pPr>
              <w:spacing w:after="0" w:line="240" w:lineRule="auto"/>
              <w:jc w:val="center"/>
              <w:rPr>
                <w:rFonts w:ascii="Verdana" w:hAnsi="Verdana"/>
                <w:color w:val="000000"/>
                <w:sz w:val="18"/>
                <w:szCs w:val="18"/>
              </w:rPr>
            </w:pPr>
            <w:r w:rsidRPr="00E52256">
              <w:rPr>
                <w:rFonts w:ascii="Verdana" w:hAnsi="Verdana"/>
                <w:color w:val="000000"/>
                <w:sz w:val="18"/>
                <w:szCs w:val="18"/>
              </w:rPr>
              <w:t>CD Servicios Profesionales y Apoyo a la Gestión</w:t>
            </w:r>
          </w:p>
        </w:tc>
        <w:tc>
          <w:tcPr>
            <w:tcW w:w="1584" w:type="dxa"/>
            <w:shd w:val="clear" w:color="auto" w:fill="FFFFFF" w:themeFill="background1"/>
            <w:tcMar>
              <w:top w:w="60" w:type="dxa"/>
              <w:left w:w="120" w:type="dxa"/>
              <w:bottom w:w="60" w:type="dxa"/>
              <w:right w:w="120" w:type="dxa"/>
            </w:tcMar>
            <w:vAlign w:val="center"/>
          </w:tcPr>
          <w:p w:rsidRPr="00E52256" w:rsidR="002C46A8" w:rsidP="00BE4B9E" w:rsidRDefault="002C46A8" w14:paraId="42782F62" w14:textId="77777777">
            <w:pPr>
              <w:spacing w:after="0" w:line="240" w:lineRule="auto"/>
              <w:jc w:val="center"/>
              <w:rPr>
                <w:rFonts w:ascii="Verdana" w:hAnsi="Verdana"/>
                <w:color w:val="000000"/>
                <w:sz w:val="18"/>
                <w:szCs w:val="18"/>
              </w:rPr>
            </w:pPr>
            <w:r w:rsidRPr="00E52256">
              <w:rPr>
                <w:rFonts w:ascii="Verdana" w:hAnsi="Verdana"/>
                <w:color w:val="000000"/>
                <w:sz w:val="18"/>
                <w:szCs w:val="18"/>
              </w:rPr>
              <w:t>1.794</w:t>
            </w:r>
          </w:p>
        </w:tc>
        <w:tc>
          <w:tcPr>
            <w:tcW w:w="1762" w:type="dxa"/>
            <w:shd w:val="clear" w:color="auto" w:fill="FFFFFF" w:themeFill="background1"/>
            <w:tcMar>
              <w:top w:w="60" w:type="dxa"/>
              <w:left w:w="120" w:type="dxa"/>
              <w:bottom w:w="60" w:type="dxa"/>
              <w:right w:w="120" w:type="dxa"/>
            </w:tcMar>
            <w:vAlign w:val="center"/>
          </w:tcPr>
          <w:p w:rsidRPr="00E52256" w:rsidR="002C46A8" w:rsidP="00BE4B9E" w:rsidRDefault="002C46A8" w14:paraId="17BEA0CA" w14:textId="77777777">
            <w:pPr>
              <w:spacing w:after="0" w:line="240" w:lineRule="auto"/>
              <w:jc w:val="center"/>
              <w:rPr>
                <w:rFonts w:ascii="Verdana" w:hAnsi="Verdana"/>
                <w:color w:val="000000"/>
                <w:sz w:val="18"/>
                <w:szCs w:val="18"/>
              </w:rPr>
            </w:pPr>
            <w:r w:rsidRPr="00E52256">
              <w:rPr>
                <w:rFonts w:ascii="Verdana" w:hAnsi="Verdana"/>
                <w:color w:val="000000"/>
                <w:sz w:val="18"/>
                <w:szCs w:val="18"/>
              </w:rPr>
              <w:t>98.1%</w:t>
            </w:r>
          </w:p>
        </w:tc>
      </w:tr>
      <w:tr w:rsidRPr="00E52256" w:rsidR="002C46A8" w:rsidTr="180099B3" w14:paraId="40AEEE31" w14:textId="77777777">
        <w:trPr>
          <w:trHeight w:val="212"/>
        </w:trPr>
        <w:tc>
          <w:tcPr>
            <w:tcW w:w="4706" w:type="dxa"/>
            <w:shd w:val="clear" w:color="auto" w:fill="F2F2F2" w:themeFill="background1" w:themeFillShade="F2"/>
            <w:tcMar>
              <w:top w:w="60" w:type="dxa"/>
              <w:left w:w="120" w:type="dxa"/>
              <w:bottom w:w="60" w:type="dxa"/>
              <w:right w:w="120" w:type="dxa"/>
            </w:tcMar>
            <w:vAlign w:val="center"/>
          </w:tcPr>
          <w:p w:rsidRPr="00E52256" w:rsidR="002C46A8" w:rsidP="00BE4B9E" w:rsidRDefault="002C46A8" w14:paraId="1D3FCC42" w14:textId="77777777">
            <w:pPr>
              <w:spacing w:after="0" w:line="240" w:lineRule="auto"/>
              <w:jc w:val="center"/>
              <w:rPr>
                <w:rFonts w:ascii="Verdana" w:hAnsi="Verdana"/>
                <w:color w:val="000000"/>
                <w:sz w:val="18"/>
                <w:szCs w:val="18"/>
              </w:rPr>
            </w:pPr>
            <w:r w:rsidRPr="00E52256">
              <w:rPr>
                <w:rFonts w:ascii="Verdana" w:hAnsi="Verdana"/>
                <w:color w:val="000000"/>
                <w:sz w:val="18"/>
                <w:szCs w:val="18"/>
              </w:rPr>
              <w:t>Contratación Directa</w:t>
            </w:r>
          </w:p>
        </w:tc>
        <w:tc>
          <w:tcPr>
            <w:tcW w:w="1584" w:type="dxa"/>
            <w:shd w:val="clear" w:color="auto" w:fill="F2F2F2" w:themeFill="background1" w:themeFillShade="F2"/>
            <w:tcMar>
              <w:top w:w="60" w:type="dxa"/>
              <w:left w:w="120" w:type="dxa"/>
              <w:bottom w:w="60" w:type="dxa"/>
              <w:right w:w="120" w:type="dxa"/>
            </w:tcMar>
            <w:vAlign w:val="center"/>
          </w:tcPr>
          <w:p w:rsidRPr="00E52256" w:rsidR="002C46A8" w:rsidP="00BE4B9E" w:rsidRDefault="002C46A8" w14:paraId="338BBD92" w14:textId="77777777">
            <w:pPr>
              <w:spacing w:after="0" w:line="240" w:lineRule="auto"/>
              <w:jc w:val="center"/>
              <w:rPr>
                <w:rFonts w:ascii="Verdana" w:hAnsi="Verdana"/>
                <w:color w:val="000000"/>
                <w:sz w:val="18"/>
                <w:szCs w:val="18"/>
              </w:rPr>
            </w:pPr>
            <w:r w:rsidRPr="00E52256">
              <w:rPr>
                <w:rFonts w:ascii="Verdana" w:hAnsi="Verdana"/>
                <w:color w:val="000000"/>
                <w:sz w:val="18"/>
                <w:szCs w:val="18"/>
              </w:rPr>
              <w:t>29</w:t>
            </w:r>
          </w:p>
        </w:tc>
        <w:tc>
          <w:tcPr>
            <w:tcW w:w="1762" w:type="dxa"/>
            <w:shd w:val="clear" w:color="auto" w:fill="F2F2F2" w:themeFill="background1" w:themeFillShade="F2"/>
            <w:tcMar>
              <w:top w:w="60" w:type="dxa"/>
              <w:left w:w="120" w:type="dxa"/>
              <w:bottom w:w="60" w:type="dxa"/>
              <w:right w:w="120" w:type="dxa"/>
            </w:tcMar>
            <w:vAlign w:val="center"/>
          </w:tcPr>
          <w:p w:rsidRPr="00E52256" w:rsidR="002C46A8" w:rsidP="00BE4B9E" w:rsidRDefault="002C46A8" w14:paraId="12F4495B" w14:textId="77777777">
            <w:pPr>
              <w:spacing w:after="0" w:line="240" w:lineRule="auto"/>
              <w:jc w:val="center"/>
              <w:rPr>
                <w:rFonts w:ascii="Verdana" w:hAnsi="Verdana"/>
                <w:color w:val="000000"/>
                <w:sz w:val="18"/>
                <w:szCs w:val="18"/>
              </w:rPr>
            </w:pPr>
            <w:r w:rsidRPr="00E52256">
              <w:rPr>
                <w:rFonts w:ascii="Verdana" w:hAnsi="Verdana"/>
                <w:color w:val="000000"/>
                <w:sz w:val="18"/>
                <w:szCs w:val="18"/>
              </w:rPr>
              <w:t>1.6%</w:t>
            </w:r>
          </w:p>
        </w:tc>
      </w:tr>
      <w:tr w:rsidRPr="00E52256" w:rsidR="002C46A8" w:rsidTr="180099B3" w14:paraId="497B2380" w14:textId="77777777">
        <w:trPr>
          <w:trHeight w:val="199"/>
        </w:trPr>
        <w:tc>
          <w:tcPr>
            <w:tcW w:w="4706" w:type="dxa"/>
            <w:shd w:val="clear" w:color="auto" w:fill="FFFFFF" w:themeFill="background1"/>
            <w:tcMar>
              <w:top w:w="60" w:type="dxa"/>
              <w:left w:w="120" w:type="dxa"/>
              <w:bottom w:w="60" w:type="dxa"/>
              <w:right w:w="120" w:type="dxa"/>
            </w:tcMar>
            <w:vAlign w:val="center"/>
          </w:tcPr>
          <w:p w:rsidRPr="00E52256" w:rsidR="002C46A8" w:rsidP="00BE4B9E" w:rsidRDefault="002C46A8" w14:paraId="11F4A83E" w14:textId="77777777">
            <w:pPr>
              <w:spacing w:after="0" w:line="240" w:lineRule="auto"/>
              <w:jc w:val="center"/>
              <w:rPr>
                <w:rFonts w:ascii="Verdana" w:hAnsi="Verdana"/>
                <w:color w:val="000000"/>
                <w:sz w:val="18"/>
                <w:szCs w:val="18"/>
              </w:rPr>
            </w:pPr>
            <w:r w:rsidRPr="00E52256">
              <w:rPr>
                <w:rFonts w:ascii="Verdana" w:hAnsi="Verdana"/>
                <w:color w:val="000000"/>
                <w:sz w:val="18"/>
                <w:szCs w:val="18"/>
              </w:rPr>
              <w:t>Selección Abreviada Acuerdo Marco de Precios</w:t>
            </w:r>
          </w:p>
        </w:tc>
        <w:tc>
          <w:tcPr>
            <w:tcW w:w="1584" w:type="dxa"/>
            <w:shd w:val="clear" w:color="auto" w:fill="FFFFFF" w:themeFill="background1"/>
            <w:tcMar>
              <w:top w:w="60" w:type="dxa"/>
              <w:left w:w="120" w:type="dxa"/>
              <w:bottom w:w="60" w:type="dxa"/>
              <w:right w:w="120" w:type="dxa"/>
            </w:tcMar>
            <w:vAlign w:val="center"/>
          </w:tcPr>
          <w:p w:rsidRPr="00E52256" w:rsidR="002C46A8" w:rsidP="00BE4B9E" w:rsidRDefault="002C46A8" w14:paraId="71E70F36" w14:textId="77777777">
            <w:pPr>
              <w:spacing w:after="0" w:line="240" w:lineRule="auto"/>
              <w:jc w:val="center"/>
              <w:rPr>
                <w:rFonts w:ascii="Verdana" w:hAnsi="Verdana"/>
                <w:color w:val="000000"/>
                <w:sz w:val="18"/>
                <w:szCs w:val="18"/>
              </w:rPr>
            </w:pPr>
            <w:r w:rsidRPr="00E52256">
              <w:rPr>
                <w:rFonts w:ascii="Verdana" w:hAnsi="Verdana"/>
                <w:color w:val="000000"/>
                <w:sz w:val="18"/>
                <w:szCs w:val="18"/>
              </w:rPr>
              <w:t>4</w:t>
            </w:r>
          </w:p>
        </w:tc>
        <w:tc>
          <w:tcPr>
            <w:tcW w:w="1762" w:type="dxa"/>
            <w:shd w:val="clear" w:color="auto" w:fill="FFFFFF" w:themeFill="background1"/>
            <w:tcMar>
              <w:top w:w="60" w:type="dxa"/>
              <w:left w:w="120" w:type="dxa"/>
              <w:bottom w:w="60" w:type="dxa"/>
              <w:right w:w="120" w:type="dxa"/>
            </w:tcMar>
            <w:vAlign w:val="center"/>
          </w:tcPr>
          <w:p w:rsidRPr="00E52256" w:rsidR="002C46A8" w:rsidP="00BE4B9E" w:rsidRDefault="002C46A8" w14:paraId="483F8FC4" w14:textId="77777777">
            <w:pPr>
              <w:spacing w:after="0" w:line="240" w:lineRule="auto"/>
              <w:jc w:val="center"/>
              <w:rPr>
                <w:rFonts w:ascii="Verdana" w:hAnsi="Verdana"/>
                <w:color w:val="000000"/>
                <w:sz w:val="18"/>
                <w:szCs w:val="18"/>
              </w:rPr>
            </w:pPr>
            <w:r w:rsidRPr="00E52256">
              <w:rPr>
                <w:rFonts w:ascii="Verdana" w:hAnsi="Verdana"/>
                <w:color w:val="000000"/>
                <w:sz w:val="18"/>
                <w:szCs w:val="18"/>
              </w:rPr>
              <w:t>0.2%</w:t>
            </w:r>
          </w:p>
        </w:tc>
      </w:tr>
      <w:tr w:rsidRPr="00E52256" w:rsidR="002C46A8" w:rsidTr="180099B3" w14:paraId="47DBC8C3" w14:textId="77777777">
        <w:trPr>
          <w:trHeight w:val="212"/>
        </w:trPr>
        <w:tc>
          <w:tcPr>
            <w:tcW w:w="4706" w:type="dxa"/>
            <w:shd w:val="clear" w:color="auto" w:fill="F2F2F2" w:themeFill="background1" w:themeFillShade="F2"/>
            <w:tcMar>
              <w:top w:w="60" w:type="dxa"/>
              <w:left w:w="120" w:type="dxa"/>
              <w:bottom w:w="60" w:type="dxa"/>
              <w:right w:w="120" w:type="dxa"/>
            </w:tcMar>
            <w:vAlign w:val="center"/>
          </w:tcPr>
          <w:p w:rsidRPr="00E52256" w:rsidR="002C46A8" w:rsidP="00BE4B9E" w:rsidRDefault="002C46A8" w14:paraId="140DC26A" w14:textId="77777777">
            <w:pPr>
              <w:spacing w:after="0" w:line="240" w:lineRule="auto"/>
              <w:jc w:val="center"/>
              <w:rPr>
                <w:rFonts w:ascii="Verdana" w:hAnsi="Verdana"/>
                <w:color w:val="000000"/>
                <w:sz w:val="18"/>
                <w:szCs w:val="18"/>
              </w:rPr>
            </w:pPr>
            <w:r w:rsidRPr="00E52256">
              <w:rPr>
                <w:rFonts w:ascii="Verdana" w:hAnsi="Verdana"/>
                <w:color w:val="000000"/>
                <w:sz w:val="18"/>
                <w:szCs w:val="18"/>
              </w:rPr>
              <w:t>Régimen Especial</w:t>
            </w:r>
          </w:p>
        </w:tc>
        <w:tc>
          <w:tcPr>
            <w:tcW w:w="1584" w:type="dxa"/>
            <w:shd w:val="clear" w:color="auto" w:fill="F2F2F2" w:themeFill="background1" w:themeFillShade="F2"/>
            <w:tcMar>
              <w:top w:w="60" w:type="dxa"/>
              <w:left w:w="120" w:type="dxa"/>
              <w:bottom w:w="60" w:type="dxa"/>
              <w:right w:w="120" w:type="dxa"/>
            </w:tcMar>
            <w:vAlign w:val="center"/>
          </w:tcPr>
          <w:p w:rsidRPr="00E52256" w:rsidR="002C46A8" w:rsidP="00BE4B9E" w:rsidRDefault="002C46A8" w14:paraId="6EE818F9" w14:textId="77777777">
            <w:pPr>
              <w:spacing w:after="0" w:line="240" w:lineRule="auto"/>
              <w:jc w:val="center"/>
              <w:rPr>
                <w:rFonts w:ascii="Verdana" w:hAnsi="Verdana"/>
                <w:color w:val="000000"/>
                <w:sz w:val="18"/>
                <w:szCs w:val="18"/>
              </w:rPr>
            </w:pPr>
            <w:r w:rsidRPr="00E52256">
              <w:rPr>
                <w:rFonts w:ascii="Verdana" w:hAnsi="Verdana"/>
                <w:color w:val="000000"/>
                <w:sz w:val="18"/>
                <w:szCs w:val="18"/>
              </w:rPr>
              <w:t>1</w:t>
            </w:r>
          </w:p>
        </w:tc>
        <w:tc>
          <w:tcPr>
            <w:tcW w:w="1762" w:type="dxa"/>
            <w:shd w:val="clear" w:color="auto" w:fill="F2F2F2" w:themeFill="background1" w:themeFillShade="F2"/>
            <w:tcMar>
              <w:top w:w="60" w:type="dxa"/>
              <w:left w:w="120" w:type="dxa"/>
              <w:bottom w:w="60" w:type="dxa"/>
              <w:right w:w="120" w:type="dxa"/>
            </w:tcMar>
            <w:vAlign w:val="center"/>
          </w:tcPr>
          <w:p w:rsidRPr="00E52256" w:rsidR="002C46A8" w:rsidP="00BE4B9E" w:rsidRDefault="002C46A8" w14:paraId="5912F8B3" w14:textId="77777777">
            <w:pPr>
              <w:spacing w:after="0" w:line="240" w:lineRule="auto"/>
              <w:jc w:val="center"/>
              <w:rPr>
                <w:rFonts w:ascii="Verdana" w:hAnsi="Verdana"/>
                <w:color w:val="000000"/>
                <w:sz w:val="18"/>
                <w:szCs w:val="18"/>
              </w:rPr>
            </w:pPr>
            <w:r w:rsidRPr="00E52256">
              <w:rPr>
                <w:rFonts w:ascii="Verdana" w:hAnsi="Verdana"/>
                <w:color w:val="000000"/>
                <w:sz w:val="18"/>
                <w:szCs w:val="18"/>
              </w:rPr>
              <w:t>0.1%</w:t>
            </w:r>
          </w:p>
        </w:tc>
      </w:tr>
    </w:tbl>
    <w:p w:rsidRPr="00E52256" w:rsidR="002C46A8" w:rsidP="00BE4B9E" w:rsidRDefault="002C46A8" w14:paraId="55B1C398" w14:textId="77777777">
      <w:pPr>
        <w:spacing w:after="0" w:line="240" w:lineRule="auto"/>
        <w:jc w:val="center"/>
        <w:rPr>
          <w:rFonts w:ascii="Verdana" w:hAnsi="Verdana"/>
          <w:sz w:val="18"/>
          <w:szCs w:val="18"/>
        </w:rPr>
      </w:pPr>
      <w:r w:rsidRPr="00E52256">
        <w:rPr>
          <w:rFonts w:ascii="Verdana" w:hAnsi="Verdana"/>
          <w:sz w:val="18"/>
          <w:szCs w:val="18"/>
        </w:rPr>
        <w:t>Fuente: Plataforma NEON y SECOP II.</w:t>
      </w:r>
    </w:p>
    <w:p w:rsidRPr="006A0A13" w:rsidR="00B91FF3" w:rsidP="006A0A13" w:rsidRDefault="00B91FF3" w14:paraId="1FA9877F" w14:textId="77777777">
      <w:pPr>
        <w:spacing w:after="0" w:line="360" w:lineRule="auto"/>
        <w:jc w:val="both"/>
        <w:rPr>
          <w:rFonts w:ascii="Verdana" w:hAnsi="Verdana"/>
          <w:sz w:val="24"/>
          <w:szCs w:val="24"/>
        </w:rPr>
      </w:pPr>
    </w:p>
    <w:p w:rsidRPr="006A0A13" w:rsidR="002C46A8" w:rsidP="006A0A13" w:rsidRDefault="002C46A8" w14:paraId="45BFCE7B" w14:textId="4AFF57A1">
      <w:pPr>
        <w:spacing w:after="0" w:line="360" w:lineRule="auto"/>
        <w:jc w:val="both"/>
        <w:rPr>
          <w:rFonts w:ascii="Verdana" w:hAnsi="Verdana"/>
          <w:sz w:val="24"/>
          <w:szCs w:val="24"/>
        </w:rPr>
      </w:pPr>
      <w:r w:rsidRPr="30CF4445" w:rsidR="6BD245D0">
        <w:rPr>
          <w:rFonts w:ascii="Verdana" w:hAnsi="Verdana"/>
          <w:sz w:val="24"/>
          <w:szCs w:val="24"/>
        </w:rPr>
        <w:t>Para este año cabe mencionar que en</w:t>
      </w:r>
      <w:r w:rsidRPr="30CF4445" w:rsidR="49418B71">
        <w:rPr>
          <w:rFonts w:ascii="Verdana" w:hAnsi="Verdana"/>
          <w:sz w:val="24"/>
          <w:szCs w:val="24"/>
        </w:rPr>
        <w:t xml:space="preserve"> </w:t>
      </w:r>
      <w:r w:rsidRPr="30CF4445" w:rsidR="6BD245D0">
        <w:rPr>
          <w:rFonts w:ascii="Verdana" w:hAnsi="Verdana"/>
          <w:sz w:val="24"/>
          <w:szCs w:val="24"/>
        </w:rPr>
        <w:t xml:space="preserve">torno a la aplicación de la Ley de Garantías con ocasión a las elecciones presidenciales 2026-2030, en un trabajo eficiente y articulado con las dependencias en el marco del PAA, a corte del presente documento se logró la contratación </w:t>
      </w:r>
      <w:r w:rsidRPr="30CF4445" w:rsidR="639ED8C6">
        <w:rPr>
          <w:rFonts w:ascii="Verdana" w:hAnsi="Verdana"/>
          <w:sz w:val="24"/>
          <w:szCs w:val="24"/>
        </w:rPr>
        <w:t xml:space="preserve">de </w:t>
      </w:r>
      <w:r w:rsidRPr="30CF4445" w:rsidR="6BD245D0">
        <w:rPr>
          <w:rFonts w:ascii="Verdana" w:hAnsi="Verdana"/>
          <w:sz w:val="24"/>
          <w:szCs w:val="24"/>
        </w:rPr>
        <w:t xml:space="preserve">1.828 contratos de cara al cumplimiento misional y fines del </w:t>
      </w:r>
      <w:r w:rsidRPr="30CF4445" w:rsidR="1C7D9EDA">
        <w:rPr>
          <w:rFonts w:ascii="Verdana" w:hAnsi="Verdana"/>
          <w:sz w:val="24"/>
          <w:szCs w:val="24"/>
        </w:rPr>
        <w:t>E</w:t>
      </w:r>
      <w:r w:rsidRPr="30CF4445" w:rsidR="6BD245D0">
        <w:rPr>
          <w:rFonts w:ascii="Verdana" w:hAnsi="Verdana"/>
          <w:sz w:val="24"/>
          <w:szCs w:val="24"/>
        </w:rPr>
        <w:t>stado que le corresponde a este Ministerio.</w:t>
      </w:r>
    </w:p>
    <w:p w:rsidRPr="006A0A13" w:rsidR="00E52256" w:rsidP="006A0A13" w:rsidRDefault="00E52256" w14:paraId="6A611920" w14:textId="77777777">
      <w:pPr>
        <w:spacing w:after="0" w:line="360" w:lineRule="auto"/>
        <w:jc w:val="both"/>
        <w:rPr>
          <w:rFonts w:ascii="Verdana" w:hAnsi="Verdana"/>
          <w:sz w:val="24"/>
          <w:szCs w:val="24"/>
        </w:rPr>
      </w:pPr>
    </w:p>
    <w:p w:rsidRPr="006A0A13" w:rsidR="002C46A8" w:rsidP="006A0A13" w:rsidRDefault="002C46A8" w14:paraId="2A0DD5AA" w14:textId="2A90FCF4">
      <w:pPr>
        <w:spacing w:after="0" w:line="360" w:lineRule="auto"/>
        <w:jc w:val="both"/>
        <w:rPr>
          <w:rFonts w:ascii="Verdana" w:hAnsi="Verdana"/>
          <w:sz w:val="24"/>
          <w:szCs w:val="24"/>
        </w:rPr>
      </w:pPr>
      <w:r w:rsidRPr="30CF4445" w:rsidR="6BD245D0">
        <w:rPr>
          <w:rFonts w:ascii="Verdana" w:hAnsi="Verdana"/>
          <w:sz w:val="24"/>
          <w:szCs w:val="24"/>
        </w:rPr>
        <w:t xml:space="preserve">Así las cosas, en resumen, se resalta que la contratación requerida por las dependencias, conforme a la justificación de la necesidad, fue gestionada durante las distintas vigencias a través de las modalidades previstas en el ordenamiento jurídico, enmarcadas en los procedimientos legalmente establecidos y orientadas al cumplimiento de la misión institucional de esta </w:t>
      </w:r>
      <w:r w:rsidRPr="30CF4445" w:rsidR="26CF1F7B">
        <w:rPr>
          <w:rFonts w:ascii="Verdana" w:hAnsi="Verdana"/>
          <w:sz w:val="24"/>
          <w:szCs w:val="24"/>
        </w:rPr>
        <w:t>c</w:t>
      </w:r>
      <w:r w:rsidRPr="30CF4445" w:rsidR="6BD245D0">
        <w:rPr>
          <w:rFonts w:ascii="Verdana" w:hAnsi="Verdana"/>
          <w:sz w:val="24"/>
          <w:szCs w:val="24"/>
        </w:rPr>
        <w:t>artera. Lo anterior garantizó la observancia de los principios de la función administrativa, la contratación estatal y la gestión fiscal, así como el acatamiento de las disposiciones del Sistema de Compra Pública colombiano y del Estatuto General de Contratación de la Administración Pública, en especial la Ley 80 de 1993 y sus normas reglamentarias y complementarias, asegurando la adecuada aplicación del régimen jurídico y la continuidad de los procesos contractuales de la Entidad.</w:t>
      </w:r>
    </w:p>
    <w:p w:rsidRPr="006A0A13" w:rsidR="002C46A8" w:rsidP="006A0A13" w:rsidRDefault="002C46A8" w14:paraId="6FCAA9F4" w14:textId="77777777">
      <w:pPr>
        <w:spacing w:after="0" w:line="360" w:lineRule="auto"/>
        <w:rPr>
          <w:rFonts w:ascii="Verdana" w:hAnsi="Verdana"/>
        </w:rPr>
      </w:pPr>
    </w:p>
    <w:p w:rsidRPr="006A0A13" w:rsidR="00A82055" w:rsidRDefault="00A82055" w14:paraId="4CE6F59E" w14:textId="77777777">
      <w:pPr>
        <w:pStyle w:val="Ttulo2"/>
        <w:numPr>
          <w:ilvl w:val="1"/>
          <w:numId w:val="42"/>
        </w:numPr>
        <w:spacing w:before="0" w:after="0" w:line="360" w:lineRule="auto"/>
        <w:rPr>
          <w:rFonts w:ascii="Verdana" w:hAnsi="Verdana"/>
          <w:b/>
          <w:bCs/>
          <w:color w:val="auto"/>
          <w:sz w:val="24"/>
          <w:szCs w:val="24"/>
        </w:rPr>
      </w:pPr>
      <w:bookmarkStart w:name="_Toc233996734" w:id="17"/>
      <w:r w:rsidRPr="006A0A13">
        <w:rPr>
          <w:rFonts w:ascii="Verdana" w:hAnsi="Verdana"/>
          <w:b/>
          <w:bCs/>
          <w:color w:val="auto"/>
          <w:sz w:val="24"/>
          <w:szCs w:val="24"/>
        </w:rPr>
        <w:t>Prácticas para la austeridad del gasto público</w:t>
      </w:r>
      <w:bookmarkEnd w:id="17"/>
      <w:r w:rsidRPr="006A0A13">
        <w:rPr>
          <w:rFonts w:ascii="Verdana" w:hAnsi="Verdana"/>
          <w:b/>
          <w:bCs/>
          <w:color w:val="auto"/>
          <w:sz w:val="24"/>
          <w:szCs w:val="24"/>
        </w:rPr>
        <w:t xml:space="preserve"> </w:t>
      </w:r>
    </w:p>
    <w:p w:rsidRPr="006A0A13" w:rsidR="00E52256" w:rsidP="006A0A13" w:rsidRDefault="00E52256" w14:paraId="53699187" w14:textId="77777777">
      <w:pPr>
        <w:spacing w:after="0" w:line="360" w:lineRule="auto"/>
        <w:jc w:val="both"/>
        <w:rPr>
          <w:rFonts w:ascii="Verdana" w:hAnsi="Verdana"/>
          <w:sz w:val="24"/>
          <w:szCs w:val="24"/>
        </w:rPr>
      </w:pPr>
    </w:p>
    <w:p w:rsidRPr="006A0A13" w:rsidR="002C46A8" w:rsidP="006A0A13" w:rsidRDefault="002C46A8" w14:paraId="1400CDCC" w14:textId="5032B198">
      <w:pPr>
        <w:spacing w:after="0" w:line="360" w:lineRule="auto"/>
        <w:jc w:val="both"/>
        <w:rPr>
          <w:rFonts w:ascii="Verdana" w:hAnsi="Verdana"/>
          <w:sz w:val="24"/>
          <w:szCs w:val="24"/>
        </w:rPr>
      </w:pPr>
      <w:r w:rsidRPr="30CF4445" w:rsidR="6BD245D0">
        <w:rPr>
          <w:rFonts w:ascii="Verdana" w:hAnsi="Verdana"/>
          <w:sz w:val="24"/>
          <w:szCs w:val="24"/>
        </w:rPr>
        <w:t xml:space="preserve">Durante el periodo agosto 2022 – marzo 2026 en cumplimiento de los decretos, directivas y circulares expedidas por la Presidencia de la </w:t>
      </w:r>
      <w:r w:rsidRPr="30CF4445" w:rsidR="6BD245D0">
        <w:rPr>
          <w:rFonts w:ascii="Verdana" w:hAnsi="Verdana"/>
          <w:sz w:val="24"/>
          <w:szCs w:val="24"/>
        </w:rPr>
        <w:t>República</w:t>
      </w:r>
      <w:r w:rsidRPr="30CF4445" w:rsidR="6353E5AE">
        <w:rPr>
          <w:rFonts w:ascii="Verdana" w:hAnsi="Verdana"/>
          <w:sz w:val="24"/>
          <w:szCs w:val="24"/>
        </w:rPr>
        <w:t>,</w:t>
      </w:r>
      <w:r w:rsidRPr="30CF4445" w:rsidR="6BD245D0">
        <w:rPr>
          <w:rFonts w:ascii="Verdana" w:hAnsi="Verdana"/>
          <w:sz w:val="24"/>
          <w:szCs w:val="24"/>
        </w:rPr>
        <w:t xml:space="preserve"> el Ministerio de Hacienda y Crédito Público en referencia a promover la eficiencia y responsabilidad en el gasto público, el Ministerio de Minas y Energía orientado a racionalizar recursos, optimizar el gasto y garantizar una gestión eficiente y transparente, arrojó los siguientes logros:</w:t>
      </w:r>
    </w:p>
    <w:p w:rsidRPr="006A0A13" w:rsidR="00E52256" w:rsidP="006A0A13" w:rsidRDefault="00E52256" w14:paraId="7DE3D835" w14:textId="77777777">
      <w:pPr>
        <w:spacing w:after="0" w:line="360" w:lineRule="auto"/>
        <w:jc w:val="both"/>
        <w:rPr>
          <w:rFonts w:ascii="Verdana" w:hAnsi="Verdana"/>
          <w:sz w:val="24"/>
          <w:szCs w:val="24"/>
        </w:rPr>
      </w:pPr>
    </w:p>
    <w:p w:rsidRPr="006A0A13" w:rsidR="002C46A8" w:rsidP="006A0A13" w:rsidRDefault="002C46A8" w14:paraId="28EA65F0" w14:textId="77777777">
      <w:pPr>
        <w:spacing w:after="0" w:line="360" w:lineRule="auto"/>
        <w:jc w:val="both"/>
        <w:rPr>
          <w:rFonts w:ascii="Verdana" w:hAnsi="Verdana"/>
          <w:b/>
          <w:bCs/>
          <w:sz w:val="24"/>
          <w:szCs w:val="24"/>
        </w:rPr>
      </w:pPr>
      <w:r w:rsidRPr="006A0A13">
        <w:rPr>
          <w:rFonts w:ascii="Verdana" w:hAnsi="Verdana"/>
          <w:b/>
          <w:bCs/>
          <w:sz w:val="24"/>
          <w:szCs w:val="24"/>
        </w:rPr>
        <w:t>2022</w:t>
      </w:r>
    </w:p>
    <w:p w:rsidRPr="006A0A13" w:rsidR="002C46A8" w:rsidRDefault="002C46A8" w14:paraId="43556541" w14:textId="77777777">
      <w:pPr>
        <w:pStyle w:val="Prrafodelista"/>
        <w:numPr>
          <w:ilvl w:val="1"/>
          <w:numId w:val="66"/>
        </w:numPr>
        <w:spacing w:after="0" w:line="360" w:lineRule="auto"/>
        <w:ind w:left="709" w:hanging="280"/>
        <w:jc w:val="both"/>
        <w:rPr>
          <w:rFonts w:ascii="Verdana" w:hAnsi="Verdana"/>
          <w:sz w:val="24"/>
          <w:szCs w:val="24"/>
        </w:rPr>
      </w:pPr>
      <w:r w:rsidRPr="006A0A13">
        <w:rPr>
          <w:rFonts w:ascii="Verdana" w:hAnsi="Verdana"/>
          <w:sz w:val="24"/>
          <w:szCs w:val="24"/>
        </w:rPr>
        <w:t xml:space="preserve">Como parte de la estrategia para la reducción de consumo energético, se implementó en las sedes del Ministerio de Minas y Energía el sistema de energía solar fotovoltaica, tras su puesta en marcha se logró para la vigencia una reducción del 26,4% del consumo y ahorros económicos mensuales promedio de $4.358.945. </w:t>
      </w:r>
    </w:p>
    <w:p w:rsidRPr="006A0A13" w:rsidR="002C46A8" w:rsidRDefault="002C46A8" w14:paraId="3E1A49E0" w14:textId="77777777">
      <w:pPr>
        <w:pStyle w:val="Prrafodelista"/>
        <w:numPr>
          <w:ilvl w:val="1"/>
          <w:numId w:val="66"/>
        </w:numPr>
        <w:spacing w:after="0" w:line="360" w:lineRule="auto"/>
        <w:ind w:left="709" w:hanging="280"/>
        <w:jc w:val="both"/>
        <w:rPr>
          <w:rFonts w:ascii="Verdana" w:hAnsi="Verdana"/>
          <w:sz w:val="24"/>
          <w:szCs w:val="24"/>
        </w:rPr>
      </w:pPr>
      <w:r w:rsidRPr="006A0A13">
        <w:rPr>
          <w:rFonts w:ascii="Verdana" w:hAnsi="Verdana"/>
          <w:sz w:val="24"/>
          <w:szCs w:val="24"/>
        </w:rPr>
        <w:t>Con la implementación del sistema de energía solar fotovoltaica se dio entrega de excedentes de energía inyectados a la red del 16% de la energía producida por el sistema.</w:t>
      </w:r>
    </w:p>
    <w:p w:rsidRPr="006A0A13" w:rsidR="002C46A8" w:rsidRDefault="002C46A8" w14:paraId="1190F95C" w14:textId="099443AF">
      <w:pPr>
        <w:pStyle w:val="Prrafodelista"/>
        <w:numPr>
          <w:ilvl w:val="1"/>
          <w:numId w:val="66"/>
        </w:numPr>
        <w:spacing w:after="0" w:line="360" w:lineRule="auto"/>
        <w:ind w:left="709" w:hanging="280"/>
        <w:jc w:val="both"/>
        <w:rPr>
          <w:rFonts w:ascii="Verdana" w:hAnsi="Verdana"/>
          <w:sz w:val="24"/>
          <w:szCs w:val="24"/>
        </w:rPr>
      </w:pPr>
      <w:r w:rsidRPr="30CF4445" w:rsidR="6BD245D0">
        <w:rPr>
          <w:rFonts w:ascii="Verdana" w:hAnsi="Verdana"/>
          <w:sz w:val="24"/>
          <w:szCs w:val="24"/>
        </w:rPr>
        <w:t xml:space="preserve">Para el uso eficiente del agua </w:t>
      </w:r>
      <w:r w:rsidRPr="30CF4445" w:rsidR="6BD245D0">
        <w:rPr>
          <w:rFonts w:ascii="Verdana" w:hAnsi="Verdana"/>
          <w:sz w:val="24"/>
          <w:szCs w:val="24"/>
        </w:rPr>
        <w:t>se adopt</w:t>
      </w:r>
      <w:r w:rsidRPr="30CF4445" w:rsidR="2C022F66">
        <w:rPr>
          <w:rFonts w:ascii="Verdana" w:hAnsi="Verdana"/>
          <w:sz w:val="24"/>
          <w:szCs w:val="24"/>
        </w:rPr>
        <w:t>aron</w:t>
      </w:r>
      <w:r w:rsidRPr="30CF4445" w:rsidR="6BD245D0">
        <w:rPr>
          <w:rFonts w:ascii="Verdana" w:hAnsi="Verdana"/>
          <w:sz w:val="24"/>
          <w:szCs w:val="24"/>
        </w:rPr>
        <w:t xml:space="preserve"> mecanismos de campañas</w:t>
      </w:r>
      <w:r w:rsidRPr="30CF4445" w:rsidR="6BD245D0">
        <w:rPr>
          <w:rFonts w:ascii="Verdana" w:hAnsi="Verdana"/>
          <w:sz w:val="24"/>
          <w:szCs w:val="24"/>
        </w:rPr>
        <w:t xml:space="preserve"> y sensibilizaciones encaminadas a la conservación del recurso hídrico de la entidad, como resultado se obtuvo un ahorro del 29,3% representado en 1.090 m3/año en consumo de agua respecto al año anterior. </w:t>
      </w:r>
    </w:p>
    <w:p w:rsidRPr="006A0A13" w:rsidR="002C46A8" w:rsidRDefault="002C46A8" w14:paraId="01BAEFE1" w14:textId="77777777">
      <w:pPr>
        <w:pStyle w:val="Prrafodelista"/>
        <w:numPr>
          <w:ilvl w:val="1"/>
          <w:numId w:val="66"/>
        </w:numPr>
        <w:spacing w:after="0" w:line="360" w:lineRule="auto"/>
        <w:ind w:left="709" w:hanging="280"/>
        <w:jc w:val="both"/>
        <w:rPr>
          <w:rFonts w:ascii="Verdana" w:hAnsi="Verdana"/>
          <w:sz w:val="24"/>
          <w:szCs w:val="24"/>
        </w:rPr>
      </w:pPr>
      <w:r w:rsidRPr="006A0A13">
        <w:rPr>
          <w:rFonts w:ascii="Verdana" w:hAnsi="Verdana"/>
          <w:sz w:val="24"/>
          <w:szCs w:val="24"/>
        </w:rPr>
        <w:t xml:space="preserve">Para promover la reducción de gastos de mantenimiento y consumo de gasolina en el Ministerio, se logró adquirir dos vehículos nuevos que entraron a reemplazar dos vehículos antiguos los cuales presentaban altos consumos, con esto se presentó la reducción de un 10% en el consumo promedio mensual de gasolina y en un 20% del costo de los mantenimientos realizados al parque automotor. </w:t>
      </w:r>
    </w:p>
    <w:p w:rsidRPr="006A0A13" w:rsidR="002C46A8" w:rsidRDefault="002C46A8" w14:paraId="7B9139B7" w14:textId="77777777">
      <w:pPr>
        <w:pStyle w:val="Prrafodelista"/>
        <w:numPr>
          <w:ilvl w:val="1"/>
          <w:numId w:val="66"/>
        </w:numPr>
        <w:spacing w:after="0" w:line="360" w:lineRule="auto"/>
        <w:ind w:left="709" w:hanging="280"/>
        <w:jc w:val="both"/>
        <w:rPr>
          <w:rFonts w:ascii="Verdana" w:hAnsi="Verdana"/>
          <w:sz w:val="24"/>
          <w:szCs w:val="24"/>
        </w:rPr>
      </w:pPr>
      <w:r w:rsidRPr="006A0A13">
        <w:rPr>
          <w:rFonts w:ascii="Verdana" w:hAnsi="Verdana"/>
          <w:sz w:val="24"/>
          <w:szCs w:val="24"/>
        </w:rPr>
        <w:t xml:space="preserve">El Ministerio en búsqueda de mejorar el sistema de comisiones y viáticos creó específicamente en este año el Grupo de Comisiones de Servicio y Gastos de Desplazamiento en la Subdirección </w:t>
      </w:r>
      <w:r w:rsidRPr="006A0A13">
        <w:rPr>
          <w:rFonts w:ascii="Verdana" w:hAnsi="Verdana"/>
          <w:sz w:val="24"/>
          <w:szCs w:val="24"/>
        </w:rPr>
        <w:t>Administrativa y Financiera, logrando la centralización, control y organización de todo el proceso de comisiones (desde solicitud hasta el pago).</w:t>
      </w:r>
    </w:p>
    <w:p w:rsidRPr="006A0A13" w:rsidR="002C46A8" w:rsidP="006A0A13" w:rsidRDefault="002C46A8" w14:paraId="0D601D6B" w14:textId="77777777">
      <w:pPr>
        <w:spacing w:after="0" w:line="360" w:lineRule="auto"/>
        <w:jc w:val="both"/>
        <w:rPr>
          <w:rFonts w:ascii="Verdana" w:hAnsi="Verdana"/>
          <w:sz w:val="24"/>
          <w:szCs w:val="24"/>
        </w:rPr>
      </w:pPr>
    </w:p>
    <w:p w:rsidRPr="006A0A13" w:rsidR="002C46A8" w:rsidP="006A0A13" w:rsidRDefault="002C46A8" w14:paraId="3B5546B2" w14:textId="77777777">
      <w:pPr>
        <w:spacing w:after="0" w:line="360" w:lineRule="auto"/>
        <w:jc w:val="both"/>
        <w:rPr>
          <w:rFonts w:ascii="Verdana" w:hAnsi="Verdana"/>
          <w:b/>
          <w:bCs/>
          <w:sz w:val="24"/>
          <w:szCs w:val="24"/>
        </w:rPr>
      </w:pPr>
      <w:r w:rsidRPr="006A0A13">
        <w:rPr>
          <w:rFonts w:ascii="Verdana" w:hAnsi="Verdana"/>
          <w:b/>
          <w:bCs/>
          <w:sz w:val="24"/>
          <w:szCs w:val="24"/>
        </w:rPr>
        <w:t>2023</w:t>
      </w:r>
    </w:p>
    <w:p w:rsidRPr="006A0A13" w:rsidR="002C46A8" w:rsidRDefault="002C46A8" w14:paraId="5185F6AD" w14:textId="7F5DEE76">
      <w:pPr>
        <w:pStyle w:val="Prrafodelista"/>
        <w:numPr>
          <w:ilvl w:val="1"/>
          <w:numId w:val="66"/>
        </w:numPr>
        <w:spacing w:after="0" w:line="360" w:lineRule="auto"/>
        <w:ind w:left="709" w:hanging="284"/>
        <w:jc w:val="both"/>
        <w:rPr>
          <w:rFonts w:ascii="Verdana" w:hAnsi="Verdana"/>
          <w:sz w:val="24"/>
          <w:szCs w:val="24"/>
        </w:rPr>
      </w:pPr>
      <w:r w:rsidRPr="30CF4445" w:rsidR="6BD245D0">
        <w:rPr>
          <w:rFonts w:ascii="Verdana" w:hAnsi="Verdana"/>
          <w:sz w:val="24"/>
          <w:szCs w:val="24"/>
        </w:rPr>
        <w:t xml:space="preserve">Se adquirió una nueva flota vehicular compuesta por 5 vehículos eléctricos y 5 camionetas </w:t>
      </w:r>
      <w:r w:rsidRPr="30CF4445" w:rsidR="2FE8936A">
        <w:rPr>
          <w:rFonts w:ascii="Verdana" w:hAnsi="Verdana"/>
          <w:sz w:val="24"/>
          <w:szCs w:val="24"/>
        </w:rPr>
        <w:t>h</w:t>
      </w:r>
      <w:r w:rsidRPr="30CF4445" w:rsidR="6BD245D0">
        <w:rPr>
          <w:rFonts w:ascii="Verdana" w:hAnsi="Verdana"/>
          <w:sz w:val="24"/>
          <w:szCs w:val="24"/>
        </w:rPr>
        <w:t>íbrid</w:t>
      </w:r>
      <w:r w:rsidRPr="30CF4445" w:rsidR="69FE5185">
        <w:rPr>
          <w:rFonts w:ascii="Verdana" w:hAnsi="Verdana"/>
          <w:sz w:val="24"/>
          <w:szCs w:val="24"/>
        </w:rPr>
        <w:t>a</w:t>
      </w:r>
      <w:r w:rsidRPr="30CF4445" w:rsidR="6BD245D0">
        <w:rPr>
          <w:rFonts w:ascii="Verdana" w:hAnsi="Verdana"/>
          <w:sz w:val="24"/>
          <w:szCs w:val="24"/>
        </w:rPr>
        <w:t>s, para sumarse a la transición energética que se impulsa como transformación para todo el país. Esto permitió la reducción de costos en conceptos como mantenimiento vehicular y combustible.</w:t>
      </w:r>
    </w:p>
    <w:p w:rsidRPr="006A0A13" w:rsidR="002C46A8" w:rsidRDefault="002C46A8" w14:paraId="1B5526CA" w14:textId="77777777">
      <w:pPr>
        <w:pStyle w:val="Prrafodelista"/>
        <w:numPr>
          <w:ilvl w:val="1"/>
          <w:numId w:val="66"/>
        </w:numPr>
        <w:spacing w:after="0" w:line="360" w:lineRule="auto"/>
        <w:ind w:left="709" w:hanging="284"/>
        <w:jc w:val="both"/>
        <w:rPr>
          <w:rFonts w:ascii="Verdana" w:hAnsi="Verdana"/>
          <w:sz w:val="24"/>
          <w:szCs w:val="24"/>
        </w:rPr>
      </w:pPr>
      <w:r w:rsidRPr="006A0A13">
        <w:rPr>
          <w:rFonts w:ascii="Verdana" w:hAnsi="Verdana"/>
          <w:sz w:val="24"/>
          <w:szCs w:val="24"/>
        </w:rPr>
        <w:t>La entidad implementó un sistema de paneles solares estratégicamente instalados para aprovechar la energía solar. Estos paneles contribuyeron de manera significativa al suministro de aproximadamente el 30% del consumo total de energía diaria de las instalaciones de la entidad.</w:t>
      </w:r>
    </w:p>
    <w:p w:rsidRPr="006A0A13" w:rsidR="002C46A8" w:rsidRDefault="002C46A8" w14:paraId="2CBDC1FD" w14:textId="77777777">
      <w:pPr>
        <w:pStyle w:val="Prrafodelista"/>
        <w:numPr>
          <w:ilvl w:val="1"/>
          <w:numId w:val="66"/>
        </w:numPr>
        <w:spacing w:after="0" w:line="360" w:lineRule="auto"/>
        <w:ind w:left="709" w:hanging="284"/>
        <w:jc w:val="both"/>
        <w:rPr>
          <w:rFonts w:ascii="Verdana" w:hAnsi="Verdana"/>
          <w:sz w:val="24"/>
          <w:szCs w:val="24"/>
        </w:rPr>
      </w:pPr>
      <w:r w:rsidRPr="006A0A13">
        <w:rPr>
          <w:rFonts w:ascii="Verdana" w:hAnsi="Verdana"/>
          <w:sz w:val="24"/>
          <w:szCs w:val="24"/>
        </w:rPr>
        <w:t>La entidad cuenta con un eficiente sistema de recolección de aguas pluviales con una capacidad total de aproximadamente 400 litros. Este sistema permite la captura y almacenamiento de las aguas de lluvia. Se presentó ahorro aproximado de 1.600 litros de agua, los cuales fueron utilizados en las actividades de aseo.</w:t>
      </w:r>
    </w:p>
    <w:p w:rsidRPr="006A0A13" w:rsidR="002C46A8" w:rsidP="006A0A13" w:rsidRDefault="002C46A8" w14:paraId="06C7E001" w14:textId="77777777">
      <w:pPr>
        <w:spacing w:after="0" w:line="360" w:lineRule="auto"/>
        <w:jc w:val="both"/>
        <w:rPr>
          <w:rFonts w:ascii="Verdana" w:hAnsi="Verdana"/>
          <w:sz w:val="24"/>
          <w:szCs w:val="24"/>
        </w:rPr>
      </w:pPr>
    </w:p>
    <w:p w:rsidRPr="006A0A13" w:rsidR="002C46A8" w:rsidP="006A0A13" w:rsidRDefault="002C46A8" w14:paraId="3CE938B7" w14:textId="77777777">
      <w:pPr>
        <w:spacing w:after="0" w:line="360" w:lineRule="auto"/>
        <w:jc w:val="both"/>
        <w:rPr>
          <w:rFonts w:ascii="Verdana" w:hAnsi="Verdana"/>
          <w:b/>
          <w:bCs/>
          <w:sz w:val="24"/>
          <w:szCs w:val="24"/>
        </w:rPr>
      </w:pPr>
      <w:r w:rsidRPr="006A0A13">
        <w:rPr>
          <w:rFonts w:ascii="Verdana" w:hAnsi="Verdana"/>
          <w:b/>
          <w:bCs/>
          <w:sz w:val="24"/>
          <w:szCs w:val="24"/>
        </w:rPr>
        <w:t>2024</w:t>
      </w:r>
    </w:p>
    <w:p w:rsidRPr="006A0A13" w:rsidR="002C46A8" w:rsidRDefault="002C46A8" w14:paraId="5A31A0B7" w14:textId="77777777">
      <w:pPr>
        <w:pStyle w:val="Prrafodelista"/>
        <w:numPr>
          <w:ilvl w:val="1"/>
          <w:numId w:val="66"/>
        </w:numPr>
        <w:spacing w:after="0" w:line="360" w:lineRule="auto"/>
        <w:ind w:left="709" w:hanging="284"/>
        <w:jc w:val="both"/>
        <w:rPr>
          <w:rFonts w:ascii="Verdana" w:hAnsi="Verdana"/>
          <w:sz w:val="24"/>
          <w:szCs w:val="24"/>
        </w:rPr>
      </w:pPr>
      <w:r w:rsidRPr="006A0A13">
        <w:rPr>
          <w:rFonts w:ascii="Verdana" w:hAnsi="Verdana"/>
          <w:sz w:val="24"/>
          <w:szCs w:val="24"/>
        </w:rPr>
        <w:t xml:space="preserve">Como parte de la estrategia para la reducción de consumo energético, el sistema de energía solar </w:t>
      </w:r>
      <w:r w:rsidRPr="006A0A13" w:rsidR="00D511B2">
        <w:rPr>
          <w:rFonts w:ascii="Verdana" w:hAnsi="Verdana"/>
          <w:sz w:val="24"/>
          <w:szCs w:val="24"/>
        </w:rPr>
        <w:t>fotovoltaica</w:t>
      </w:r>
      <w:r w:rsidRPr="006A0A13">
        <w:rPr>
          <w:rFonts w:ascii="Verdana" w:hAnsi="Verdana"/>
          <w:sz w:val="24"/>
          <w:szCs w:val="24"/>
        </w:rPr>
        <w:t xml:space="preserve"> logró para la vigencia una reducción del 39% del consumo de energía y ahorro mensual promedio de $11.815.055 aproximadamente.</w:t>
      </w:r>
    </w:p>
    <w:p w:rsidRPr="006A0A13" w:rsidR="002C46A8" w:rsidRDefault="002C46A8" w14:paraId="3CEF7D53" w14:textId="77777777">
      <w:pPr>
        <w:pStyle w:val="Prrafodelista"/>
        <w:numPr>
          <w:ilvl w:val="1"/>
          <w:numId w:val="66"/>
        </w:numPr>
        <w:spacing w:after="0" w:line="360" w:lineRule="auto"/>
        <w:ind w:left="709" w:hanging="284"/>
        <w:jc w:val="both"/>
        <w:rPr>
          <w:rFonts w:ascii="Verdana" w:hAnsi="Verdana"/>
          <w:sz w:val="24"/>
          <w:szCs w:val="24"/>
        </w:rPr>
      </w:pPr>
      <w:r w:rsidRPr="006A0A13">
        <w:rPr>
          <w:rFonts w:ascii="Verdana" w:hAnsi="Verdana"/>
          <w:sz w:val="24"/>
          <w:szCs w:val="24"/>
        </w:rPr>
        <w:t>Adicionalmente, con la implementación del sistema de energía solar fotovoltaica se generó la entrega de excedentes de energía inyectados a la red del 12% de la energía producida por el sistema.</w:t>
      </w:r>
    </w:p>
    <w:p w:rsidRPr="006A0A13" w:rsidR="002C46A8" w:rsidRDefault="002C46A8" w14:paraId="4AA7A1C2" w14:textId="77777777">
      <w:pPr>
        <w:pStyle w:val="Prrafodelista"/>
        <w:numPr>
          <w:ilvl w:val="1"/>
          <w:numId w:val="66"/>
        </w:numPr>
        <w:spacing w:after="0" w:line="360" w:lineRule="auto"/>
        <w:ind w:left="709" w:hanging="284"/>
        <w:jc w:val="both"/>
        <w:rPr>
          <w:rFonts w:ascii="Verdana" w:hAnsi="Verdana"/>
          <w:sz w:val="24"/>
          <w:szCs w:val="24"/>
        </w:rPr>
      </w:pPr>
      <w:r w:rsidRPr="006A0A13">
        <w:rPr>
          <w:rFonts w:ascii="Verdana" w:hAnsi="Verdana"/>
          <w:sz w:val="24"/>
          <w:szCs w:val="24"/>
        </w:rPr>
        <w:t>La entidad contó con 6 líneas celulares de exclusivo uso de la alta dirección lo que redujo el costo en más de un 30 % comparado con vigencias anteriores.</w:t>
      </w:r>
    </w:p>
    <w:p w:rsidRPr="006A0A13" w:rsidR="002C46A8" w:rsidRDefault="002C46A8" w14:paraId="1BF569B1" w14:textId="77777777">
      <w:pPr>
        <w:pStyle w:val="Prrafodelista"/>
        <w:numPr>
          <w:ilvl w:val="1"/>
          <w:numId w:val="66"/>
        </w:numPr>
        <w:spacing w:after="0" w:line="360" w:lineRule="auto"/>
        <w:ind w:left="709" w:hanging="284"/>
        <w:jc w:val="both"/>
        <w:rPr>
          <w:rFonts w:ascii="Verdana" w:hAnsi="Verdana"/>
          <w:sz w:val="24"/>
          <w:szCs w:val="24"/>
        </w:rPr>
      </w:pPr>
      <w:r w:rsidRPr="006A0A13">
        <w:rPr>
          <w:rFonts w:ascii="Verdana" w:hAnsi="Verdana"/>
          <w:sz w:val="24"/>
          <w:szCs w:val="24"/>
        </w:rPr>
        <w:t xml:space="preserve">Se logró la enajenación gratuita de dos (2) predios propiedad del Ministerio de Minas y Energía a la Central de Inversiones S.A. (CISA), ubicados en Bosconia (Cesar) y Cartagena (Bolívar). Esta gestión generó un ahorro aproximado de $120 millones en el concepto de vigilancia. </w:t>
      </w:r>
    </w:p>
    <w:p w:rsidRPr="006A0A13" w:rsidR="002C46A8" w:rsidRDefault="002C46A8" w14:paraId="30E47974" w14:textId="4F00D467">
      <w:pPr>
        <w:pStyle w:val="Prrafodelista"/>
        <w:numPr>
          <w:ilvl w:val="1"/>
          <w:numId w:val="66"/>
        </w:numPr>
        <w:spacing w:after="0" w:line="360" w:lineRule="auto"/>
        <w:ind w:left="709" w:hanging="284"/>
        <w:jc w:val="both"/>
        <w:rPr>
          <w:rFonts w:ascii="Verdana" w:hAnsi="Verdana"/>
          <w:sz w:val="24"/>
          <w:szCs w:val="24"/>
        </w:rPr>
      </w:pPr>
      <w:r w:rsidRPr="30CF4445" w:rsidR="6BD245D0">
        <w:rPr>
          <w:rFonts w:ascii="Verdana" w:hAnsi="Verdana"/>
          <w:sz w:val="24"/>
          <w:szCs w:val="24"/>
        </w:rPr>
        <w:t>En la vigencia el consumo total de combustible fue de 7</w:t>
      </w:r>
      <w:r w:rsidRPr="30CF4445" w:rsidR="23D60241">
        <w:rPr>
          <w:rFonts w:ascii="Verdana" w:hAnsi="Verdana"/>
          <w:sz w:val="24"/>
          <w:szCs w:val="24"/>
        </w:rPr>
        <w:t>.</w:t>
      </w:r>
      <w:r w:rsidRPr="30CF4445" w:rsidR="6BD245D0">
        <w:rPr>
          <w:rFonts w:ascii="Verdana" w:hAnsi="Verdana"/>
          <w:sz w:val="24"/>
          <w:szCs w:val="24"/>
        </w:rPr>
        <w:t>090 galones, lo que representa una reducción de 1</w:t>
      </w:r>
      <w:r w:rsidRPr="30CF4445" w:rsidR="4EC969AA">
        <w:rPr>
          <w:rFonts w:ascii="Verdana" w:hAnsi="Verdana"/>
          <w:sz w:val="24"/>
          <w:szCs w:val="24"/>
        </w:rPr>
        <w:t>.</w:t>
      </w:r>
      <w:r w:rsidRPr="30CF4445" w:rsidR="6BD245D0">
        <w:rPr>
          <w:rFonts w:ascii="Verdana" w:hAnsi="Verdana"/>
          <w:sz w:val="24"/>
          <w:szCs w:val="24"/>
        </w:rPr>
        <w:t>801 galones (20.25%) frente a los 8</w:t>
      </w:r>
      <w:r w:rsidRPr="30CF4445" w:rsidR="141D946E">
        <w:rPr>
          <w:rFonts w:ascii="Verdana" w:hAnsi="Verdana"/>
          <w:sz w:val="24"/>
          <w:szCs w:val="24"/>
        </w:rPr>
        <w:t>.</w:t>
      </w:r>
      <w:r w:rsidRPr="30CF4445" w:rsidR="6BD245D0">
        <w:rPr>
          <w:rFonts w:ascii="Verdana" w:hAnsi="Verdana"/>
          <w:sz w:val="24"/>
          <w:szCs w:val="24"/>
        </w:rPr>
        <w:t>891 galones consumidos en 2023, lo anterior gracias a la transición tecnológica y la optimización operativa con el uso de vehículos eléctricos e híbridos.</w:t>
      </w:r>
    </w:p>
    <w:p w:rsidRPr="006A0A13" w:rsidR="002C46A8" w:rsidP="006A0A13" w:rsidRDefault="002C46A8" w14:paraId="48141BED" w14:textId="77777777">
      <w:pPr>
        <w:spacing w:after="0" w:line="360" w:lineRule="auto"/>
        <w:jc w:val="both"/>
        <w:rPr>
          <w:rFonts w:ascii="Verdana" w:hAnsi="Verdana"/>
          <w:sz w:val="24"/>
          <w:szCs w:val="24"/>
        </w:rPr>
      </w:pPr>
    </w:p>
    <w:p w:rsidRPr="006A0A13" w:rsidR="002C46A8" w:rsidP="006A0A13" w:rsidRDefault="002C46A8" w14:paraId="46802332" w14:textId="77777777">
      <w:pPr>
        <w:spacing w:after="0" w:line="360" w:lineRule="auto"/>
        <w:jc w:val="both"/>
        <w:rPr>
          <w:rFonts w:ascii="Verdana" w:hAnsi="Verdana"/>
          <w:b/>
          <w:bCs/>
          <w:sz w:val="24"/>
          <w:szCs w:val="24"/>
        </w:rPr>
      </w:pPr>
      <w:r w:rsidRPr="006A0A13">
        <w:rPr>
          <w:rFonts w:ascii="Verdana" w:hAnsi="Verdana"/>
          <w:b/>
          <w:bCs/>
          <w:sz w:val="24"/>
          <w:szCs w:val="24"/>
        </w:rPr>
        <w:t>2025</w:t>
      </w:r>
    </w:p>
    <w:p w:rsidRPr="006A0A13" w:rsidR="002C46A8" w:rsidRDefault="002C46A8" w14:paraId="3CD315AC" w14:textId="290B366D">
      <w:pPr>
        <w:pStyle w:val="Prrafodelista"/>
        <w:numPr>
          <w:ilvl w:val="1"/>
          <w:numId w:val="66"/>
        </w:numPr>
        <w:spacing w:after="0" w:line="360" w:lineRule="auto"/>
        <w:ind w:left="709" w:hanging="284"/>
        <w:jc w:val="both"/>
        <w:rPr>
          <w:rFonts w:ascii="Verdana" w:hAnsi="Verdana"/>
          <w:sz w:val="24"/>
          <w:szCs w:val="24"/>
        </w:rPr>
      </w:pPr>
      <w:r w:rsidRPr="30CF4445" w:rsidR="6BD245D0">
        <w:rPr>
          <w:rFonts w:ascii="Verdana" w:hAnsi="Verdana"/>
          <w:sz w:val="24"/>
          <w:szCs w:val="24"/>
        </w:rPr>
        <w:t xml:space="preserve">Se realizó mediante la Resolución No. 0552 del 29 de abril de 2025 la baja de tres (3) bienes inmuebles: a). Terrenos rurales. Predio </w:t>
      </w:r>
      <w:r w:rsidRPr="30CF4445" w:rsidR="1114FD64">
        <w:rPr>
          <w:rFonts w:ascii="Verdana" w:hAnsi="Verdana"/>
          <w:sz w:val="24"/>
          <w:szCs w:val="24"/>
        </w:rPr>
        <w:t>SC</w:t>
      </w:r>
      <w:r w:rsidRPr="30CF4445" w:rsidR="6BD245D0">
        <w:rPr>
          <w:rFonts w:ascii="Verdana" w:hAnsi="Verdana"/>
          <w:sz w:val="24"/>
          <w:szCs w:val="24"/>
        </w:rPr>
        <w:t xml:space="preserve"> Huerta </w:t>
      </w:r>
      <w:r w:rsidRPr="30CF4445" w:rsidR="6EBC3CEF">
        <w:rPr>
          <w:rFonts w:ascii="Verdana" w:hAnsi="Verdana"/>
          <w:sz w:val="24"/>
          <w:szCs w:val="24"/>
        </w:rPr>
        <w:t>B</w:t>
      </w:r>
      <w:r w:rsidRPr="30CF4445" w:rsidR="6BD245D0">
        <w:rPr>
          <w:rFonts w:ascii="Verdana" w:hAnsi="Verdana"/>
          <w:sz w:val="24"/>
          <w:szCs w:val="24"/>
        </w:rPr>
        <w:t xml:space="preserve">ahía de </w:t>
      </w:r>
      <w:r w:rsidRPr="30CF4445" w:rsidR="3076D2C5">
        <w:rPr>
          <w:rFonts w:ascii="Verdana" w:hAnsi="Verdana"/>
          <w:sz w:val="24"/>
          <w:szCs w:val="24"/>
        </w:rPr>
        <w:t>M</w:t>
      </w:r>
      <w:r w:rsidRPr="30CF4445" w:rsidR="6BD245D0">
        <w:rPr>
          <w:rFonts w:ascii="Verdana" w:hAnsi="Verdana"/>
          <w:sz w:val="24"/>
          <w:szCs w:val="24"/>
        </w:rPr>
        <w:t xml:space="preserve">anzanillo o casa bala - providencia- escritura </w:t>
      </w:r>
      <w:r w:rsidRPr="30CF4445" w:rsidR="1ECD4809">
        <w:rPr>
          <w:rFonts w:ascii="Verdana" w:hAnsi="Verdana" w:eastAsia="Aptos" w:cs="Arial" w:asciiTheme="minorAscii" w:hAnsiTheme="minorAscii" w:eastAsiaTheme="minorAscii" w:cstheme="minorBidi"/>
          <w:noProof w:val="0"/>
          <w:color w:val="auto"/>
          <w:sz w:val="24"/>
          <w:szCs w:val="24"/>
          <w:lang w:val="es-CO" w:eastAsia="en-US" w:bidi="ar-SA"/>
        </w:rPr>
        <w:t>No.</w:t>
      </w:r>
      <w:r w:rsidRPr="30CF4445" w:rsidR="6BD245D0">
        <w:rPr>
          <w:rFonts w:ascii="Verdana" w:hAnsi="Verdana" w:eastAsia="Aptos" w:cs="Arial" w:asciiTheme="minorAscii" w:hAnsiTheme="minorAscii" w:eastAsiaTheme="minorAscii" w:cstheme="minorBidi"/>
          <w:color w:val="auto"/>
          <w:sz w:val="24"/>
          <w:szCs w:val="24"/>
          <w:lang w:eastAsia="en-US" w:bidi="ar-SA"/>
        </w:rPr>
        <w:t xml:space="preserve"> </w:t>
      </w:r>
      <w:r w:rsidRPr="30CF4445" w:rsidR="6BD245D0">
        <w:rPr>
          <w:rFonts w:ascii="Verdana" w:hAnsi="Verdana"/>
          <w:sz w:val="24"/>
          <w:szCs w:val="24"/>
        </w:rPr>
        <w:t>60, con n</w:t>
      </w:r>
      <w:r w:rsidRPr="30CF4445" w:rsidR="6E40C5BC">
        <w:rPr>
          <w:rFonts w:ascii="Verdana" w:hAnsi="Verdana"/>
          <w:sz w:val="24"/>
          <w:szCs w:val="24"/>
        </w:rPr>
        <w:t>ú</w:t>
      </w:r>
      <w:r w:rsidRPr="30CF4445" w:rsidR="6BD245D0">
        <w:rPr>
          <w:rFonts w:ascii="Verdana" w:hAnsi="Verdana"/>
          <w:sz w:val="24"/>
          <w:szCs w:val="24"/>
        </w:rPr>
        <w:t xml:space="preserve">mero de matrícula inmobiliaria 450-23882, b). Terreno rural. pd5-providencia-escritura </w:t>
      </w:r>
      <w:r w:rsidRPr="30CF4445" w:rsidR="257EF335">
        <w:rPr>
          <w:rFonts w:ascii="Verdana" w:hAnsi="Verdana" w:eastAsia="Aptos" w:cs="Arial" w:asciiTheme="minorAscii" w:hAnsiTheme="minorAscii" w:eastAsiaTheme="minorAscii" w:cstheme="minorBidi"/>
          <w:noProof w:val="0"/>
          <w:color w:val="auto"/>
          <w:sz w:val="24"/>
          <w:szCs w:val="24"/>
          <w:lang w:val="es-CO" w:eastAsia="en-US" w:bidi="ar-SA"/>
        </w:rPr>
        <w:t>No.</w:t>
      </w:r>
      <w:r w:rsidRPr="30CF4445" w:rsidR="6BD245D0">
        <w:rPr>
          <w:rFonts w:ascii="Verdana" w:hAnsi="Verdana"/>
          <w:sz w:val="24"/>
          <w:szCs w:val="24"/>
        </w:rPr>
        <w:t xml:space="preserve"> 58, con n</w:t>
      </w:r>
      <w:r w:rsidRPr="30CF4445" w:rsidR="45FFC8D3">
        <w:rPr>
          <w:rFonts w:ascii="Verdana" w:hAnsi="Verdana"/>
          <w:sz w:val="24"/>
          <w:szCs w:val="24"/>
        </w:rPr>
        <w:t>ú</w:t>
      </w:r>
      <w:r w:rsidRPr="30CF4445" w:rsidR="6BD245D0">
        <w:rPr>
          <w:rFonts w:ascii="Verdana" w:hAnsi="Verdana"/>
          <w:sz w:val="24"/>
          <w:szCs w:val="24"/>
        </w:rPr>
        <w:t xml:space="preserve">mero de matrícula inmobiliaria 450-25779 y c). Terreno rural providencia-escritura </w:t>
      </w:r>
      <w:r w:rsidRPr="30CF4445" w:rsidR="7B382F42">
        <w:rPr>
          <w:rFonts w:ascii="Verdana" w:hAnsi="Verdana" w:eastAsia="Aptos" w:cs="Arial" w:asciiTheme="minorAscii" w:hAnsiTheme="minorAscii" w:eastAsiaTheme="minorAscii" w:cstheme="minorBidi"/>
          <w:noProof w:val="0"/>
          <w:color w:val="auto"/>
          <w:sz w:val="24"/>
          <w:szCs w:val="24"/>
          <w:lang w:val="es-CO" w:eastAsia="en-US" w:bidi="ar-SA"/>
        </w:rPr>
        <w:t>No.</w:t>
      </w:r>
      <w:r w:rsidRPr="30CF4445" w:rsidR="6BD245D0">
        <w:rPr>
          <w:rFonts w:ascii="Verdana" w:hAnsi="Verdana"/>
          <w:sz w:val="24"/>
          <w:szCs w:val="24"/>
        </w:rPr>
        <w:t xml:space="preserve"> 59, con número de matrícula inmobiliaria 450-25780, que fueron transferidos a título gratuito al Municipio de Providencia Isla del Departamento Archipiélago de San Andrés, Providencia y Santa Catalina.  Lo anterior, generó como beneficio optimizar los recursos asignados en impuestos y vigilancia de bienes inmuebles que no se requieren para el funcionamiento del Ministerio.</w:t>
      </w:r>
    </w:p>
    <w:p w:rsidRPr="006A0A13" w:rsidR="002C46A8" w:rsidRDefault="002C46A8" w14:paraId="08F33F87" w14:textId="77777777">
      <w:pPr>
        <w:pStyle w:val="Prrafodelista"/>
        <w:numPr>
          <w:ilvl w:val="1"/>
          <w:numId w:val="66"/>
        </w:numPr>
        <w:spacing w:after="0" w:line="360" w:lineRule="auto"/>
        <w:ind w:left="709" w:hanging="284"/>
        <w:jc w:val="both"/>
        <w:rPr>
          <w:rFonts w:ascii="Verdana" w:hAnsi="Verdana"/>
          <w:sz w:val="24"/>
          <w:szCs w:val="24"/>
        </w:rPr>
      </w:pPr>
      <w:r w:rsidRPr="006A0A13">
        <w:rPr>
          <w:rFonts w:ascii="Verdana" w:hAnsi="Verdana"/>
          <w:sz w:val="24"/>
          <w:szCs w:val="24"/>
        </w:rPr>
        <w:t xml:space="preserve">No se realizó compras de papel bond, en concordancia con la estrategia de </w:t>
      </w:r>
      <w:r w:rsidRPr="006A0A13" w:rsidR="00D511B2">
        <w:rPr>
          <w:rFonts w:ascii="Verdana" w:hAnsi="Verdana"/>
          <w:sz w:val="24"/>
          <w:szCs w:val="24"/>
        </w:rPr>
        <w:t>cero papeles</w:t>
      </w:r>
      <w:r w:rsidRPr="006A0A13">
        <w:rPr>
          <w:rFonts w:ascii="Verdana" w:hAnsi="Verdana"/>
          <w:sz w:val="24"/>
          <w:szCs w:val="24"/>
        </w:rPr>
        <w:t xml:space="preserve"> y considerando el stock disponible registrado en almacén.</w:t>
      </w:r>
    </w:p>
    <w:p w:rsidRPr="006A0A13" w:rsidR="002C46A8" w:rsidRDefault="002C46A8" w14:paraId="76D8E1ED" w14:textId="77777777">
      <w:pPr>
        <w:pStyle w:val="Prrafodelista"/>
        <w:numPr>
          <w:ilvl w:val="1"/>
          <w:numId w:val="66"/>
        </w:numPr>
        <w:spacing w:after="0" w:line="360" w:lineRule="auto"/>
        <w:ind w:left="709" w:hanging="284"/>
        <w:jc w:val="both"/>
        <w:rPr>
          <w:rFonts w:ascii="Verdana" w:hAnsi="Verdana"/>
          <w:sz w:val="24"/>
          <w:szCs w:val="24"/>
        </w:rPr>
      </w:pPr>
      <w:r w:rsidRPr="006A0A13">
        <w:rPr>
          <w:rFonts w:ascii="Verdana" w:hAnsi="Verdana"/>
          <w:sz w:val="24"/>
          <w:szCs w:val="24"/>
        </w:rPr>
        <w:t xml:space="preserve">De manera acumulada, se garantizó que la adquisición de los planes de telefonía celular para las 6 líneas se realizó bajo criterios de austeridad, manteniéndose por debajo de la meta prevista de un incremento máximo del 6% frente a 2024. En 2025, los planes fueron suscritos o renovados con un incremento promedio del 4,69%, variación atribuible a ajustes propios del mercado. En cumplimiento del objetivo de mantener los planes más económicos disponibles y ajustados a las necesidades reales del servicio, se conservaron únicamente aquellos que aseguran la continuidad operativa con eficiencia en el gasto. </w:t>
      </w:r>
    </w:p>
    <w:p w:rsidRPr="006A0A13" w:rsidR="002C46A8" w:rsidRDefault="403F1154" w14:paraId="796030AA" w14:textId="7B6DD2BD">
      <w:pPr>
        <w:pStyle w:val="Prrafodelista"/>
        <w:numPr>
          <w:ilvl w:val="1"/>
          <w:numId w:val="66"/>
        </w:numPr>
        <w:spacing w:after="0" w:line="360" w:lineRule="auto"/>
        <w:ind w:left="709" w:hanging="284"/>
        <w:jc w:val="both"/>
        <w:rPr>
          <w:rFonts w:ascii="Verdana" w:hAnsi="Verdana"/>
          <w:sz w:val="24"/>
          <w:szCs w:val="24"/>
        </w:rPr>
      </w:pPr>
      <w:r w:rsidRPr="30CF4445" w:rsidR="31CE4E7A">
        <w:rPr>
          <w:rFonts w:ascii="Verdana" w:hAnsi="Verdana"/>
          <w:sz w:val="24"/>
          <w:szCs w:val="24"/>
        </w:rPr>
        <w:t>Así mismo, de manera acumulada para la vigencia, se presentó un ahorro en el pago de las líneas telefónicas del 47%</w:t>
      </w:r>
      <w:r w:rsidRPr="30CF4445" w:rsidR="49B867B0">
        <w:rPr>
          <w:rFonts w:ascii="Verdana" w:hAnsi="Verdana"/>
          <w:sz w:val="24"/>
          <w:szCs w:val="24"/>
        </w:rPr>
        <w:t>,</w:t>
      </w:r>
      <w:r w:rsidRPr="30CF4445" w:rsidR="31CE4E7A">
        <w:rPr>
          <w:rFonts w:ascii="Verdana" w:hAnsi="Verdana"/>
          <w:sz w:val="24"/>
          <w:szCs w:val="24"/>
        </w:rPr>
        <w:t xml:space="preserve"> toda vez que anualmente en 2024 se pagaron $5.981.904,09 y en 2025 $3.145.879,48, generando un ahorro de $2.836.024,61.</w:t>
      </w:r>
    </w:p>
    <w:p w:rsidRPr="006A0A13" w:rsidR="002C46A8" w:rsidP="006A0A13" w:rsidRDefault="002C46A8" w14:paraId="7A37D56D" w14:textId="77777777">
      <w:pPr>
        <w:spacing w:after="0" w:line="360" w:lineRule="auto"/>
        <w:jc w:val="both"/>
        <w:rPr>
          <w:rFonts w:ascii="Verdana" w:hAnsi="Verdana"/>
          <w:sz w:val="24"/>
          <w:szCs w:val="24"/>
        </w:rPr>
      </w:pPr>
    </w:p>
    <w:p w:rsidRPr="006A0A13" w:rsidR="002C46A8" w:rsidP="006A0A13" w:rsidRDefault="002C46A8" w14:paraId="4B03B78D" w14:textId="77777777">
      <w:pPr>
        <w:spacing w:after="0" w:line="360" w:lineRule="auto"/>
        <w:jc w:val="both"/>
        <w:rPr>
          <w:rFonts w:ascii="Verdana" w:hAnsi="Verdana"/>
          <w:b/>
          <w:bCs/>
          <w:sz w:val="24"/>
          <w:szCs w:val="24"/>
        </w:rPr>
      </w:pPr>
      <w:r w:rsidRPr="006A0A13">
        <w:rPr>
          <w:rFonts w:ascii="Verdana" w:hAnsi="Verdana"/>
          <w:b/>
          <w:bCs/>
          <w:sz w:val="24"/>
          <w:szCs w:val="24"/>
        </w:rPr>
        <w:t>2026</w:t>
      </w:r>
    </w:p>
    <w:p w:rsidRPr="006A0A13" w:rsidR="002C46A8" w:rsidP="006A0A13" w:rsidRDefault="002C46A8" w14:paraId="68A566ED" w14:textId="77777777">
      <w:pPr>
        <w:spacing w:after="0" w:line="360" w:lineRule="auto"/>
        <w:jc w:val="both"/>
        <w:rPr>
          <w:rFonts w:ascii="Verdana" w:hAnsi="Verdana"/>
          <w:sz w:val="24"/>
          <w:szCs w:val="24"/>
        </w:rPr>
      </w:pPr>
      <w:r w:rsidRPr="006A0A13">
        <w:rPr>
          <w:rFonts w:ascii="Verdana" w:hAnsi="Verdana"/>
          <w:sz w:val="24"/>
          <w:szCs w:val="24"/>
        </w:rPr>
        <w:t>Para el primer trimestre de la vigencia (enero-marzo) se formuló el Plan Interno de Austeridad del Gasto 2026 cuyo objetivo es promover la cultura institucional de austeridad y uso eficiente de los recursos públicos en el Ministerio de Minas y Energía, mediante la implementación de estrategias de racionalidad en 12 categorías de gasto, y así optimizar los recursos, asegurar la eficiencia operativa y reducir gastos sin afectar la misión institucional.</w:t>
      </w:r>
    </w:p>
    <w:p w:rsidRPr="006A0A13" w:rsidR="002C46A8" w:rsidP="006A0A13" w:rsidRDefault="002C46A8" w14:paraId="2C6A6F9C" w14:textId="77777777">
      <w:pPr>
        <w:spacing w:after="0" w:line="360" w:lineRule="auto"/>
        <w:rPr>
          <w:rFonts w:ascii="Verdana" w:hAnsi="Verdana"/>
        </w:rPr>
      </w:pPr>
    </w:p>
    <w:p w:rsidRPr="006A0A13" w:rsidR="00A82055" w:rsidRDefault="00A82055" w14:paraId="0A488187" w14:textId="77777777">
      <w:pPr>
        <w:pStyle w:val="Ttulo2"/>
        <w:numPr>
          <w:ilvl w:val="1"/>
          <w:numId w:val="42"/>
        </w:numPr>
        <w:spacing w:before="0" w:after="0" w:line="360" w:lineRule="auto"/>
        <w:rPr>
          <w:rFonts w:ascii="Verdana" w:hAnsi="Verdana"/>
          <w:b/>
          <w:bCs/>
          <w:color w:val="auto"/>
          <w:sz w:val="24"/>
          <w:szCs w:val="24"/>
        </w:rPr>
      </w:pPr>
      <w:bookmarkStart w:name="_Toc233996735" w:id="18"/>
      <w:r w:rsidRPr="006A0A13">
        <w:rPr>
          <w:rFonts w:ascii="Verdana" w:hAnsi="Verdana"/>
          <w:b/>
          <w:bCs/>
          <w:color w:val="auto"/>
          <w:sz w:val="24"/>
          <w:szCs w:val="24"/>
        </w:rPr>
        <w:t>Cobro coactivo</w:t>
      </w:r>
      <w:bookmarkEnd w:id="18"/>
    </w:p>
    <w:p w:rsidRPr="006A0A13" w:rsidR="00B91FF3" w:rsidP="006A0A13" w:rsidRDefault="00B91FF3" w14:paraId="1A9DC0F5" w14:textId="77777777">
      <w:pPr>
        <w:spacing w:after="0" w:line="360" w:lineRule="auto"/>
        <w:jc w:val="both"/>
        <w:rPr>
          <w:rFonts w:ascii="Verdana" w:hAnsi="Verdana"/>
          <w:sz w:val="24"/>
          <w:szCs w:val="24"/>
        </w:rPr>
      </w:pPr>
    </w:p>
    <w:p w:rsidRPr="006A0A13" w:rsidR="00C04ED5" w:rsidP="006A0A13" w:rsidRDefault="00D511B2" w14:paraId="31003139" w14:textId="77777777">
      <w:pPr>
        <w:spacing w:after="0" w:line="360" w:lineRule="auto"/>
        <w:jc w:val="both"/>
        <w:rPr>
          <w:rFonts w:ascii="Verdana" w:hAnsi="Verdana"/>
          <w:sz w:val="24"/>
          <w:szCs w:val="24"/>
        </w:rPr>
      </w:pPr>
      <w:r w:rsidRPr="006A0A13">
        <w:rPr>
          <w:rFonts w:ascii="Verdana" w:hAnsi="Verdana"/>
          <w:sz w:val="24"/>
          <w:szCs w:val="24"/>
        </w:rPr>
        <w:t xml:space="preserve">El Grupo de Jurisdicción Coactiva del Ministerio de Minas y Energía, tiene como función principal la de gestionar y realizar todas las acciones tendientes para obtener el pago de las obligaciones pendientes a favor de </w:t>
      </w:r>
      <w:r w:rsidRPr="006A0A13">
        <w:rPr>
          <w:rFonts w:ascii="Verdana" w:hAnsi="Verdana"/>
          <w:sz w:val="24"/>
          <w:szCs w:val="24"/>
        </w:rPr>
        <w:t>la Nación - Ministerio de Minas y Energía, mediante el cumplimiento de la normatividad vigente, con el fin de evitar un detrimento patrimonial.</w:t>
      </w:r>
    </w:p>
    <w:p w:rsidRPr="006A0A13" w:rsidR="00D511B2" w:rsidP="006A0A13" w:rsidRDefault="00D511B2" w14:paraId="6F6D36B7" w14:textId="77777777">
      <w:pPr>
        <w:spacing w:after="0" w:line="360" w:lineRule="auto"/>
        <w:jc w:val="both"/>
        <w:rPr>
          <w:rFonts w:ascii="Verdana" w:hAnsi="Verdana"/>
          <w:sz w:val="24"/>
          <w:szCs w:val="24"/>
        </w:rPr>
      </w:pPr>
    </w:p>
    <w:p w:rsidRPr="006A0A13" w:rsidR="00D511B2" w:rsidRDefault="00D511B2" w14:paraId="4BD8F09B" w14:textId="77777777">
      <w:pPr>
        <w:pStyle w:val="Prrafodelista"/>
        <w:numPr>
          <w:ilvl w:val="2"/>
          <w:numId w:val="42"/>
        </w:numPr>
        <w:spacing w:after="0" w:line="360" w:lineRule="auto"/>
        <w:rPr>
          <w:rFonts w:ascii="Verdana" w:hAnsi="Verdana"/>
          <w:b/>
          <w:bCs/>
          <w:sz w:val="24"/>
          <w:szCs w:val="24"/>
        </w:rPr>
      </w:pPr>
      <w:r w:rsidRPr="006A0A13">
        <w:rPr>
          <w:rFonts w:ascii="Verdana" w:hAnsi="Verdana"/>
          <w:b/>
          <w:bCs/>
          <w:sz w:val="24"/>
          <w:szCs w:val="24"/>
        </w:rPr>
        <w:t>Actividades desarrolladas</w:t>
      </w:r>
    </w:p>
    <w:p w:rsidRPr="006A0A13" w:rsidR="00D511B2" w:rsidP="006A0A13" w:rsidRDefault="00D511B2" w14:paraId="5C935A53" w14:textId="77777777">
      <w:pPr>
        <w:spacing w:after="0" w:line="360" w:lineRule="auto"/>
        <w:jc w:val="both"/>
        <w:rPr>
          <w:rFonts w:ascii="Verdana" w:hAnsi="Verdana"/>
          <w:sz w:val="24"/>
          <w:szCs w:val="24"/>
        </w:rPr>
      </w:pPr>
      <w:r w:rsidRPr="006A0A13">
        <w:rPr>
          <w:rFonts w:ascii="Verdana" w:hAnsi="Verdana"/>
          <w:sz w:val="24"/>
          <w:szCs w:val="24"/>
        </w:rPr>
        <w:t>Durante el periodo comprendido entre agosto de 2022 a marzo de 2026, se realizaron principalmente las siguientes actividades:</w:t>
      </w:r>
    </w:p>
    <w:p w:rsidRPr="006A0A13" w:rsidR="00B91FF3" w:rsidP="006A0A13" w:rsidRDefault="00B91FF3" w14:paraId="1BFD1133" w14:textId="77777777">
      <w:pPr>
        <w:spacing w:after="0" w:line="360" w:lineRule="auto"/>
        <w:jc w:val="both"/>
        <w:rPr>
          <w:rFonts w:ascii="Verdana" w:hAnsi="Verdana"/>
          <w:sz w:val="24"/>
          <w:szCs w:val="24"/>
        </w:rPr>
      </w:pPr>
    </w:p>
    <w:p w:rsidRPr="006A0A13" w:rsidR="00D511B2" w:rsidRDefault="00D511B2" w14:paraId="56898C58" w14:textId="77777777">
      <w:pPr>
        <w:pStyle w:val="Prrafodelista"/>
        <w:numPr>
          <w:ilvl w:val="0"/>
          <w:numId w:val="68"/>
        </w:numPr>
        <w:suppressAutoHyphens/>
        <w:spacing w:after="0" w:line="360" w:lineRule="auto"/>
        <w:jc w:val="both"/>
        <w:rPr>
          <w:rFonts w:ascii="Verdana" w:hAnsi="Verdana"/>
          <w:sz w:val="24"/>
          <w:szCs w:val="24"/>
        </w:rPr>
      </w:pPr>
      <w:r w:rsidRPr="006A0A13">
        <w:rPr>
          <w:rFonts w:ascii="Verdana" w:hAnsi="Verdana"/>
          <w:sz w:val="24"/>
          <w:szCs w:val="24"/>
        </w:rPr>
        <w:t>Recaudo:</w:t>
      </w:r>
    </w:p>
    <w:tbl>
      <w:tblPr>
        <w:tblStyle w:val="Tablaconcuadrcula"/>
        <w:tblW w:w="0" w:type="auto"/>
        <w:jc w:val="center"/>
        <w:tblLook w:val="04A0" w:firstRow="1" w:lastRow="0" w:firstColumn="1" w:lastColumn="0" w:noHBand="0" w:noVBand="1"/>
      </w:tblPr>
      <w:tblGrid>
        <w:gridCol w:w="3710"/>
        <w:gridCol w:w="3094"/>
      </w:tblGrid>
      <w:tr w:rsidRPr="00B91FF3" w:rsidR="00D511B2" w:rsidTr="0FF05B1B" w14:paraId="65CF5090" w14:textId="77777777">
        <w:trPr>
          <w:jc w:val="center"/>
        </w:trPr>
        <w:tc>
          <w:tcPr>
            <w:tcW w:w="3710" w:type="dxa"/>
            <w:shd w:val="clear" w:color="auto" w:fill="A6A6A6" w:themeFill="background1" w:themeFillShade="A6"/>
          </w:tcPr>
          <w:p w:rsidRPr="00B91FF3" w:rsidR="00D511B2" w:rsidRDefault="00D511B2" w14:paraId="75D9FC5C" w14:textId="77777777">
            <w:pPr>
              <w:jc w:val="center"/>
              <w:rPr>
                <w:rFonts w:ascii="Verdana" w:hAnsi="Verdana"/>
                <w:b/>
                <w:bCs/>
                <w:sz w:val="18"/>
                <w:szCs w:val="18"/>
              </w:rPr>
            </w:pPr>
            <w:r w:rsidRPr="00B91FF3">
              <w:rPr>
                <w:rFonts w:ascii="Verdana" w:hAnsi="Verdana"/>
                <w:b/>
                <w:bCs/>
                <w:sz w:val="18"/>
                <w:szCs w:val="18"/>
              </w:rPr>
              <w:t>VIGENCIA</w:t>
            </w:r>
          </w:p>
        </w:tc>
        <w:tc>
          <w:tcPr>
            <w:tcW w:w="3094" w:type="dxa"/>
            <w:shd w:val="clear" w:color="auto" w:fill="A6A6A6" w:themeFill="background1" w:themeFillShade="A6"/>
          </w:tcPr>
          <w:p w:rsidRPr="00B91FF3" w:rsidR="00D511B2" w:rsidRDefault="00D511B2" w14:paraId="46B340F2" w14:textId="77777777">
            <w:pPr>
              <w:jc w:val="center"/>
              <w:rPr>
                <w:rFonts w:ascii="Verdana" w:hAnsi="Verdana"/>
                <w:b/>
                <w:bCs/>
                <w:sz w:val="18"/>
                <w:szCs w:val="18"/>
              </w:rPr>
            </w:pPr>
            <w:r w:rsidRPr="00B91FF3">
              <w:rPr>
                <w:rFonts w:ascii="Verdana" w:hAnsi="Verdana"/>
                <w:b/>
                <w:bCs/>
                <w:sz w:val="18"/>
                <w:szCs w:val="18"/>
              </w:rPr>
              <w:t>VALOR RECAUDADO</w:t>
            </w:r>
          </w:p>
        </w:tc>
      </w:tr>
      <w:tr w:rsidRPr="00B91FF3" w:rsidR="00D511B2" w:rsidTr="0FF05B1B" w14:paraId="6214B4AE" w14:textId="77777777">
        <w:trPr>
          <w:jc w:val="center"/>
        </w:trPr>
        <w:tc>
          <w:tcPr>
            <w:tcW w:w="3710" w:type="dxa"/>
          </w:tcPr>
          <w:p w:rsidRPr="00B91FF3" w:rsidR="00D511B2" w:rsidRDefault="00D511B2" w14:paraId="5D529D8C" w14:textId="77777777">
            <w:pPr>
              <w:rPr>
                <w:rFonts w:ascii="Verdana" w:hAnsi="Verdana"/>
                <w:sz w:val="18"/>
                <w:szCs w:val="18"/>
              </w:rPr>
            </w:pPr>
            <w:r w:rsidRPr="00B91FF3">
              <w:rPr>
                <w:rFonts w:ascii="Verdana" w:hAnsi="Verdana"/>
                <w:sz w:val="18"/>
                <w:szCs w:val="18"/>
              </w:rPr>
              <w:t>agosto a diciembre de 2022</w:t>
            </w:r>
          </w:p>
        </w:tc>
        <w:tc>
          <w:tcPr>
            <w:tcW w:w="3094" w:type="dxa"/>
          </w:tcPr>
          <w:p w:rsidRPr="00B91FF3" w:rsidR="00D511B2" w:rsidRDefault="00D511B2" w14:paraId="4572D9A7" w14:textId="77777777">
            <w:pPr>
              <w:rPr>
                <w:rFonts w:ascii="Verdana" w:hAnsi="Verdana"/>
                <w:sz w:val="18"/>
                <w:szCs w:val="18"/>
              </w:rPr>
            </w:pPr>
            <w:r w:rsidRPr="00B91FF3">
              <w:rPr>
                <w:rFonts w:ascii="Verdana" w:hAnsi="Verdana"/>
                <w:sz w:val="18"/>
                <w:szCs w:val="18"/>
              </w:rPr>
              <w:t>$5.298.179.636,78</w:t>
            </w:r>
          </w:p>
        </w:tc>
      </w:tr>
      <w:tr w:rsidRPr="00B91FF3" w:rsidR="00D511B2" w:rsidTr="0FF05B1B" w14:paraId="7C40E4E8" w14:textId="77777777">
        <w:trPr>
          <w:jc w:val="center"/>
        </w:trPr>
        <w:tc>
          <w:tcPr>
            <w:tcW w:w="3710" w:type="dxa"/>
          </w:tcPr>
          <w:p w:rsidRPr="00B91FF3" w:rsidR="00D511B2" w:rsidRDefault="00D511B2" w14:paraId="4F646F52" w14:textId="77777777">
            <w:pPr>
              <w:rPr>
                <w:rFonts w:ascii="Verdana" w:hAnsi="Verdana"/>
                <w:sz w:val="18"/>
                <w:szCs w:val="18"/>
              </w:rPr>
            </w:pPr>
            <w:r w:rsidRPr="00B91FF3">
              <w:rPr>
                <w:rFonts w:ascii="Verdana" w:hAnsi="Verdana"/>
                <w:sz w:val="18"/>
                <w:szCs w:val="18"/>
              </w:rPr>
              <w:t>2023</w:t>
            </w:r>
          </w:p>
        </w:tc>
        <w:tc>
          <w:tcPr>
            <w:tcW w:w="3094" w:type="dxa"/>
          </w:tcPr>
          <w:p w:rsidRPr="00B91FF3" w:rsidR="00D511B2" w:rsidRDefault="00D511B2" w14:paraId="5B0F7D25" w14:textId="77777777">
            <w:pPr>
              <w:rPr>
                <w:rFonts w:ascii="Verdana" w:hAnsi="Verdana"/>
                <w:sz w:val="18"/>
                <w:szCs w:val="18"/>
              </w:rPr>
            </w:pPr>
            <w:r w:rsidRPr="00B91FF3">
              <w:rPr>
                <w:rFonts w:ascii="Verdana" w:hAnsi="Verdana"/>
                <w:sz w:val="18"/>
                <w:szCs w:val="18"/>
              </w:rPr>
              <w:t>$8.324.409.435,56</w:t>
            </w:r>
          </w:p>
        </w:tc>
      </w:tr>
      <w:tr w:rsidRPr="00B91FF3" w:rsidR="00D511B2" w:rsidTr="0FF05B1B" w14:paraId="2DF8203E" w14:textId="77777777">
        <w:trPr>
          <w:jc w:val="center"/>
        </w:trPr>
        <w:tc>
          <w:tcPr>
            <w:tcW w:w="3710" w:type="dxa"/>
          </w:tcPr>
          <w:p w:rsidRPr="00B91FF3" w:rsidR="00D511B2" w:rsidRDefault="00D511B2" w14:paraId="609A8AC5" w14:textId="77777777">
            <w:pPr>
              <w:rPr>
                <w:rFonts w:ascii="Verdana" w:hAnsi="Verdana"/>
                <w:sz w:val="18"/>
                <w:szCs w:val="18"/>
              </w:rPr>
            </w:pPr>
            <w:r w:rsidRPr="00B91FF3">
              <w:rPr>
                <w:rFonts w:ascii="Verdana" w:hAnsi="Verdana"/>
                <w:sz w:val="18"/>
                <w:szCs w:val="18"/>
              </w:rPr>
              <w:t>2024</w:t>
            </w:r>
          </w:p>
        </w:tc>
        <w:tc>
          <w:tcPr>
            <w:tcW w:w="3094" w:type="dxa"/>
          </w:tcPr>
          <w:p w:rsidRPr="00B91FF3" w:rsidR="00D511B2" w:rsidRDefault="00D511B2" w14:paraId="23CA9663" w14:textId="77777777">
            <w:pPr>
              <w:rPr>
                <w:rFonts w:ascii="Verdana" w:hAnsi="Verdana"/>
                <w:sz w:val="18"/>
                <w:szCs w:val="18"/>
              </w:rPr>
            </w:pPr>
            <w:r w:rsidRPr="00B91FF3">
              <w:rPr>
                <w:rFonts w:ascii="Verdana" w:hAnsi="Verdana"/>
                <w:sz w:val="18"/>
                <w:szCs w:val="18"/>
              </w:rPr>
              <w:t>$14.957.895.796,77</w:t>
            </w:r>
          </w:p>
        </w:tc>
      </w:tr>
      <w:tr w:rsidRPr="00B91FF3" w:rsidR="00D511B2" w:rsidTr="0FF05B1B" w14:paraId="33A45BED" w14:textId="77777777">
        <w:trPr>
          <w:jc w:val="center"/>
        </w:trPr>
        <w:tc>
          <w:tcPr>
            <w:tcW w:w="3710" w:type="dxa"/>
          </w:tcPr>
          <w:p w:rsidRPr="00B91FF3" w:rsidR="00D511B2" w:rsidRDefault="00D511B2" w14:paraId="22F9C0EB" w14:textId="77777777">
            <w:pPr>
              <w:rPr>
                <w:rFonts w:ascii="Verdana" w:hAnsi="Verdana"/>
                <w:sz w:val="18"/>
                <w:szCs w:val="18"/>
              </w:rPr>
            </w:pPr>
            <w:r w:rsidRPr="00B91FF3">
              <w:rPr>
                <w:rFonts w:ascii="Verdana" w:hAnsi="Verdana"/>
                <w:sz w:val="18"/>
                <w:szCs w:val="18"/>
              </w:rPr>
              <w:t>2025</w:t>
            </w:r>
          </w:p>
        </w:tc>
        <w:tc>
          <w:tcPr>
            <w:tcW w:w="3094" w:type="dxa"/>
          </w:tcPr>
          <w:p w:rsidRPr="00B91FF3" w:rsidR="00D511B2" w:rsidRDefault="00D511B2" w14:paraId="626ABB67" w14:textId="77777777">
            <w:pPr>
              <w:rPr>
                <w:rFonts w:ascii="Verdana" w:hAnsi="Verdana"/>
                <w:sz w:val="18"/>
                <w:szCs w:val="18"/>
              </w:rPr>
            </w:pPr>
            <w:r w:rsidRPr="00B91FF3">
              <w:rPr>
                <w:rFonts w:ascii="Verdana" w:hAnsi="Verdana"/>
                <w:sz w:val="18"/>
                <w:szCs w:val="18"/>
              </w:rPr>
              <w:t>$1.856.414818,21</w:t>
            </w:r>
          </w:p>
        </w:tc>
      </w:tr>
      <w:tr w:rsidRPr="00B91FF3" w:rsidR="00D511B2" w:rsidTr="0FF05B1B" w14:paraId="3CA10568" w14:textId="77777777">
        <w:trPr>
          <w:jc w:val="center"/>
        </w:trPr>
        <w:tc>
          <w:tcPr>
            <w:tcW w:w="3710" w:type="dxa"/>
          </w:tcPr>
          <w:p w:rsidRPr="00B91FF3" w:rsidR="00D511B2" w:rsidRDefault="00D511B2" w14:paraId="43675017" w14:textId="77777777">
            <w:pPr>
              <w:rPr>
                <w:rFonts w:ascii="Verdana" w:hAnsi="Verdana"/>
                <w:sz w:val="18"/>
                <w:szCs w:val="18"/>
              </w:rPr>
            </w:pPr>
            <w:r w:rsidRPr="00B91FF3">
              <w:rPr>
                <w:rFonts w:ascii="Verdana" w:hAnsi="Verdana"/>
                <w:sz w:val="18"/>
                <w:szCs w:val="18"/>
              </w:rPr>
              <w:t>enero a marzo de 2026</w:t>
            </w:r>
          </w:p>
        </w:tc>
        <w:tc>
          <w:tcPr>
            <w:tcW w:w="3094" w:type="dxa"/>
          </w:tcPr>
          <w:p w:rsidRPr="00B91FF3" w:rsidR="00D511B2" w:rsidRDefault="00D511B2" w14:paraId="6D7856A6" w14:textId="77777777">
            <w:pPr>
              <w:rPr>
                <w:rFonts w:ascii="Verdana" w:hAnsi="Verdana"/>
                <w:sz w:val="18"/>
                <w:szCs w:val="18"/>
              </w:rPr>
            </w:pPr>
            <w:r w:rsidRPr="00B91FF3">
              <w:rPr>
                <w:rFonts w:ascii="Verdana" w:hAnsi="Verdana"/>
                <w:sz w:val="18"/>
                <w:szCs w:val="18"/>
              </w:rPr>
              <w:t>$303.971.340,00</w:t>
            </w:r>
          </w:p>
        </w:tc>
      </w:tr>
      <w:tr w:rsidRPr="00B91FF3" w:rsidR="00D511B2" w:rsidTr="0FF05B1B" w14:paraId="51717036" w14:textId="77777777">
        <w:trPr>
          <w:trHeight w:val="15"/>
          <w:jc w:val="center"/>
        </w:trPr>
        <w:tc>
          <w:tcPr>
            <w:tcW w:w="3710" w:type="dxa"/>
          </w:tcPr>
          <w:p w:rsidRPr="00B91FF3" w:rsidR="00D511B2" w:rsidRDefault="00D511B2" w14:paraId="08593E3A" w14:textId="77777777">
            <w:pPr>
              <w:jc w:val="right"/>
              <w:rPr>
                <w:rFonts w:ascii="Verdana" w:hAnsi="Verdana" w:eastAsia="Verdana" w:cs="Verdana"/>
                <w:b/>
                <w:bCs/>
                <w:color w:val="000000" w:themeColor="text1"/>
                <w:sz w:val="18"/>
                <w:szCs w:val="18"/>
              </w:rPr>
            </w:pPr>
            <w:r w:rsidRPr="00B91FF3">
              <w:rPr>
                <w:rFonts w:ascii="Verdana" w:hAnsi="Verdana" w:eastAsia="Verdana" w:cs="Verdana"/>
                <w:b/>
                <w:bCs/>
                <w:color w:val="000000" w:themeColor="text1"/>
                <w:sz w:val="18"/>
                <w:szCs w:val="18"/>
              </w:rPr>
              <w:t>TOTAL</w:t>
            </w:r>
          </w:p>
        </w:tc>
        <w:tc>
          <w:tcPr>
            <w:tcW w:w="3094" w:type="dxa"/>
          </w:tcPr>
          <w:p w:rsidRPr="00B91FF3" w:rsidR="00D511B2" w:rsidRDefault="00D511B2" w14:paraId="62B4E992" w14:textId="77777777">
            <w:pPr>
              <w:rPr>
                <w:rFonts w:ascii="Verdana" w:hAnsi="Verdana" w:eastAsia="Verdana" w:cs="Verdana"/>
                <w:b/>
                <w:bCs/>
                <w:color w:val="000000" w:themeColor="text1"/>
                <w:sz w:val="18"/>
                <w:szCs w:val="18"/>
              </w:rPr>
            </w:pPr>
            <w:r w:rsidRPr="00B91FF3">
              <w:rPr>
                <w:rFonts w:ascii="Verdana" w:hAnsi="Verdana" w:eastAsia="Verdana" w:cs="Verdana"/>
                <w:b/>
                <w:bCs/>
                <w:color w:val="000000" w:themeColor="text1"/>
                <w:sz w:val="18"/>
                <w:szCs w:val="18"/>
              </w:rPr>
              <w:t>$30.740.871.027,26</w:t>
            </w:r>
          </w:p>
        </w:tc>
      </w:tr>
    </w:tbl>
    <w:p w:rsidRPr="00C140A0" w:rsidR="00D511B2" w:rsidP="006A0A13" w:rsidRDefault="00D511B2" w14:paraId="07EAB039" w14:textId="77777777">
      <w:pPr>
        <w:spacing w:after="0" w:line="360" w:lineRule="auto"/>
        <w:jc w:val="both"/>
        <w:rPr>
          <w:rFonts w:ascii="Verdana" w:hAnsi="Verdana"/>
          <w:sz w:val="24"/>
          <w:szCs w:val="24"/>
        </w:rPr>
      </w:pPr>
    </w:p>
    <w:p w:rsidRPr="00C140A0" w:rsidR="00D511B2" w:rsidRDefault="00D511B2" w14:paraId="51771DB3" w14:textId="623F2685">
      <w:pPr>
        <w:pStyle w:val="Prrafodelista"/>
        <w:numPr>
          <w:ilvl w:val="1"/>
          <w:numId w:val="66"/>
        </w:numPr>
        <w:spacing w:after="0" w:line="360" w:lineRule="auto"/>
        <w:ind w:left="709" w:hanging="283"/>
        <w:jc w:val="both"/>
        <w:rPr>
          <w:rFonts w:ascii="Verdana" w:hAnsi="Verdana"/>
          <w:sz w:val="24"/>
          <w:szCs w:val="24"/>
        </w:rPr>
      </w:pPr>
      <w:r w:rsidRPr="30CF4445" w:rsidR="3F68F565">
        <w:rPr>
          <w:rFonts w:ascii="Verdana" w:hAnsi="Verdana"/>
          <w:sz w:val="24"/>
          <w:szCs w:val="24"/>
        </w:rPr>
        <w:t xml:space="preserve">Se cuenta con 102 procesos activos, la totalidad de los procesos superan la cuantía de UN (1) SMLMV. </w:t>
      </w:r>
      <w:r w:rsidRPr="30CF4445" w:rsidR="3208881D">
        <w:rPr>
          <w:rFonts w:ascii="Verdana" w:hAnsi="Verdana"/>
          <w:sz w:val="24"/>
          <w:szCs w:val="24"/>
        </w:rPr>
        <w:t xml:space="preserve">De ese total, </w:t>
      </w:r>
      <w:r w:rsidRPr="30CF4445" w:rsidR="3F68F565">
        <w:rPr>
          <w:rFonts w:ascii="Verdana" w:hAnsi="Verdana"/>
          <w:sz w:val="24"/>
          <w:szCs w:val="24"/>
        </w:rPr>
        <w:t xml:space="preserve">cuatro (4) procesos se encuentran suspendidos por demanda admitida y notificada en el Contencioso Administrativo, el resto, adelantando las correspondientes etapas procesales coactivas. </w:t>
      </w:r>
    </w:p>
    <w:p w:rsidRPr="00C140A0" w:rsidR="00D511B2" w:rsidRDefault="00D511B2" w14:paraId="61BB2F32" w14:textId="77777777">
      <w:pPr>
        <w:pStyle w:val="Prrafodelista"/>
        <w:numPr>
          <w:ilvl w:val="1"/>
          <w:numId w:val="66"/>
        </w:numPr>
        <w:spacing w:after="0" w:line="360" w:lineRule="auto"/>
        <w:ind w:left="709" w:hanging="283"/>
        <w:jc w:val="both"/>
        <w:rPr>
          <w:rFonts w:ascii="Verdana" w:hAnsi="Verdana"/>
          <w:sz w:val="24"/>
          <w:szCs w:val="24"/>
        </w:rPr>
      </w:pPr>
      <w:r w:rsidRPr="00C140A0">
        <w:rPr>
          <w:rFonts w:ascii="Verdana" w:hAnsi="Verdana"/>
          <w:sz w:val="24"/>
          <w:szCs w:val="24"/>
        </w:rPr>
        <w:t xml:space="preserve">La situación de impulso procesal a los expedientes coactivos es para la mayoría de ellos con orden de seguir adelante con la ejecución, investigación de bienes y decreto de medidas cautelares. </w:t>
      </w:r>
    </w:p>
    <w:p w:rsidRPr="00C140A0" w:rsidR="00D511B2" w:rsidRDefault="00D511B2" w14:paraId="650E82D4" w14:textId="77777777">
      <w:pPr>
        <w:pStyle w:val="Prrafodelista"/>
        <w:numPr>
          <w:ilvl w:val="1"/>
          <w:numId w:val="66"/>
        </w:numPr>
        <w:spacing w:after="0" w:line="360" w:lineRule="auto"/>
        <w:ind w:left="709" w:hanging="283"/>
        <w:jc w:val="both"/>
        <w:rPr>
          <w:rFonts w:ascii="Verdana" w:hAnsi="Verdana"/>
          <w:sz w:val="24"/>
          <w:szCs w:val="24"/>
        </w:rPr>
      </w:pPr>
      <w:r w:rsidRPr="00C140A0">
        <w:rPr>
          <w:rFonts w:ascii="Verdana" w:hAnsi="Verdana"/>
          <w:sz w:val="24"/>
          <w:szCs w:val="24"/>
        </w:rPr>
        <w:t xml:space="preserve">En la investigación de bienes de los deudores, en la totalidad de expedientes se han efectuado los requerimientos a entidades bancarias, cámaras de comercio y entidades encargadas del registro público de bienes muebles e inmuebles. </w:t>
      </w:r>
    </w:p>
    <w:p w:rsidRPr="00C140A0" w:rsidR="00D511B2" w:rsidRDefault="00D511B2" w14:paraId="78BDEDE8" w14:textId="131D51B4">
      <w:pPr>
        <w:pStyle w:val="Prrafodelista"/>
        <w:numPr>
          <w:ilvl w:val="1"/>
          <w:numId w:val="66"/>
        </w:numPr>
        <w:spacing w:after="0" w:line="360" w:lineRule="auto"/>
        <w:ind w:left="709" w:hanging="283"/>
        <w:jc w:val="both"/>
        <w:rPr>
          <w:rFonts w:ascii="Verdana" w:hAnsi="Verdana"/>
          <w:sz w:val="24"/>
          <w:szCs w:val="24"/>
        </w:rPr>
      </w:pPr>
      <w:r w:rsidRPr="30CF4445" w:rsidR="3F68F565">
        <w:rPr>
          <w:rFonts w:ascii="Verdana" w:hAnsi="Verdana"/>
          <w:sz w:val="24"/>
          <w:szCs w:val="24"/>
        </w:rPr>
        <w:t xml:space="preserve">Se tiene listo el proyecto actualizado de Reglamento Interno de Cartera para el trámite de firma del Señor </w:t>
      </w:r>
      <w:r w:rsidRPr="30CF4445" w:rsidR="1D9BA97D">
        <w:rPr>
          <w:rFonts w:ascii="Verdana" w:hAnsi="Verdana"/>
          <w:sz w:val="24"/>
          <w:szCs w:val="24"/>
        </w:rPr>
        <w:t>ministro</w:t>
      </w:r>
      <w:r w:rsidRPr="30CF4445" w:rsidR="3F68F565">
        <w:rPr>
          <w:rFonts w:ascii="Verdana" w:hAnsi="Verdana"/>
          <w:sz w:val="24"/>
          <w:szCs w:val="24"/>
        </w:rPr>
        <w:t>.</w:t>
      </w:r>
    </w:p>
    <w:p w:rsidRPr="00C140A0" w:rsidR="00D511B2" w:rsidRDefault="00D511B2" w14:paraId="295CD6E4" w14:textId="77777777">
      <w:pPr>
        <w:pStyle w:val="Prrafodelista"/>
        <w:numPr>
          <w:ilvl w:val="1"/>
          <w:numId w:val="66"/>
        </w:numPr>
        <w:spacing w:after="0" w:line="360" w:lineRule="auto"/>
        <w:ind w:left="709" w:hanging="283"/>
        <w:jc w:val="both"/>
        <w:rPr>
          <w:rFonts w:ascii="Verdana" w:hAnsi="Verdana"/>
          <w:sz w:val="24"/>
          <w:szCs w:val="24"/>
        </w:rPr>
      </w:pPr>
      <w:r w:rsidRPr="00C140A0">
        <w:rPr>
          <w:rFonts w:ascii="Verdana" w:hAnsi="Verdana"/>
          <w:sz w:val="24"/>
          <w:szCs w:val="24"/>
        </w:rPr>
        <w:t>Se adelanta la creación e implementación de un aplicativo que permita administrar y gestionar los expedientes en todas sus etapas procesales.</w:t>
      </w:r>
    </w:p>
    <w:p w:rsidRPr="00C140A0" w:rsidR="00D511B2" w:rsidRDefault="00D511B2" w14:paraId="69ACBB2C" w14:textId="42CEE781">
      <w:pPr>
        <w:pStyle w:val="Prrafodelista"/>
        <w:numPr>
          <w:ilvl w:val="1"/>
          <w:numId w:val="66"/>
        </w:numPr>
        <w:spacing w:after="0" w:line="360" w:lineRule="auto"/>
        <w:ind w:left="709" w:hanging="283"/>
        <w:jc w:val="both"/>
        <w:rPr>
          <w:rFonts w:ascii="Verdana" w:hAnsi="Verdana"/>
          <w:sz w:val="24"/>
          <w:szCs w:val="24"/>
        </w:rPr>
      </w:pPr>
      <w:r w:rsidRPr="30CF4445" w:rsidR="3F68F565">
        <w:rPr>
          <w:rFonts w:ascii="Verdana" w:hAnsi="Verdana"/>
          <w:sz w:val="24"/>
          <w:szCs w:val="24"/>
        </w:rPr>
        <w:t xml:space="preserve">Igualmente se adelanta la depuración de cartera coactiva, para determinar </w:t>
      </w:r>
      <w:r w:rsidRPr="30CF4445" w:rsidR="3F68F565">
        <w:rPr>
          <w:rFonts w:ascii="Verdana" w:hAnsi="Verdana"/>
          <w:sz w:val="24"/>
          <w:szCs w:val="24"/>
        </w:rPr>
        <w:t>qu</w:t>
      </w:r>
      <w:r w:rsidRPr="30CF4445" w:rsidR="52D6C80A">
        <w:rPr>
          <w:rFonts w:ascii="Verdana" w:hAnsi="Verdana"/>
          <w:sz w:val="24"/>
          <w:szCs w:val="24"/>
        </w:rPr>
        <w:t>é</w:t>
      </w:r>
      <w:r w:rsidRPr="30CF4445" w:rsidR="3F68F565">
        <w:rPr>
          <w:rFonts w:ascii="Verdana" w:hAnsi="Verdana"/>
          <w:sz w:val="24"/>
          <w:szCs w:val="24"/>
        </w:rPr>
        <w:t xml:space="preserve"> acreencias puede encontrarse</w:t>
      </w:r>
      <w:r w:rsidRPr="30CF4445" w:rsidR="3F68F565">
        <w:rPr>
          <w:rFonts w:ascii="Verdana" w:hAnsi="Verdana"/>
          <w:sz w:val="24"/>
          <w:szCs w:val="24"/>
        </w:rPr>
        <w:t xml:space="preserve"> en la categoría de “Imposible Recaudo”, a fin de tramitar su terminación y archivo.</w:t>
      </w:r>
    </w:p>
    <w:p w:rsidRPr="00C140A0" w:rsidR="00C04ED5" w:rsidP="006A0A13" w:rsidRDefault="00C04ED5" w14:paraId="229578BA" w14:textId="77777777">
      <w:pPr>
        <w:spacing w:after="0" w:line="360" w:lineRule="auto"/>
        <w:rPr>
          <w:rFonts w:ascii="Verdana" w:hAnsi="Verdana"/>
          <w:sz w:val="24"/>
          <w:szCs w:val="24"/>
        </w:rPr>
      </w:pPr>
    </w:p>
    <w:p w:rsidRPr="00C140A0" w:rsidR="00A82055" w:rsidRDefault="00A82055" w14:paraId="5B454711" w14:textId="77777777">
      <w:pPr>
        <w:pStyle w:val="Prrafodelista"/>
        <w:numPr>
          <w:ilvl w:val="0"/>
          <w:numId w:val="42"/>
        </w:numPr>
        <w:spacing w:after="0" w:line="360" w:lineRule="auto"/>
        <w:outlineLvl w:val="0"/>
        <w:rPr>
          <w:rFonts w:ascii="Verdana" w:hAnsi="Verdana"/>
          <w:b/>
          <w:bCs/>
          <w:sz w:val="24"/>
          <w:szCs w:val="24"/>
        </w:rPr>
      </w:pPr>
      <w:bookmarkStart w:name="_Toc233996736" w:id="19"/>
      <w:r w:rsidRPr="00C140A0">
        <w:rPr>
          <w:rFonts w:ascii="Verdana" w:hAnsi="Verdana"/>
          <w:b/>
          <w:bCs/>
          <w:sz w:val="24"/>
          <w:szCs w:val="24"/>
        </w:rPr>
        <w:t>De cara al ciudadano</w:t>
      </w:r>
      <w:bookmarkEnd w:id="19"/>
      <w:r w:rsidRPr="00C140A0">
        <w:rPr>
          <w:rFonts w:ascii="Verdana" w:hAnsi="Verdana"/>
          <w:b/>
          <w:bCs/>
          <w:sz w:val="24"/>
          <w:szCs w:val="24"/>
        </w:rPr>
        <w:t xml:space="preserve"> </w:t>
      </w:r>
    </w:p>
    <w:p w:rsidR="00E52256" w:rsidP="006A0A13" w:rsidRDefault="00E52256" w14:paraId="0BC44CAB" w14:textId="77777777">
      <w:pPr>
        <w:spacing w:after="0" w:line="360" w:lineRule="auto"/>
        <w:jc w:val="both"/>
        <w:rPr>
          <w:rFonts w:ascii="Verdana" w:hAnsi="Verdana"/>
          <w:sz w:val="24"/>
          <w:szCs w:val="24"/>
        </w:rPr>
      </w:pPr>
    </w:p>
    <w:p w:rsidRPr="00C140A0" w:rsidR="00D511B2" w:rsidP="006A0A13" w:rsidRDefault="00D511B2" w14:paraId="04BDE868" w14:textId="77777777">
      <w:pPr>
        <w:spacing w:after="0" w:line="360" w:lineRule="auto"/>
        <w:jc w:val="both"/>
        <w:rPr>
          <w:rFonts w:ascii="Verdana" w:hAnsi="Verdana"/>
          <w:sz w:val="24"/>
          <w:szCs w:val="24"/>
        </w:rPr>
      </w:pPr>
      <w:r w:rsidRPr="00C140A0">
        <w:rPr>
          <w:rFonts w:ascii="Verdana" w:hAnsi="Verdana"/>
          <w:sz w:val="24"/>
          <w:szCs w:val="24"/>
        </w:rPr>
        <w:t xml:space="preserve">La relación Estado–ciudadanía se configura como un proceso bidireccional de participación en la toma de decisiones, sustentado en una construcción colectiva, inclusiva, equitativa e igualitaria, que se desarrolla en espacios dinámicos donde convergen diversos actores con el propósito de consolidar una sociedad de bienestar. En este marco, el Ministerio de Minas y Energía reconoce que dicha relación inicia con la identificación y comprensión de sus grupos de valor y partes interesadas, lo que permite ofrecer servicios y productos pertinentes, acordes con sus contextos y prioridades. Asimismo, el fortalecimiento del diálogo con las comunidades, a partir de la escucha activa de sus inquietudes, sugerencias, expectativas y necesidades, posibilita la generación de compromisos y acciones orientadas a la garantía de sus derechos y a la legitimidad institucional. </w:t>
      </w:r>
    </w:p>
    <w:p w:rsidR="00E52256" w:rsidP="006A0A13" w:rsidRDefault="00E52256" w14:paraId="04899EAC" w14:textId="77777777">
      <w:pPr>
        <w:spacing w:after="0" w:line="360" w:lineRule="auto"/>
        <w:jc w:val="both"/>
        <w:rPr>
          <w:rFonts w:ascii="Verdana" w:hAnsi="Verdana"/>
          <w:sz w:val="24"/>
          <w:szCs w:val="24"/>
        </w:rPr>
      </w:pPr>
    </w:p>
    <w:p w:rsidRPr="00C140A0" w:rsidR="00D511B2" w:rsidP="006A0A13" w:rsidRDefault="00D511B2" w14:paraId="2E98EB80" w14:textId="77777777">
      <w:pPr>
        <w:spacing w:after="0" w:line="360" w:lineRule="auto"/>
        <w:jc w:val="both"/>
        <w:rPr>
          <w:rFonts w:ascii="Verdana" w:hAnsi="Verdana"/>
          <w:sz w:val="24"/>
          <w:szCs w:val="24"/>
        </w:rPr>
      </w:pPr>
      <w:r w:rsidRPr="00C140A0">
        <w:rPr>
          <w:rFonts w:ascii="Verdana" w:hAnsi="Verdana"/>
          <w:sz w:val="24"/>
          <w:szCs w:val="24"/>
        </w:rPr>
        <w:t>En consecuencia, a través del Grupo de Relacionamiento con el Ciudadano y Gestión de la Información, el Ministerio impulsa la actualización permanente de la caracterización de sus grupos de valor, con el fin de orientar estratégicamente sus intervenciones y contribuir al avance de una transición energética justa.</w:t>
      </w:r>
    </w:p>
    <w:p w:rsidRPr="00C140A0" w:rsidR="00D511B2" w:rsidP="006A0A13" w:rsidRDefault="00D511B2" w14:paraId="3B8F5E20" w14:textId="77777777">
      <w:pPr>
        <w:spacing w:after="0" w:line="360" w:lineRule="auto"/>
        <w:outlineLvl w:val="0"/>
        <w:rPr>
          <w:rFonts w:ascii="Verdana" w:hAnsi="Verdana"/>
          <w:b/>
          <w:bCs/>
          <w:sz w:val="24"/>
          <w:szCs w:val="24"/>
        </w:rPr>
      </w:pPr>
    </w:p>
    <w:p w:rsidR="00A82055" w:rsidRDefault="1689A91F" w14:paraId="061AB630" w14:textId="77777777">
      <w:pPr>
        <w:pStyle w:val="Prrafodelista"/>
        <w:numPr>
          <w:ilvl w:val="1"/>
          <w:numId w:val="42"/>
        </w:numPr>
        <w:spacing w:after="0" w:line="360" w:lineRule="auto"/>
        <w:outlineLvl w:val="1"/>
        <w:rPr>
          <w:rFonts w:ascii="Verdana" w:hAnsi="Verdana"/>
          <w:b/>
          <w:bCs/>
          <w:sz w:val="24"/>
          <w:szCs w:val="24"/>
        </w:rPr>
      </w:pPr>
      <w:bookmarkStart w:name="_Toc233996737" w:id="20"/>
      <w:r w:rsidRPr="180099B3">
        <w:rPr>
          <w:rFonts w:ascii="Verdana" w:hAnsi="Verdana"/>
          <w:b/>
          <w:bCs/>
          <w:sz w:val="24"/>
          <w:szCs w:val="24"/>
        </w:rPr>
        <w:t>Caracterización de usuarios y medición de la satisfacción</w:t>
      </w:r>
      <w:bookmarkEnd w:id="20"/>
      <w:r w:rsidRPr="180099B3">
        <w:rPr>
          <w:rFonts w:ascii="Verdana" w:hAnsi="Verdana"/>
          <w:b/>
          <w:bCs/>
          <w:sz w:val="24"/>
          <w:szCs w:val="24"/>
        </w:rPr>
        <w:t xml:space="preserve"> </w:t>
      </w:r>
    </w:p>
    <w:p w:rsidR="180099B3" w:rsidP="006A0A13" w:rsidRDefault="180099B3" w14:paraId="49CC0AA1" w14:textId="77777777">
      <w:pPr>
        <w:spacing w:after="0" w:line="360" w:lineRule="auto"/>
        <w:jc w:val="both"/>
        <w:rPr>
          <w:rFonts w:ascii="Verdana" w:hAnsi="Verdana"/>
          <w:sz w:val="24"/>
          <w:szCs w:val="24"/>
        </w:rPr>
      </w:pPr>
    </w:p>
    <w:p w:rsidR="00B91FF3" w:rsidP="00E52256" w:rsidRDefault="00D511B2" w14:paraId="33C0AF5C" w14:textId="77777777">
      <w:pPr>
        <w:spacing w:after="0" w:line="360" w:lineRule="auto"/>
        <w:jc w:val="both"/>
        <w:rPr>
          <w:rFonts w:ascii="Verdana" w:hAnsi="Verdana"/>
          <w:sz w:val="24"/>
          <w:szCs w:val="24"/>
        </w:rPr>
      </w:pPr>
      <w:r w:rsidRPr="00C140A0">
        <w:rPr>
          <w:rFonts w:ascii="Verdana" w:hAnsi="Verdana"/>
          <w:noProof/>
          <w:sz w:val="24"/>
          <w:szCs w:val="24"/>
        </w:rPr>
        <mc:AlternateContent>
          <mc:Choice Requires="wps">
            <w:drawing>
              <wp:anchor distT="0" distB="0" distL="114300" distR="114300" simplePos="0" relativeHeight="251658245" behindDoc="1" locked="0" layoutInCell="1" allowOverlap="1" wp14:anchorId="74F8F843" wp14:editId="0E591C2D">
                <wp:simplePos x="0" y="0"/>
                <wp:positionH relativeFrom="margin">
                  <wp:align>left</wp:align>
                </wp:positionH>
                <wp:positionV relativeFrom="paragraph">
                  <wp:posOffset>2753360</wp:posOffset>
                </wp:positionV>
                <wp:extent cx="3339465" cy="428625"/>
                <wp:effectExtent l="0" t="0" r="0" b="9525"/>
                <wp:wrapTight wrapText="bothSides">
                  <wp:wrapPolygon edited="0">
                    <wp:start x="0" y="0"/>
                    <wp:lineTo x="0" y="21120"/>
                    <wp:lineTo x="21440" y="21120"/>
                    <wp:lineTo x="21440" y="0"/>
                    <wp:lineTo x="0" y="0"/>
                  </wp:wrapPolygon>
                </wp:wrapTight>
                <wp:docPr id="614299380" name="Cuadro de texto 1"/>
                <wp:cNvGraphicFramePr/>
                <a:graphic xmlns:a="http://schemas.openxmlformats.org/drawingml/2006/main">
                  <a:graphicData uri="http://schemas.microsoft.com/office/word/2010/wordprocessingShape">
                    <wps:wsp>
                      <wps:cNvSpPr txBox="1"/>
                      <wps:spPr>
                        <a:xfrm>
                          <a:off x="0" y="0"/>
                          <a:ext cx="3339465" cy="428625"/>
                        </a:xfrm>
                        <a:prstGeom prst="rect">
                          <a:avLst/>
                        </a:prstGeom>
                        <a:solidFill>
                          <a:schemeClr val="lt1"/>
                        </a:solidFill>
                        <a:ln w="6350">
                          <a:noFill/>
                        </a:ln>
                      </wps:spPr>
                      <wps:txbx>
                        <w:txbxContent>
                          <w:p w:rsidRPr="009235E2" w:rsidR="00D511B2" w:rsidP="00D511B2" w:rsidRDefault="00D511B2" w14:paraId="3C63E8F6"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sz w:val="16"/>
                                <w:szCs w:val="16"/>
                              </w:rPr>
                            </w:pPr>
                            <w:r w:rsidRPr="009235E2">
                              <w:rPr>
                                <w:b/>
                                <w:bCs/>
                                <w:sz w:val="16"/>
                                <w:szCs w:val="16"/>
                              </w:rPr>
                              <w:t>Fuente:</w:t>
                            </w:r>
                            <w:r w:rsidRPr="009235E2">
                              <w:rPr>
                                <w:sz w:val="16"/>
                                <w:szCs w:val="16"/>
                              </w:rPr>
                              <w:t xml:space="preserve"> Elaboración propia a partir de los resultados del informe de caracterización de grupos de valor e interés </w:t>
                            </w:r>
                          </w:p>
                          <w:p w:rsidRPr="009235E2" w:rsidR="00D511B2" w:rsidP="00D511B2" w:rsidRDefault="00D511B2" w14:paraId="5FECEC79" w14:textId="77777777">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040D97BB">
              <v:shapetype id="_x0000_t202" coordsize="21600,21600" o:spt="202" path="m,l,21600r21600,l21600,xe" w14:anchorId="74F8F843">
                <v:stroke joinstyle="miter"/>
                <v:path gradientshapeok="t" o:connecttype="rect"/>
              </v:shapetype>
              <v:shape id="Cuadro de texto 1" style="position:absolute;left:0;text-align:left;margin-left:0;margin-top:216.8pt;width:262.95pt;height:33.75pt;z-index:-251658235;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spid="_x0000_s1027"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hSLgIAAFsEAAAOAAAAZHJzL2Uyb0RvYy54bWysVE2P2yAQvVfqf0DcG+e7u1acVZpVqkrR&#10;7krZas8EQ4yEGQokdvrrO+B8ddtT1QueYYbHzJuHZw9trclBOK/AFHTQ61MiDIdSmV1Bv7+uPt1R&#10;4gMzJdNgREGPwtOH+ccPs8bmYggV6FI4giDG540taBWCzbPM80rUzPfACoNBCa5mAV23y0rHGkSv&#10;dTbs96dZA660DrjwHncfuyCdJ3wpBQ/PUnoRiC4o1hbS6tK6jWs2n7F855itFD+Vwf6hipopg5de&#10;oB5ZYGTv1B9QteIOPMjQ41BnIKXiIvWA3Qz677rZVMyK1AuS4+2FJv//YPnTYWNfHAntF2hxgJGQ&#10;xvrc42bsp5Wujl+slGAcKTxeaBNtIBw3R6PR/Xg6oYRjbDy8mw4nESa7nrbOh68CahKNgjocS2KL&#10;HdY+dKnnlHiZB63KldI6OVEKYqkdOTAcog6pRgT/LUsb0hR0Opr0E7CBeLxD1gZrufYUrdBuW6LK&#10;m363UB6RBgedQrzlK4W1rpkPL8yhJLBzlHl4xkVqwLvgZFFSgfv5t/2Yj5PCKCUNSqyg/seeOUGJ&#10;/mZwhveD8ThqMjnjyechOu42sr2NmH29BCRggA/K8mTG/KDPpnRQv+FrWMRbMcQMx7sLGs7mMnTC&#10;x9fExWKRklCFloW12VgeoSPhcRKv7Rtz9jSugIN+grMYWf5ual1uPGlgsQ8gVRpp5Llj9UQ/KjiJ&#10;4vTa4hO59VPW9Z8w/wUAAP//AwBQSwMEFAAGAAgAAAAhACLPd83gAAAACAEAAA8AAABkcnMvZG93&#10;bnJldi54bWxMj0FPg0AQhe8m/ofNmHgx7UKRqsjSGKM28WapGm9bdgQiO0vYLeC/dzzp7U3e5L3v&#10;5ZvZdmLEwbeOFMTLCARS5UxLtYJ9+bi4BuGDJqM7R6jgGz1sitOTXGfGTfSC4y7UgkPIZ1pBE0Kf&#10;SemrBq32S9cjsffpBqsDn0MtzaAnDredXEXRWlrdEjc0usf7Bquv3dEq+Lio35/9/PQ6JWnSP2zH&#10;8urNlEqdn813tyACzuHvGX7xGR0KZjq4IxkvOgU8JCi4TJI1CLbTVXoD4sAiimOQRS7/Dyh+AAAA&#10;//8DAFBLAQItABQABgAIAAAAIQC2gziS/gAAAOEBAAATAAAAAAAAAAAAAAAAAAAAAABbQ29udGVu&#10;dF9UeXBlc10ueG1sUEsBAi0AFAAGAAgAAAAhADj9If/WAAAAlAEAAAsAAAAAAAAAAAAAAAAALwEA&#10;AF9yZWxzLy5yZWxzUEsBAi0AFAAGAAgAAAAhAOh3+FIuAgAAWwQAAA4AAAAAAAAAAAAAAAAALgIA&#10;AGRycy9lMm9Eb2MueG1sUEsBAi0AFAAGAAgAAAAhACLPd83gAAAACAEAAA8AAAAAAAAAAAAAAAAA&#10;iAQAAGRycy9kb3ducmV2LnhtbFBLBQYAAAAABAAEAPMAAACVBQAAAAA=&#10;">
                <v:textbox>
                  <w:txbxContent>
                    <w:p w:rsidRPr="009235E2" w:rsidR="00D511B2" w:rsidP="00D511B2" w:rsidRDefault="00D511B2" w14:paraId="10A103F9"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sz w:val="16"/>
                          <w:szCs w:val="16"/>
                        </w:rPr>
                      </w:pPr>
                      <w:r w:rsidRPr="009235E2">
                        <w:rPr>
                          <w:b/>
                          <w:bCs/>
                          <w:sz w:val="16"/>
                          <w:szCs w:val="16"/>
                        </w:rPr>
                        <w:t>Fuente:</w:t>
                      </w:r>
                      <w:r w:rsidRPr="009235E2">
                        <w:rPr>
                          <w:sz w:val="16"/>
                          <w:szCs w:val="16"/>
                        </w:rPr>
                        <w:t xml:space="preserve"> Elaboración propia a partir de los resultados del informe de caracterización de grupos de valor e interés </w:t>
                      </w:r>
                    </w:p>
                    <w:p w:rsidRPr="009235E2" w:rsidR="00D511B2" w:rsidP="00D511B2" w:rsidRDefault="00D511B2" w14:paraId="672A6659" w14:textId="77777777">
                      <w:pPr>
                        <w:rPr>
                          <w:sz w:val="16"/>
                          <w:szCs w:val="16"/>
                        </w:rPr>
                      </w:pPr>
                    </w:p>
                  </w:txbxContent>
                </v:textbox>
                <w10:wrap type="tight" anchorx="margin"/>
              </v:shape>
            </w:pict>
          </mc:Fallback>
        </mc:AlternateContent>
      </w:r>
      <w:r w:rsidRPr="00C140A0">
        <w:rPr>
          <w:rFonts w:ascii="Verdana" w:hAnsi="Verdana"/>
          <w:noProof/>
          <w:sz w:val="24"/>
          <w:szCs w:val="24"/>
        </w:rPr>
        <mc:AlternateContent>
          <mc:Choice Requires="wps">
            <w:drawing>
              <wp:anchor distT="0" distB="0" distL="114300" distR="114300" simplePos="0" relativeHeight="251658240" behindDoc="1" locked="0" layoutInCell="1" allowOverlap="1" wp14:anchorId="0B9AAB50" wp14:editId="47AAE20C">
                <wp:simplePos x="0" y="0"/>
                <wp:positionH relativeFrom="column">
                  <wp:posOffset>24765</wp:posOffset>
                </wp:positionH>
                <wp:positionV relativeFrom="paragraph">
                  <wp:posOffset>90805</wp:posOffset>
                </wp:positionV>
                <wp:extent cx="3323590" cy="341630"/>
                <wp:effectExtent l="0" t="0" r="0" b="1270"/>
                <wp:wrapTight wrapText="bothSides">
                  <wp:wrapPolygon edited="0">
                    <wp:start x="0" y="0"/>
                    <wp:lineTo x="0" y="20476"/>
                    <wp:lineTo x="21418" y="20476"/>
                    <wp:lineTo x="21418" y="0"/>
                    <wp:lineTo x="0" y="0"/>
                  </wp:wrapPolygon>
                </wp:wrapTight>
                <wp:docPr id="1291405529" name="Cuadro de texto 1"/>
                <wp:cNvGraphicFramePr/>
                <a:graphic xmlns:a="http://schemas.openxmlformats.org/drawingml/2006/main">
                  <a:graphicData uri="http://schemas.microsoft.com/office/word/2010/wordprocessingShape">
                    <wps:wsp>
                      <wps:cNvSpPr/>
                      <wps:spPr>
                        <a:xfrm>
                          <a:off x="0" y="0"/>
                          <a:ext cx="3323590" cy="341630"/>
                        </a:xfrm>
                        <a:prstGeom prst="rect">
                          <a:avLst/>
                        </a:prstGeom>
                        <a:solidFill>
                          <a:srgbClr val="FFFFFF"/>
                        </a:solidFill>
                        <a:ln>
                          <a:noFill/>
                        </a:ln>
                      </wps:spPr>
                      <wps:txbx>
                        <w:txbxContent>
                          <w:p w:rsidRPr="002905E0" w:rsidR="009512C7" w:rsidRDefault="000D11CF" w14:paraId="601AA5D2" w14:textId="77777777">
                            <w:pPr>
                              <w:spacing w:line="276" w:lineRule="auto"/>
                              <w:jc w:val="center"/>
                              <w:rPr>
                                <w:rFonts w:ascii="Verdana" w:hAnsi="Verdana" w:eastAsia="Verdana"/>
                                <w:kern w:val="0"/>
                                <w:sz w:val="18"/>
                                <w:szCs w:val="18"/>
                                <w14:ligatures w14:val="none"/>
                              </w:rPr>
                            </w:pPr>
                            <w:r w:rsidRPr="002905E0">
                              <w:rPr>
                                <w:rFonts w:ascii="Verdana" w:hAnsi="Verdana" w:eastAsia="Verdana"/>
                                <w:sz w:val="18"/>
                                <w:szCs w:val="18"/>
                              </w:rPr>
                              <w:t>Imagen No. 5. Número de registros de caracterización 2023-2025</w:t>
                            </w:r>
                          </w:p>
                        </w:txbxContent>
                      </wps:txbx>
                      <wps:bodyPr spcFirstLastPara="0" wrap="square" lIns="0" tIns="0" rIns="0" bIns="0" anchor="t">
                        <a:noAutofit/>
                      </wps:bodyPr>
                    </wps:wsp>
                  </a:graphicData>
                </a:graphic>
                <wp14:sizeRelH relativeFrom="margin">
                  <wp14:pctWidth>0</wp14:pctWidth>
                </wp14:sizeRelH>
                <wp14:sizeRelV relativeFrom="margin">
                  <wp14:pctHeight>0</wp14:pctHeight>
                </wp14:sizeRelV>
              </wp:anchor>
            </w:drawing>
          </mc:Choice>
          <mc:Fallback>
            <w:pict w14:anchorId="167143E5">
              <v:rect id="_x0000_s1028" style="position:absolute;left:0;text-align:left;margin-left:1.95pt;margin-top:7.15pt;width:261.7pt;height:26.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stroked="f" w14:anchorId="0B9AAB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JMftwEAAGADAAAOAAAAZHJzL2Uyb0RvYy54bWysU9tu2zAMfR+wfxD0vjiJt2Iz4hTFigwD&#10;ii1Auw+QZTkWIIsaqcTO349Sbru8Dc2DQpHUIc8hvbqfBicOBsmCr+ViNpfCeA2t9bta/njZvPso&#10;BUXlW+XAm1oeDcn79ds3qzFUZgk9uNagYBBP1Rhq2ccYqqIg3ZtB0QyC8RzsAAcV+Yq7okU1Mvrg&#10;iuV8fleMgG1A0IaIvY+noFxn/K4zOn7vOjJRuFpybzGfmM8mncV6paodqtBbfW5D/UcXg7Kei16h&#10;HlVUYo/2H6jBagSCLs40DAV0ndUmc2A2i/lfbJ57FUzmwuJQuMpErwervx2ewxZZhjFQRWwmFlOH&#10;Q/rn/sSUxTpexTJTFJqdZbksP3xiTTXHyveLuzKrWdxeB6T4xcAgklFL5GFkjdThiSJX5NRLSipG&#10;4Gy7sc7lC+6azw7FQfHgNvmXZsVP/khzPiV7SM9O4eQpblySFadmErat5TJBJE8D7XGLgoLeWO7t&#10;SVHcKuTBM52Rl6GW9HOv0EjhvnpWO23OxcCL0VwM5XUPvFMndh4e9hE6mxneip274jFmFueVS3vy&#10;+z1n3T6M9S8AAAD//wMAUEsDBBQABgAIAAAAIQB5YMC92wAAAAcBAAAPAAAAZHJzL2Rvd25yZXYu&#10;eG1sTI7NTsMwEITvSLyDtUjcqJMW2hLiVIgf9dxAxdWNlzhgr6PYaQNPz3KC2+zMaPYrN5N34ohD&#10;7AIpyGcZCKQmmI5aBa8vz1drEDFpMtoFQgVfGGFTnZ+VujDhRDs81qkVPEKx0ApsSn0hZWwseh1n&#10;oUfi7D0MXic+h1aaQZ943Ds5z7Kl9Loj/mB1jw8Wm8969Aq2+eNT/yG/a711Cce9nRr3Nil1eTHd&#10;34FIOKW/MvziMzpUzHQII5konILFLRfZvl6A4PhmvmJxULBc5yCrUv7nr34AAAD//wMAUEsBAi0A&#10;FAAGAAgAAAAhALaDOJL+AAAA4QEAABMAAAAAAAAAAAAAAAAAAAAAAFtDb250ZW50X1R5cGVzXS54&#10;bWxQSwECLQAUAAYACAAAACEAOP0h/9YAAACUAQAACwAAAAAAAAAAAAAAAAAvAQAAX3JlbHMvLnJl&#10;bHNQSwECLQAUAAYACAAAACEADDyTH7cBAABgAwAADgAAAAAAAAAAAAAAAAAuAgAAZHJzL2Uyb0Rv&#10;Yy54bWxQSwECLQAUAAYACAAAACEAeWDAvdsAAAAHAQAADwAAAAAAAAAAAAAAAAARBAAAZHJzL2Rv&#10;d25yZXYueG1sUEsFBgAAAAAEAAQA8wAAABkFAAAAAA==&#10;">
                <v:textbox inset="0,0,0,0">
                  <w:txbxContent>
                    <w:p w:rsidRPr="002905E0" w:rsidR="009512C7" w:rsidRDefault="000D11CF" w14:paraId="6BDB46B2" w14:textId="77777777">
                      <w:pPr>
                        <w:spacing w:line="276" w:lineRule="auto"/>
                        <w:jc w:val="center"/>
                        <w:rPr>
                          <w:rFonts w:ascii="Verdana" w:hAnsi="Verdana" w:eastAsia="Verdana"/>
                          <w:kern w:val="0"/>
                          <w:sz w:val="18"/>
                          <w:szCs w:val="18"/>
                          <w14:ligatures w14:val="none"/>
                        </w:rPr>
                      </w:pPr>
                      <w:r w:rsidRPr="002905E0">
                        <w:rPr>
                          <w:rFonts w:ascii="Verdana" w:hAnsi="Verdana" w:eastAsia="Verdana"/>
                          <w:sz w:val="18"/>
                          <w:szCs w:val="18"/>
                        </w:rPr>
                        <w:t>Imagen No. 5. Número de registros de caracterización 2023-2025</w:t>
                      </w:r>
                    </w:p>
                  </w:txbxContent>
                </v:textbox>
                <w10:wrap type="tight"/>
              </v:rect>
            </w:pict>
          </mc:Fallback>
        </mc:AlternateContent>
      </w:r>
      <w:r w:rsidRPr="00C140A0">
        <w:rPr>
          <w:rFonts w:ascii="Verdana" w:hAnsi="Verdana"/>
          <w:noProof/>
          <w:sz w:val="24"/>
          <w:szCs w:val="24"/>
        </w:rPr>
        <w:drawing>
          <wp:anchor distT="0" distB="0" distL="114300" distR="114300" simplePos="0" relativeHeight="251658243" behindDoc="1" locked="0" layoutInCell="1" allowOverlap="1" wp14:anchorId="01AEB2DE" wp14:editId="26108D39">
            <wp:simplePos x="0" y="0"/>
            <wp:positionH relativeFrom="column">
              <wp:posOffset>40668</wp:posOffset>
            </wp:positionH>
            <wp:positionV relativeFrom="paragraph">
              <wp:posOffset>456234</wp:posOffset>
            </wp:positionV>
            <wp:extent cx="3291840" cy="2258060"/>
            <wp:effectExtent l="0" t="0" r="3810" b="8890"/>
            <wp:wrapTight wrapText="bothSides">
              <wp:wrapPolygon edited="0">
                <wp:start x="0" y="0"/>
                <wp:lineTo x="0" y="21503"/>
                <wp:lineTo x="21500" y="21503"/>
                <wp:lineTo x="21500" y="0"/>
                <wp:lineTo x="0" y="0"/>
              </wp:wrapPolygon>
            </wp:wrapTight>
            <wp:docPr id="664203852" name="Gráfico 1">
              <a:extLst xmlns:a="http://schemas.openxmlformats.org/drawingml/2006/main">
                <a:ext uri="{FF2B5EF4-FFF2-40B4-BE49-F238E27FC236}">
                  <a16:creationId xmlns:a16="http://schemas.microsoft.com/office/drawing/2014/main" id="{BBB106BD-7EB0-D4CC-5AA9-260A482EA2D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14:sizeRelH relativeFrom="margin">
              <wp14:pctWidth>0</wp14:pctWidth>
            </wp14:sizeRelH>
            <wp14:sizeRelV relativeFrom="margin">
              <wp14:pctHeight>0</wp14:pctHeight>
            </wp14:sizeRelV>
          </wp:anchor>
        </w:drawing>
      </w:r>
      <w:r w:rsidRPr="00C140A0" w:rsidR="58DA5965">
        <w:rPr>
          <w:rFonts w:ascii="Verdana" w:hAnsi="Verdana"/>
          <w:sz w:val="24"/>
          <w:szCs w:val="24"/>
        </w:rPr>
        <w:t xml:space="preserve">La evolución del número de registros de caracterización evidencia tres momentos claramente diferenciados. </w:t>
      </w:r>
      <w:r w:rsidRPr="180099B3" w:rsidR="58DA5965">
        <w:rPr>
          <w:rFonts w:ascii="Verdana" w:hAnsi="Verdana"/>
          <w:sz w:val="24"/>
          <w:szCs w:val="24"/>
        </w:rPr>
        <w:t>En primer lugar, entre 2022 y 2024 se observa u</w:t>
      </w:r>
      <w:r w:rsidRPr="180099B3" w:rsidR="073AF86F">
        <w:rPr>
          <w:rFonts w:ascii="Verdana" w:hAnsi="Verdana"/>
          <w:sz w:val="24"/>
          <w:szCs w:val="24"/>
        </w:rPr>
        <w:t xml:space="preserve">n </w:t>
      </w:r>
      <w:r w:rsidRPr="180099B3" w:rsidR="58DA5965">
        <w:rPr>
          <w:rFonts w:ascii="Verdana" w:hAnsi="Verdana"/>
          <w:sz w:val="24"/>
          <w:szCs w:val="24"/>
        </w:rPr>
        <w:t>comportamiento relativamente estable, con volúmenes de registros entre 200 y 487, lo que refleja una fase inicial con cobertura limitada y menor capacidad de captura de información.</w:t>
      </w:r>
    </w:p>
    <w:p w:rsidRPr="00C140A0" w:rsidR="00220280" w:rsidP="00E52256" w:rsidRDefault="00220280" w14:paraId="02143358" w14:textId="77777777">
      <w:pPr>
        <w:spacing w:after="0" w:line="360" w:lineRule="auto"/>
        <w:jc w:val="both"/>
        <w:rPr>
          <w:rFonts w:ascii="Verdana" w:hAnsi="Verdana"/>
          <w:sz w:val="24"/>
          <w:szCs w:val="24"/>
        </w:rPr>
      </w:pPr>
    </w:p>
    <w:p w:rsidR="00D511B2" w:rsidP="00E52256" w:rsidRDefault="00D511B2" w14:paraId="5C025F0E" w14:textId="77777777">
      <w:pPr>
        <w:spacing w:after="0" w:line="360" w:lineRule="auto"/>
        <w:jc w:val="both"/>
        <w:rPr>
          <w:rFonts w:ascii="Verdana" w:hAnsi="Verdana"/>
          <w:sz w:val="24"/>
          <w:szCs w:val="24"/>
        </w:rPr>
      </w:pPr>
      <w:r w:rsidRPr="00C140A0">
        <w:rPr>
          <w:rFonts w:ascii="Verdana" w:hAnsi="Verdana"/>
          <w:sz w:val="24"/>
          <w:szCs w:val="24"/>
        </w:rPr>
        <w:t>En segundo lugar, durante el año 2024 se presenta un crecimiento moderado, especialmente en el segundo semestre, con un incremento del 47%, lo que sugiere avances en la estrategia de recolección de datos y fortalecimiento de los canales de atención.</w:t>
      </w:r>
    </w:p>
    <w:p w:rsidRPr="00C140A0" w:rsidR="00220280" w:rsidP="00E52256" w:rsidRDefault="00220280" w14:paraId="62057CBE" w14:textId="77777777">
      <w:pPr>
        <w:spacing w:after="0" w:line="360" w:lineRule="auto"/>
        <w:jc w:val="both"/>
        <w:rPr>
          <w:rFonts w:ascii="Verdana" w:hAnsi="Verdana"/>
          <w:sz w:val="24"/>
          <w:szCs w:val="24"/>
        </w:rPr>
      </w:pPr>
    </w:p>
    <w:p w:rsidRPr="00C140A0" w:rsidR="00D511B2" w:rsidP="00E52256" w:rsidRDefault="25AC3A78" w14:paraId="078F8202" w14:textId="77777777">
      <w:pPr>
        <w:spacing w:after="0" w:line="360" w:lineRule="auto"/>
        <w:jc w:val="both"/>
      </w:pPr>
      <w:r w:rsidRPr="0FF05B1B">
        <w:rPr>
          <w:rFonts w:ascii="Verdana" w:hAnsi="Verdana"/>
          <w:sz w:val="24"/>
          <w:szCs w:val="24"/>
        </w:rPr>
        <w:t>Finalmente, en 2025 se evidencia un crecimiento exponencial, pasando de 716 registros en el primer semestre a 4.225 en el segundo, lo que representa un incremento cercano al 500%. Este salto está directamente asociado con la implementación del sistema de omnicanalidad, que permitió ampliar significativamente la cobertura y mejorar la trazabilidad de los usuarios.</w:t>
      </w:r>
    </w:p>
    <w:p w:rsidR="0FF05B1B" w:rsidP="0FF05B1B" w:rsidRDefault="0FF05B1B" w14:paraId="0907C78B" w14:textId="2AAA31F1">
      <w:pPr>
        <w:spacing w:after="0" w:line="360" w:lineRule="auto"/>
        <w:jc w:val="both"/>
        <w:rPr>
          <w:rFonts w:ascii="Verdana" w:hAnsi="Verdana"/>
          <w:sz w:val="24"/>
          <w:szCs w:val="24"/>
        </w:rPr>
      </w:pPr>
    </w:p>
    <w:p w:rsidR="00D511B2" w:rsidP="00E52256" w:rsidRDefault="00D511B2" w14:paraId="277B394E" w14:textId="7B337182">
      <w:pPr>
        <w:spacing w:after="0" w:line="360" w:lineRule="auto"/>
        <w:jc w:val="both"/>
        <w:rPr>
          <w:rFonts w:ascii="Verdana" w:hAnsi="Verdana" w:eastAsia="Verdana" w:cs="Verdana"/>
        </w:rPr>
      </w:pPr>
      <w:r w:rsidRPr="00C140A0">
        <w:rPr>
          <w:rFonts w:ascii="Verdana" w:hAnsi="Verdana"/>
          <w:noProof/>
          <w:sz w:val="24"/>
          <w:szCs w:val="24"/>
        </w:rPr>
        <w:drawing>
          <wp:anchor distT="0" distB="0" distL="114300" distR="114300" simplePos="0" relativeHeight="251658244" behindDoc="1" locked="0" layoutInCell="1" allowOverlap="1" wp14:anchorId="64067B61" wp14:editId="67B82781">
            <wp:simplePos x="0" y="0"/>
            <wp:positionH relativeFrom="margin">
              <wp:posOffset>2158365</wp:posOffset>
            </wp:positionH>
            <wp:positionV relativeFrom="paragraph">
              <wp:posOffset>247650</wp:posOffset>
            </wp:positionV>
            <wp:extent cx="3451860" cy="1781175"/>
            <wp:effectExtent l="0" t="0" r="0" b="0"/>
            <wp:wrapTight wrapText="bothSides">
              <wp:wrapPolygon edited="0">
                <wp:start x="0" y="0"/>
                <wp:lineTo x="0" y="21253"/>
                <wp:lineTo x="21457" y="21253"/>
                <wp:lineTo x="21457" y="0"/>
                <wp:lineTo x="0" y="0"/>
              </wp:wrapPolygon>
            </wp:wrapTight>
            <wp:docPr id="867778316" name="Gráfico 1">
              <a:extLst xmlns:a="http://schemas.openxmlformats.org/drawingml/2006/main">
                <a:ext uri="{FF2B5EF4-FFF2-40B4-BE49-F238E27FC236}">
                  <a16:creationId xmlns:a16="http://schemas.microsoft.com/office/drawing/2014/main" id="{A42121C3-4E1C-C672-DBC6-C3A7C32A514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H relativeFrom="margin">
              <wp14:pctWidth>0</wp14:pctWidth>
            </wp14:sizeRelH>
            <wp14:sizeRelV relativeFrom="margin">
              <wp14:pctHeight>0</wp14:pctHeight>
            </wp14:sizeRelV>
          </wp:anchor>
        </w:drawing>
      </w:r>
      <w:r w:rsidRPr="00C140A0">
        <w:rPr>
          <w:rFonts w:ascii="Verdana" w:hAnsi="Verdana"/>
          <w:noProof/>
          <w:sz w:val="24"/>
          <w:szCs w:val="24"/>
        </w:rPr>
        <mc:AlternateContent>
          <mc:Choice Requires="wps">
            <w:drawing>
              <wp:anchor distT="0" distB="0" distL="114300" distR="114300" simplePos="0" relativeHeight="251658242" behindDoc="0" locked="0" layoutInCell="1" allowOverlap="1" wp14:anchorId="1ED075F4" wp14:editId="3E49CF4F">
                <wp:simplePos x="0" y="0"/>
                <wp:positionH relativeFrom="margin">
                  <wp:posOffset>2179955</wp:posOffset>
                </wp:positionH>
                <wp:positionV relativeFrom="paragraph">
                  <wp:posOffset>2000885</wp:posOffset>
                </wp:positionV>
                <wp:extent cx="3432313" cy="397565"/>
                <wp:effectExtent l="0" t="0" r="0" b="2540"/>
                <wp:wrapSquare wrapText="bothSides"/>
                <wp:docPr id="833411066" name="Cuadro de texto 2"/>
                <wp:cNvGraphicFramePr/>
                <a:graphic xmlns:a="http://schemas.openxmlformats.org/drawingml/2006/main">
                  <a:graphicData uri="http://schemas.microsoft.com/office/word/2010/wordprocessingShape">
                    <wps:wsp>
                      <wps:cNvSpPr txBox="1"/>
                      <wps:spPr>
                        <a:xfrm>
                          <a:off x="0" y="0"/>
                          <a:ext cx="3432313" cy="397565"/>
                        </a:xfrm>
                        <a:prstGeom prst="rect">
                          <a:avLst/>
                        </a:prstGeom>
                        <a:solidFill>
                          <a:schemeClr val="lt1"/>
                        </a:solidFill>
                        <a:ln w="6350">
                          <a:noFill/>
                        </a:ln>
                      </wps:spPr>
                      <wps:txbx>
                        <w:txbxContent>
                          <w:p w:rsidRPr="009235E2" w:rsidR="00D511B2" w:rsidP="00D511B2" w:rsidRDefault="00D511B2" w14:paraId="4B8CA9B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jc w:val="center"/>
                              <w:rPr>
                                <w:sz w:val="16"/>
                                <w:szCs w:val="16"/>
                              </w:rPr>
                            </w:pPr>
                            <w:r w:rsidRPr="009235E2">
                              <w:rPr>
                                <w:b/>
                                <w:bCs/>
                                <w:sz w:val="16"/>
                                <w:szCs w:val="16"/>
                              </w:rPr>
                              <w:t>Fuente:</w:t>
                            </w:r>
                            <w:r w:rsidRPr="009235E2">
                              <w:rPr>
                                <w:sz w:val="16"/>
                                <w:szCs w:val="16"/>
                              </w:rPr>
                              <w:t xml:space="preserve"> Elaboración propia a partir de los resultados del informe de caracterización de grupos de valor e interés </w:t>
                            </w:r>
                          </w:p>
                          <w:p w:rsidRPr="009235E2" w:rsidR="00D511B2" w:rsidP="00D511B2" w:rsidRDefault="00D511B2" w14:paraId="6E57CE89" w14:textId="77777777">
                            <w:pPr>
                              <w:rPr>
                                <w:sz w:val="16"/>
                                <w:szCs w:val="16"/>
                              </w:rPr>
                            </w:pPr>
                          </w:p>
                          <w:p w:rsidRPr="009235E2" w:rsidR="00D511B2" w:rsidP="00D511B2" w:rsidRDefault="00D511B2" w14:paraId="399B3DAE" w14:textId="77777777">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22F87906">
              <v:shape id="_x0000_s1029" style="position:absolute;left:0;text-align:left;margin-left:171.65pt;margin-top:157.55pt;width:270.25pt;height:31.3pt;z-index:25165824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gSfrMQIAAFsEAAAOAAAAZHJzL2Uyb0RvYy54bWysVE2P2jAQvVfqf7B8LwECbBcRVpQVVSW0&#10;uxJb7dk4NrHkeFzbkNBf37HDV7c9Vb04M57x88yb58we2lqTg3BegSnooNenRBgOpTK7gn5/XX36&#10;TIkPzJRMgxEFPQpPH+YfP8waOxVDqECXwhEEMX7a2IJWIdhplnleiZr5HlhhMCjB1Syg63ZZ6ViD&#10;6LXOhv3+JGvAldYBF97j7mMXpPOEL6Xg4VlKLwLRBcXaQlpdWrdxzeYzNt05ZivFT2Wwf6iiZsrg&#10;pReoRxYY2Tv1B1StuAMPMvQ41BlIqbhIPWA3g/67bjYVsyL1guR4e6HJ/z9Y/nTY2BdHQvsFWhxg&#10;JKSxfupxM/bTSlfHL1ZKMI4UHi+0iTYQjpv5KB/mg5wSjrH8/m48GUeY7HraOh++CqhJNArqcCyJ&#10;LXZY+9ClnlPiZR60KldK6+REKYilduTAcIg6pBoR/LcsbUhT0Ek+7idgA/F4h6wN1nLtKVqh3bZE&#10;lVjtud8tlEekwUGnEG/5SmGta+bDC3MoCewcZR6ecZEa8C44WZRU4H7+bT/m46QwSkmDEiuo/7Fn&#10;TlCivxmc4f1gNIqaTM5ofDdEx91GtrcRs6+XgAQM8EFZnsyYH/TZlA7qN3wNi3grhpjheHdBw9lc&#10;hk74+Jq4WCxSEqrQsrA2G8sjdCQ8TuK1fWPOnsYVcNBPcBYjm76bWpcbTxpY7ANIlUYaee5YPdGP&#10;Ck6iOL22+ERu/ZR1/SfMfwEAAP//AwBQSwMEFAAGAAgAAAAhAFsD7wniAAAACwEAAA8AAABkcnMv&#10;ZG93bnJldi54bWxMj0tPxDAMhO9I/IfISFwQmy5haVWarhDiIXFjy0Pcso1pKxqnarJt+feYE9xs&#10;z2j8TbFdXC8mHEPnScN6lYBAqr3tqNHwUt2fZyBCNGRN7wk1fGOAbXl8VJjc+pmecdrFRnAIhdxo&#10;aGMccilD3aIzYeUHJNY+/ehM5HVspB3NzOGulxdJciWd6Yg/tGbA2xbrr93Bafg4a96fwvLwOquN&#10;Gu4epyp9s5XWpyfLzTWIiEv8M8MvPqNDyUx7fyAbRK9BXSrFVh7WmzUIdmSZ4jJ7vqRpCrIs5P8O&#10;5Q8AAAD//wMAUEsBAi0AFAAGAAgAAAAhALaDOJL+AAAA4QEAABMAAAAAAAAAAAAAAAAAAAAAAFtD&#10;b250ZW50X1R5cGVzXS54bWxQSwECLQAUAAYACAAAACEAOP0h/9YAAACUAQAACwAAAAAAAAAAAAAA&#10;AAAvAQAAX3JlbHMvLnJlbHNQSwECLQAUAAYACAAAACEAeoEn6zECAABbBAAADgAAAAAAAAAAAAAA&#10;AAAuAgAAZHJzL2Uyb0RvYy54bWxQSwECLQAUAAYACAAAACEAWwPvCeIAAAALAQAADwAAAAAAAAAA&#10;AAAAAACLBAAAZHJzL2Rvd25yZXYueG1sUEsFBgAAAAAEAAQA8wAAAJoFAAAAAA==&#10;" w14:anchorId="1ED075F4">
                <v:textbox>
                  <w:txbxContent>
                    <w:p w:rsidRPr="009235E2" w:rsidR="00D511B2" w:rsidP="00D511B2" w:rsidRDefault="00D511B2" w14:paraId="639E9137"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jc w:val="center"/>
                        <w:rPr>
                          <w:sz w:val="16"/>
                          <w:szCs w:val="16"/>
                        </w:rPr>
                      </w:pPr>
                      <w:r w:rsidRPr="009235E2">
                        <w:rPr>
                          <w:b/>
                          <w:bCs/>
                          <w:sz w:val="16"/>
                          <w:szCs w:val="16"/>
                        </w:rPr>
                        <w:t>Fuente:</w:t>
                      </w:r>
                      <w:r w:rsidRPr="009235E2">
                        <w:rPr>
                          <w:sz w:val="16"/>
                          <w:szCs w:val="16"/>
                        </w:rPr>
                        <w:t xml:space="preserve"> Elaboración propia a partir de los resultados del informe de caracterización de grupos de valor e interés </w:t>
                      </w:r>
                    </w:p>
                    <w:p w:rsidRPr="009235E2" w:rsidR="00D511B2" w:rsidP="00D511B2" w:rsidRDefault="00D511B2" w14:paraId="0A37501D" w14:textId="77777777">
                      <w:pPr>
                        <w:rPr>
                          <w:sz w:val="16"/>
                          <w:szCs w:val="16"/>
                        </w:rPr>
                      </w:pPr>
                    </w:p>
                    <w:p w:rsidRPr="009235E2" w:rsidR="00D511B2" w:rsidP="00D511B2" w:rsidRDefault="00D511B2" w14:paraId="5DAB6C7B" w14:textId="77777777">
                      <w:pPr>
                        <w:rPr>
                          <w:sz w:val="20"/>
                          <w:szCs w:val="20"/>
                        </w:rPr>
                      </w:pPr>
                    </w:p>
                  </w:txbxContent>
                </v:textbox>
                <w10:wrap type="square" anchorx="margin"/>
              </v:shape>
            </w:pict>
          </mc:Fallback>
        </mc:AlternateContent>
      </w:r>
      <w:r w:rsidRPr="00C140A0">
        <w:rPr>
          <w:rFonts w:ascii="Verdana" w:hAnsi="Verdana"/>
          <w:noProof/>
          <w:sz w:val="24"/>
          <w:szCs w:val="24"/>
        </w:rPr>
        <mc:AlternateContent>
          <mc:Choice Requires="wps">
            <w:drawing>
              <wp:anchor distT="0" distB="0" distL="114300" distR="114300" simplePos="0" relativeHeight="251658248" behindDoc="1" locked="0" layoutInCell="1" allowOverlap="1" wp14:anchorId="30A2CFFC" wp14:editId="7111B88E">
                <wp:simplePos x="0" y="0"/>
                <wp:positionH relativeFrom="margin">
                  <wp:posOffset>2253615</wp:posOffset>
                </wp:positionH>
                <wp:positionV relativeFrom="paragraph">
                  <wp:posOffset>12065</wp:posOffset>
                </wp:positionV>
                <wp:extent cx="3451860" cy="200025"/>
                <wp:effectExtent l="0" t="0" r="0" b="9525"/>
                <wp:wrapSquare wrapText="bothSides"/>
                <wp:docPr id="1436232400" name="Cuadro de texto 1"/>
                <wp:cNvGraphicFramePr/>
                <a:graphic xmlns:a="http://schemas.openxmlformats.org/drawingml/2006/main">
                  <a:graphicData uri="http://schemas.microsoft.com/office/word/2010/wordprocessingShape">
                    <wps:wsp>
                      <wps:cNvSpPr/>
                      <wps:spPr>
                        <a:xfrm>
                          <a:off x="0" y="0"/>
                          <a:ext cx="3451860" cy="200025"/>
                        </a:xfrm>
                        <a:prstGeom prst="rect">
                          <a:avLst/>
                        </a:prstGeom>
                        <a:solidFill>
                          <a:srgbClr val="FFFFFF"/>
                        </a:solidFill>
                        <a:ln>
                          <a:noFill/>
                        </a:ln>
                      </wps:spPr>
                      <wps:txbx>
                        <w:txbxContent>
                          <w:p w:rsidR="009512C7" w:rsidRDefault="000D11CF" w14:paraId="166CE381" w14:textId="77777777">
                            <w:pPr>
                              <w:spacing w:line="276" w:lineRule="auto"/>
                              <w:jc w:val="center"/>
                              <w:rPr>
                                <w:rFonts w:ascii="Verdana" w:hAnsi="Verdana" w:eastAsia="Verdana"/>
                                <w:kern w:val="0"/>
                                <w:sz w:val="18"/>
                                <w:szCs w:val="18"/>
                                <w:lang w:val="en-US"/>
                                <w14:ligatures w14:val="none"/>
                              </w:rPr>
                            </w:pPr>
                            <w:r>
                              <w:rPr>
                                <w:rFonts w:ascii="Verdana" w:hAnsi="Verdana" w:eastAsia="Verdana"/>
                                <w:sz w:val="18"/>
                                <w:szCs w:val="18"/>
                                <w:lang w:val="en-US"/>
                              </w:rPr>
                              <w:t>Imagen No. 6. Tipo de persona</w:t>
                            </w:r>
                          </w:p>
                        </w:txbxContent>
                      </wps:txbx>
                      <wps:bodyPr spcFirstLastPara="0" wrap="square" lIns="0" tIns="0" rIns="0" bIns="0" anchor="t">
                        <a:noAutofit/>
                      </wps:bodyPr>
                    </wps:wsp>
                  </a:graphicData>
                </a:graphic>
                <wp14:sizeRelV relativeFrom="margin">
                  <wp14:pctHeight>0</wp14:pctHeight>
                </wp14:sizeRelV>
              </wp:anchor>
            </w:drawing>
          </mc:Choice>
          <mc:Fallback>
            <w:pict w14:anchorId="2C6188D7">
              <v:rect id="_x0000_s1030" style="position:absolute;left:0;text-align:left;margin-left:177.45pt;margin-top:.95pt;width:271.8pt;height:15.75pt;z-index:-25165823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stroked="f" w14:anchorId="30A2CFF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9WfztAEAAGADAAAOAAAAZHJzL2Uyb0RvYy54bWysU9tu2zAMfR+wfxD0vtjJ2qIw4hTDigwD&#10;ii1Atw9QZCkWIIsaqcTO349Sbru8DfMDTVHUEc8htXyaBi8OBslBaOV8VkthgobOhV0rv39bv3uU&#10;gpIKnfIQTCuPhuTT6u2b5Rgbs4AefGdQMEigZoyt7FOKTVWR7s2gaAbRBN60gINKvMRd1aEaGX3w&#10;1aKuH6oRsIsI2hBx9Pm0KVcF31qj01drySThW8m1pWKx2G221Wqpmh2q2Dt9LkP9QxWDcoEvvUI9&#10;q6TEHt1fUIPTCAQ2zTQMFVjrtCkcmM28/oPNa6+iKVxYHIpXmej/weovh9e4QZZhjNQQu5nFZHHI&#10;f65PTEWs41UsMyWhOfj+7n7++MCaat7jVtSL+6xmdTsdkdInA4PITiuRm1E0UocXSqfUS0q+jMC7&#10;bu28LwvcbT96FAfFjVuX74z+W5oPOTlAPnZCzJHqxiV7adpOwnWtvMsQObKF7rhBQVGvHdf2oiht&#10;FHLjmc7Iw9BK+rFXaKTwnwOrnSfn4uDF2V4cFXQPPFMndgE+7BNYVxjeLjtXxW0sGp1HLs/Jr+uS&#10;dXsYq58AAAD//wMAUEsDBBQABgAIAAAAIQBr+QFa3AAAAAgBAAAPAAAAZHJzL2Rvd25yZXYueG1s&#10;TI9NT8MwDIbvSPyHyEjcWDq2oa5rOiE+tDMFtGvWmKaQOFWTboVfjzmNk2U9r14/LreTd+KIQ+wC&#10;KZjPMhBITTAdtQreXp9vchAxaTLaBUIF3xhhW11elLow4UQveKxTK7iEYqEV2JT6QsrYWPQ6zkKP&#10;xOwjDF4nXodWmkGfuNw7eZtld9LrjviC1T0+WGy+6tEr2M0fn/pP+VPrnUs4vtupcftJqeur6X4D&#10;IuGUzmH402d1qNjpEEYyUTgFi9VyzVEGPJjn63wF4sBgsQRZlfL/A9UvAAAA//8DAFBLAQItABQA&#10;BgAIAAAAIQC2gziS/gAAAOEBAAATAAAAAAAAAAAAAAAAAAAAAABbQ29udGVudF9UeXBlc10ueG1s&#10;UEsBAi0AFAAGAAgAAAAhADj9If/WAAAAlAEAAAsAAAAAAAAAAAAAAAAALwEAAF9yZWxzLy5yZWxz&#10;UEsBAi0AFAAGAAgAAAAhAI31Z/O0AQAAYAMAAA4AAAAAAAAAAAAAAAAALgIAAGRycy9lMm9Eb2Mu&#10;eG1sUEsBAi0AFAAGAAgAAAAhAGv5AVrcAAAACAEAAA8AAAAAAAAAAAAAAAAADgQAAGRycy9kb3du&#10;cmV2LnhtbFBLBQYAAAAABAAEAPMAAAAXBQAAAAA=&#10;">
                <v:textbox inset="0,0,0,0">
                  <w:txbxContent>
                    <w:p w:rsidR="009512C7" w:rsidRDefault="000D11CF" w14:paraId="0DE44A4E" w14:textId="77777777">
                      <w:pPr>
                        <w:spacing w:line="276" w:lineRule="auto"/>
                        <w:jc w:val="center"/>
                        <w:rPr>
                          <w:rFonts w:ascii="Verdana" w:hAnsi="Verdana" w:eastAsia="Verdana"/>
                          <w:kern w:val="0"/>
                          <w:sz w:val="18"/>
                          <w:szCs w:val="18"/>
                          <w:lang w:val="en-US"/>
                          <w14:ligatures w14:val="none"/>
                        </w:rPr>
                      </w:pPr>
                      <w:r>
                        <w:rPr>
                          <w:rFonts w:ascii="Verdana" w:hAnsi="Verdana" w:eastAsia="Verdana"/>
                          <w:sz w:val="18"/>
                          <w:szCs w:val="18"/>
                          <w:lang w:val="en-US"/>
                        </w:rPr>
                        <w:t>Imagen No. 6. Tipo de persona</w:t>
                      </w:r>
                    </w:p>
                  </w:txbxContent>
                </v:textbox>
                <w10:wrap type="square" anchorx="margin"/>
              </v:rect>
            </w:pict>
          </mc:Fallback>
        </mc:AlternateContent>
      </w:r>
      <w:r w:rsidRPr="00C140A0">
        <w:rPr>
          <w:rFonts w:ascii="Verdana" w:hAnsi="Verdana"/>
          <w:noProof/>
          <w:sz w:val="24"/>
          <w:szCs w:val="24"/>
        </w:rPr>
        <mc:AlternateContent>
          <mc:Choice Requires="wps">
            <w:drawing>
              <wp:anchor distT="0" distB="0" distL="114300" distR="114300" simplePos="0" relativeHeight="251658241" behindDoc="1" locked="0" layoutInCell="1" allowOverlap="1" wp14:anchorId="4FE220C3" wp14:editId="310FB860">
                <wp:simplePos x="0" y="0"/>
                <wp:positionH relativeFrom="column">
                  <wp:posOffset>2146300</wp:posOffset>
                </wp:positionH>
                <wp:positionV relativeFrom="paragraph">
                  <wp:posOffset>1270</wp:posOffset>
                </wp:positionV>
                <wp:extent cx="3451860" cy="145415"/>
                <wp:effectExtent l="0" t="0" r="0" b="6985"/>
                <wp:wrapTight wrapText="bothSides">
                  <wp:wrapPolygon edited="0">
                    <wp:start x="0" y="0"/>
                    <wp:lineTo x="0" y="19808"/>
                    <wp:lineTo x="21457" y="19808"/>
                    <wp:lineTo x="21457" y="0"/>
                    <wp:lineTo x="0" y="0"/>
                  </wp:wrapPolygon>
                </wp:wrapTight>
                <wp:docPr id="250199968" name="Cuadro de texto 1"/>
                <wp:cNvGraphicFramePr/>
                <a:graphic xmlns:a="http://schemas.openxmlformats.org/drawingml/2006/main">
                  <a:graphicData uri="http://schemas.microsoft.com/office/word/2010/wordprocessingShape">
                    <wps:wsp>
                      <wps:cNvSpPr txBox="1"/>
                      <wps:spPr>
                        <a:xfrm>
                          <a:off x="0" y="0"/>
                          <a:ext cx="3451860" cy="145415"/>
                        </a:xfrm>
                        <a:prstGeom prst="rect">
                          <a:avLst/>
                        </a:prstGeom>
                        <a:solidFill>
                          <a:prstClr val="white"/>
                        </a:solidFill>
                        <a:ln>
                          <a:noFill/>
                        </a:ln>
                      </wps:spPr>
                      <wps:txbx>
                        <w:txbxContent>
                          <w:p w:rsidRPr="008760D3" w:rsidR="00D511B2" w:rsidP="00D511B2" w:rsidRDefault="00D511B2" w14:paraId="15D09DF3" w14:textId="77777777">
                            <w:pPr>
                              <w:pStyle w:val="Descripcin"/>
                              <w:jc w:val="center"/>
                              <w:rPr>
                                <w:noProof/>
                                <w:sz w:val="22"/>
                                <w:szCs w:val="22"/>
                              </w:rPr>
                            </w:pPr>
                            <w:r>
                              <w:t xml:space="preserve">Ilustración </w:t>
                            </w:r>
                            <w:r>
                              <w:fldChar w:fldCharType="begin"/>
                            </w:r>
                            <w:r>
                              <w:instrText>SEQ Ilustración \* ARABIC</w:instrText>
                            </w:r>
                            <w:r>
                              <w:fldChar w:fldCharType="separate"/>
                            </w:r>
                            <w:r>
                              <w:rPr>
                                <w:noProof/>
                              </w:rPr>
                              <w:t>3</w:t>
                            </w:r>
                            <w:r>
                              <w:fldChar w:fldCharType="end"/>
                            </w:r>
                            <w:r>
                              <w:t>. Tipo de Persona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294E1F8E">
              <v:shape id="_x0000_s1031" style="position:absolute;left:0;text-align:left;margin-left:169pt;margin-top:.1pt;width:271.8pt;height:11.45pt;z-index:-25165823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84YjGwIAAEIEAAAOAAAAZHJzL2Uyb0RvYy54bWysU8Fu2zAMvQ/YPwi6L467pCiMOEWWIsOA&#10;oC2QDj0rshQLkEVNUmJnXz9KtpOu22nYRaZJihTfe1zcd40mJ+G8AlPSfDKlRBgOlTKHkn5/2Xy6&#10;o8QHZiqmwYiSnoWn98uPHxatLcQN1KAr4QgWMb5obUnrEGyRZZ7XomF+AlYYDEpwDQv46w5Z5ViL&#10;1Rud3Uynt1kLrrIOuPAevQ99kC5TfSkFD09SehGILim+LaTTpXMfz2y5YMXBMVsrPjyD/cMrGqYM&#10;Nr2UemCBkaNTf5RqFHfgQYYJhyYDKRUXaQacJp++m2ZXMyvSLAiOtxeY/P8ryx9PO/vsSOi+QIcE&#10;RkBa6wuPzjhPJ10Tv/hSgnGE8HyBTXSBcHR+ns3zu1sMcYzls/ksn8cy2fW2dT58FdCQaJTUIS0J&#10;LXba+tCnjimxmQetqo3SOv7EwFo7cmJIYVurIIbiv2VpE3MNxFt9wejJrqNEK3T7jqiqpOl90bOH&#10;6ozTO+iF4S3fKOy3ZT48M4dKwKlQ3eEJD6mhLSkMFiU1uJ9/88d8JAijlLSorJL6H0fmBCX6m0Hq&#10;ogxHw43GfjTMsVkDTprj3lieTLzggh5N6aB5RdGvYhcMMcOxV0nDaK5Dr29cGi5Wq5SEYrMsbM3O&#10;8lh6xPWle2XODqwE5PMRRs2x4h05fW6P8uoYQKrE3BXFAW4UauJ+WKq4CW//U9Z19Ze/AAAA//8D&#10;AFBLAwQUAAYACAAAACEAZQbIAd0AAAAHAQAADwAAAGRycy9kb3ducmV2LnhtbEyPzU7DMBCE70i8&#10;g7VIXBB1fqQoCnGq0sINDi1Vz26yJFHjdWQ7Tfr2LCc4jmY08025Xswgruh8b0lBvIpAINW26alV&#10;cPx6f85B+KCp0YMlVHBDD+vq/q7URWNn2uP1EFrBJeQLraALYSyk9HWHRvuVHZHY+7bO6MDStbJx&#10;euZyM8gkijJpdE+80OkRtx3Wl8NkFGQ7N8172j7tjm8f+nNsk9Pr7aTU48OyeQERcAl/YfjFZ3So&#10;mOlsJ2q8GBSkac5fgoIEBNt5HmcgzizTGGRVyv/81Q8AAAD//wMAUEsBAi0AFAAGAAgAAAAhALaD&#10;OJL+AAAA4QEAABMAAAAAAAAAAAAAAAAAAAAAAFtDb250ZW50X1R5cGVzXS54bWxQSwECLQAUAAYA&#10;CAAAACEAOP0h/9YAAACUAQAACwAAAAAAAAAAAAAAAAAvAQAAX3JlbHMvLnJlbHNQSwECLQAUAAYA&#10;CAAAACEA7fOGIxsCAABCBAAADgAAAAAAAAAAAAAAAAAuAgAAZHJzL2Uyb0RvYy54bWxQSwECLQAU&#10;AAYACAAAACEAZQbIAd0AAAAHAQAADwAAAAAAAAAAAAAAAAB1BAAAZHJzL2Rvd25yZXYueG1sUEsF&#10;BgAAAAAEAAQA8wAAAH8FAAAAAA==&#10;" w14:anchorId="4FE220C3">
                <v:textbox inset="0,0,0,0">
                  <w:txbxContent>
                    <w:p w:rsidRPr="008760D3" w:rsidR="00D511B2" w:rsidP="00D511B2" w:rsidRDefault="00D511B2" w14:paraId="7FCB5ABF" w14:textId="77777777">
                      <w:pPr>
                        <w:pStyle w:val="Descripcin"/>
                        <w:jc w:val="center"/>
                        <w:rPr>
                          <w:noProof/>
                          <w:sz w:val="22"/>
                          <w:szCs w:val="22"/>
                        </w:rPr>
                      </w:pPr>
                      <w:r>
                        <w:t xml:space="preserve">Ilustración </w:t>
                      </w:r>
                      <w:r>
                        <w:fldChar w:fldCharType="begin"/>
                      </w:r>
                      <w:r>
                        <w:instrText>SEQ Ilustración \* ARABIC</w:instrText>
                      </w:r>
                      <w:r>
                        <w:fldChar w:fldCharType="separate"/>
                      </w:r>
                      <w:r>
                        <w:rPr>
                          <w:noProof/>
                        </w:rPr>
                        <w:t>3</w:t>
                      </w:r>
                      <w:r>
                        <w:fldChar w:fldCharType="end"/>
                      </w:r>
                      <w:r>
                        <w:t>. Tipo de Persona</w:t>
                      </w:r>
                    </w:p>
                  </w:txbxContent>
                </v:textbox>
                <w10:wrap type="tight"/>
              </v:shape>
            </w:pict>
          </mc:Fallback>
        </mc:AlternateContent>
      </w:r>
      <w:r w:rsidRPr="00C140A0" w:rsidR="599A47F3">
        <w:rPr>
          <w:rFonts w:ascii="Verdana" w:hAnsi="Verdana"/>
          <w:sz w:val="24"/>
          <w:szCs w:val="24"/>
        </w:rPr>
        <w:t>En términos de composición, se mantiene una constante predominancia de las personas naturales, con participaciones que oscilan entre el 80% y el 97</w:t>
      </w:r>
      <w:r w:rsidRPr="30CF4445" w:rsidR="4567616F">
        <w:rPr>
          <w:rFonts w:ascii="Verdana" w:hAnsi="Verdana"/>
          <w:sz w:val="24"/>
          <w:szCs w:val="24"/>
        </w:rPr>
        <w:t>.</w:t>
      </w:r>
      <w:r w:rsidRPr="30CF4445" w:rsidR="599A47F3">
        <w:rPr>
          <w:rFonts w:ascii="Verdana" w:hAnsi="Verdana"/>
          <w:sz w:val="24"/>
          <w:szCs w:val="24"/>
        </w:rPr>
        <w:t>4%, lo cual confirma que la interacción con el Ministerio está altamente orientada a ciudadanos individuales más que a organizaciones</w:t>
      </w:r>
      <w:r w:rsidRPr="30CF4445" w:rsidR="599A47F3">
        <w:rPr>
          <w:rFonts w:ascii="Verdana" w:hAnsi="Verdana" w:eastAsia="Verdana" w:cs="Verdana"/>
        </w:rPr>
        <w:t xml:space="preserve">. </w:t>
      </w:r>
    </w:p>
    <w:p w:rsidRPr="00C140A0" w:rsidR="00220280" w:rsidP="00E52256" w:rsidRDefault="00220280" w14:paraId="3D52301D" w14:textId="77777777">
      <w:pPr>
        <w:spacing w:after="0" w:line="360" w:lineRule="auto"/>
        <w:jc w:val="both"/>
        <w:rPr>
          <w:rFonts w:ascii="Verdana" w:hAnsi="Verdana" w:eastAsia="Verdana" w:cs="Verdana"/>
        </w:rPr>
      </w:pPr>
    </w:p>
    <w:p w:rsidR="00D511B2" w:rsidP="180099B3" w:rsidRDefault="00D511B2" w14:paraId="150CAD04" w14:textId="51B7B306">
      <w:pPr>
        <w:spacing w:after="0" w:line="360" w:lineRule="auto"/>
        <w:jc w:val="both"/>
        <w:rPr>
          <w:rFonts w:ascii="Verdana" w:hAnsi="Verdana"/>
          <w:sz w:val="24"/>
          <w:szCs w:val="24"/>
        </w:rPr>
      </w:pPr>
      <w:r w:rsidRPr="00C140A0">
        <w:rPr>
          <w:rFonts w:ascii="Verdana" w:hAnsi="Verdana"/>
          <w:noProof/>
          <w:sz w:val="24"/>
          <w:szCs w:val="24"/>
        </w:rPr>
        <mc:AlternateContent>
          <mc:Choice Requires="wps">
            <w:drawing>
              <wp:anchor distT="0" distB="0" distL="114300" distR="114300" simplePos="0" relativeHeight="251658247" behindDoc="1" locked="0" layoutInCell="1" allowOverlap="1" wp14:anchorId="4321050E" wp14:editId="64CBBD2E">
                <wp:simplePos x="0" y="0"/>
                <wp:positionH relativeFrom="margin">
                  <wp:align>left</wp:align>
                </wp:positionH>
                <wp:positionV relativeFrom="paragraph">
                  <wp:posOffset>511892</wp:posOffset>
                </wp:positionV>
                <wp:extent cx="3140710" cy="238125"/>
                <wp:effectExtent l="0" t="0" r="2540" b="9525"/>
                <wp:wrapSquare wrapText="bothSides"/>
                <wp:docPr id="2051259" name="Cuadro de texto 1"/>
                <wp:cNvGraphicFramePr/>
                <a:graphic xmlns:a="http://schemas.openxmlformats.org/drawingml/2006/main">
                  <a:graphicData uri="http://schemas.microsoft.com/office/word/2010/wordprocessingShape">
                    <wps:wsp>
                      <wps:cNvSpPr/>
                      <wps:spPr>
                        <a:xfrm>
                          <a:off x="0" y="0"/>
                          <a:ext cx="3140710" cy="238125"/>
                        </a:xfrm>
                        <a:prstGeom prst="rect">
                          <a:avLst/>
                        </a:prstGeom>
                        <a:solidFill>
                          <a:srgbClr val="FFFFFF"/>
                        </a:solidFill>
                        <a:ln>
                          <a:noFill/>
                        </a:ln>
                      </wps:spPr>
                      <wps:txbx>
                        <w:txbxContent>
                          <w:p w:rsidR="009512C7" w:rsidRDefault="000D11CF" w14:paraId="0EC702FF" w14:textId="77777777">
                            <w:pPr>
                              <w:spacing w:line="276" w:lineRule="auto"/>
                              <w:jc w:val="center"/>
                              <w:rPr>
                                <w:rFonts w:ascii="Verdana" w:hAnsi="Verdana" w:eastAsia="Verdana"/>
                                <w:kern w:val="0"/>
                                <w:sz w:val="18"/>
                                <w:szCs w:val="18"/>
                                <w:lang w:val="en-US"/>
                                <w14:ligatures w14:val="none"/>
                              </w:rPr>
                            </w:pPr>
                            <w:r>
                              <w:rPr>
                                <w:rFonts w:ascii="Verdana" w:hAnsi="Verdana" w:eastAsia="Verdana"/>
                                <w:sz w:val="18"/>
                                <w:szCs w:val="18"/>
                                <w:lang w:val="en-US"/>
                              </w:rPr>
                              <w:t>Imagen No. 7. Departamento de Residencia</w:t>
                            </w:r>
                          </w:p>
                        </w:txbxContent>
                      </wps:txbx>
                      <wps:bodyPr spcFirstLastPara="0" wrap="square" lIns="0" tIns="0" rIns="0" bIns="0" anchor="t">
                        <a:noAutofit/>
                      </wps:bodyPr>
                    </wps:wsp>
                  </a:graphicData>
                </a:graphic>
                <wp14:sizeRelV relativeFrom="margin">
                  <wp14:pctHeight>0</wp14:pctHeight>
                </wp14:sizeRelV>
              </wp:anchor>
            </w:drawing>
          </mc:Choice>
          <mc:Fallback>
            <w:pict w14:anchorId="26250EC0">
              <v:rect id="_x0000_s1032" style="position:absolute;left:0;text-align:left;margin-left:0;margin-top:40.3pt;width:247.3pt;height:18.75pt;z-index:-251658233;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stroked="f" w14:anchorId="4321050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IeotQEAAGADAAAOAAAAZHJzL2Uyb0RvYy54bWysU9uO0zAQfUfiHyy/0yRdWFZR0xViVYS0&#10;gkoLH+A4TmPJ8ZgZt0n/nrF74/KGyMNkPB4fzzkzXj3OoxMHg2TBN7JalFIYr6GzftfI7982bx6k&#10;oKh8pxx408ijIfm4fv1qNYXaLGEA1xkUDOKpnkIjhxhDXRSkBzMqWkAwnjd7wFFFXuKu6FBNjD66&#10;YlmW98UE2AUEbYg4+nTalOuM3/dGx699TyYK10iuLWaL2bbJFuuVqneowmD1uQz1D1WMynq+9Ar1&#10;pKISe7R/QY1WIxD0caFhLKDvrTaZA7Opyj/YvAwqmMyFxaFwlYn+H6z+cngJW2QZpkA1sZtYzD2O&#10;6c/1iTmLdbyKZeYoNAfvqrfl+4o11by3vHuolu+SmsXtdECKnwyMIjmNRG5G1kgdnimeUi8p6TIC&#10;Z7uNdS4vcNd+dCgOihu3yd8Z/bc051Oyh3TshJgixY1L8uLczsJ2jbxPECnSQnfcoqCgN5Zre1YU&#10;twq58Uxn4mFoJP3YKzRSuM+e1U6Tc3Hw4rQXR3k9AM/UiZ2HD/sIvc0Mb5edq+I2Zo3OI5fm5Nd1&#10;zro9jPVPAAAA//8DAFBLAwQUAAYACAAAACEAQkmNetoAAAAHAQAADwAAAGRycy9kb3ducmV2Lnht&#10;bEyPzU7DMBCE70i8g7VI3KgTVFUhxKkQP+qZUMTVjZc4YK+j2GkNT89ygtusZjTzbbPN3okjznEM&#10;pKBcFSCQ+mBGGhTsX56uKhAxaTLaBUIFXxhh256fNbo24UTPeOzSILiEYq0V2JSmWsrYW/Q6rsKE&#10;xN57mL1OfM6DNLM+cbl38rooNtLrkXjB6gnvLfaf3eIV7MqHx+lDfnd65xIurzb37i0rdXmR725B&#10;JMzpLwy/+IwOLTMdwkImCqeAH0kKqmIDgt31zZrFgWNlVYJsG/mfv/0BAAD//wMAUEsBAi0AFAAG&#10;AAgAAAAhALaDOJL+AAAA4QEAABMAAAAAAAAAAAAAAAAAAAAAAFtDb250ZW50X1R5cGVzXS54bWxQ&#10;SwECLQAUAAYACAAAACEAOP0h/9YAAACUAQAACwAAAAAAAAAAAAAAAAAvAQAAX3JlbHMvLnJlbHNQ&#10;SwECLQAUAAYACAAAACEAhHiHqLUBAABgAwAADgAAAAAAAAAAAAAAAAAuAgAAZHJzL2Uyb0RvYy54&#10;bWxQSwECLQAUAAYACAAAACEAQkmNetoAAAAHAQAADwAAAAAAAAAAAAAAAAAPBAAAZHJzL2Rvd25y&#10;ZXYueG1sUEsFBgAAAAAEAAQA8wAAABYFAAAAAA==&#10;">
                <v:textbox inset="0,0,0,0">
                  <w:txbxContent>
                    <w:p w:rsidR="009512C7" w:rsidRDefault="000D11CF" w14:paraId="4D994E7C" w14:textId="77777777">
                      <w:pPr>
                        <w:spacing w:line="276" w:lineRule="auto"/>
                        <w:jc w:val="center"/>
                        <w:rPr>
                          <w:rFonts w:ascii="Verdana" w:hAnsi="Verdana" w:eastAsia="Verdana"/>
                          <w:kern w:val="0"/>
                          <w:sz w:val="18"/>
                          <w:szCs w:val="18"/>
                          <w:lang w:val="en-US"/>
                          <w14:ligatures w14:val="none"/>
                        </w:rPr>
                      </w:pPr>
                      <w:r>
                        <w:rPr>
                          <w:rFonts w:ascii="Verdana" w:hAnsi="Verdana" w:eastAsia="Verdana"/>
                          <w:sz w:val="18"/>
                          <w:szCs w:val="18"/>
                          <w:lang w:val="en-US"/>
                        </w:rPr>
                        <w:t>Imagen No. 7. Departamento de Residencia</w:t>
                      </w:r>
                    </w:p>
                  </w:txbxContent>
                </v:textbox>
                <w10:wrap type="square" anchorx="margin"/>
              </v:rect>
            </w:pict>
          </mc:Fallback>
        </mc:AlternateContent>
      </w:r>
      <w:r w:rsidRPr="00C140A0">
        <w:rPr>
          <w:rFonts w:ascii="Verdana" w:hAnsi="Verdana"/>
          <w:noProof/>
          <w:sz w:val="24"/>
          <w:szCs w:val="24"/>
        </w:rPr>
        <w:drawing>
          <wp:anchor distT="0" distB="0" distL="114300" distR="114300" simplePos="0" relativeHeight="251658246" behindDoc="1" locked="0" layoutInCell="1" allowOverlap="1" wp14:anchorId="77257868" wp14:editId="738920CB">
            <wp:simplePos x="0" y="0"/>
            <wp:positionH relativeFrom="margin">
              <wp:align>left</wp:align>
            </wp:positionH>
            <wp:positionV relativeFrom="paragraph">
              <wp:posOffset>678870</wp:posOffset>
            </wp:positionV>
            <wp:extent cx="3140710" cy="3103245"/>
            <wp:effectExtent l="0" t="0" r="2540" b="1905"/>
            <wp:wrapTight wrapText="bothSides">
              <wp:wrapPolygon edited="0">
                <wp:start x="0" y="0"/>
                <wp:lineTo x="0" y="21481"/>
                <wp:lineTo x="21486" y="21481"/>
                <wp:lineTo x="21486" y="0"/>
                <wp:lineTo x="0" y="0"/>
              </wp:wrapPolygon>
            </wp:wrapTight>
            <wp:docPr id="13738513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851336"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140710" cy="3103245"/>
                    </a:xfrm>
                    <a:prstGeom prst="rect">
                      <a:avLst/>
                    </a:prstGeom>
                  </pic:spPr>
                </pic:pic>
              </a:graphicData>
            </a:graphic>
            <wp14:sizeRelH relativeFrom="margin">
              <wp14:pctWidth>0</wp14:pctWidth>
            </wp14:sizeRelH>
            <wp14:sizeRelV relativeFrom="margin">
              <wp14:pctHeight>0</wp14:pctHeight>
            </wp14:sizeRelV>
          </wp:anchor>
        </w:drawing>
      </w:r>
      <w:r w:rsidRPr="00C140A0" w:rsidR="599A47F3">
        <w:rPr>
          <w:rFonts w:ascii="Verdana" w:hAnsi="Verdana"/>
          <w:sz w:val="24"/>
          <w:szCs w:val="24"/>
        </w:rPr>
        <w:t>El análisis geográfico del periodo 2022–2023</w:t>
      </w:r>
      <w:r w:rsidRPr="30CF4445" w:rsidR="2F32619C">
        <w:rPr>
          <w:rFonts w:ascii="Verdana" w:hAnsi="Verdana"/>
          <w:sz w:val="24"/>
          <w:szCs w:val="24"/>
        </w:rPr>
        <w:t xml:space="preserve"> y </w:t>
      </w:r>
      <w:r w:rsidRPr="30CF4445" w:rsidR="599A47F3">
        <w:rPr>
          <w:rFonts w:ascii="Verdana" w:hAnsi="Verdana"/>
          <w:sz w:val="24"/>
          <w:szCs w:val="24"/>
        </w:rPr>
        <w:t>la participación de la ciudadanía en los canales de atención del Ministerio de Minas y Energía evidenció una alta concentración territorial en el centro del país, inicialmente en Cundinamarca (30,6% en 2022) y posteriormente en Bogotá D.C. (19,4% en 2023), acompañada</w:t>
      </w:r>
      <w:r>
        <w:rPr>
          <w:noProof/>
        </w:rPr>
        <mc:AlternateContent xmlns:mc="http://schemas.openxmlformats.org/markup-compatibility/2006">
          <mc:Choice xmlns:mc="http://schemas.openxmlformats.org/markup-compatibility/2006" Requires="wps">
            <w:drawing xmlns:w="http://schemas.openxmlformats.org/wordprocessingml/2006/main">
              <wp:inline xmlns:wp14="http://schemas.microsoft.com/office/word/2010/wordprocessingDrawing" xmlns:wp="http://schemas.openxmlformats.org/drawingml/2006/wordprocessingDrawing" distT="0" distB="0" distL="114300" distR="114300" wp14:anchorId="46419818" wp14:editId="38EE07D5">
                <wp:extent xmlns:wp="http://schemas.openxmlformats.org/drawingml/2006/wordprocessingDrawing" cx="3148330" cy="438150"/>
                <wp:effectExtent xmlns:wp="http://schemas.openxmlformats.org/drawingml/2006/wordprocessingDrawing" l="0" t="0" r="0" b="0"/>
                <wp:docPr xmlns:wp="http://schemas.openxmlformats.org/drawingml/2006/wordprocessingDrawing" id="1399521524" name="Cuadro de texto 2"/>
                <wp:cNvGraphicFramePr xmlns:wp="http://schemas.openxmlformats.org/drawingml/2006/wordprocessingDrawing"/>
                <a:graphic xmlns:a="http://schemas.openxmlformats.org/drawingml/2006/main">
                  <a:graphicData uri="http://schemas.microsoft.com/office/word/2010/wordprocessingShape">
                    <wps:wsp xmlns:wps="http://schemas.microsoft.com/office/word/2010/wordprocessingShape">
                      <wps:cNvSpPr txBox="1"/>
                      <wps:spPr>
                        <a:xfrm>
                          <a:off x="0" y="0"/>
                          <a:ext cx="3148330" cy="438150"/>
                        </a:xfrm>
                        <a:prstGeom prst="rect">
                          <a:avLst/>
                        </a:prstGeom>
                        <a:solidFill>
                          <a:schemeClr val="lt1"/>
                        </a:solidFill>
                        <a:ln w="6350">
                          <a:noFill/>
                        </a:ln>
                      </wps:spPr>
                      <wps:txbx>
                        <w:txbxContent xmlns:w="http://schemas.openxmlformats.org/wordprocessingml/2006/main">
                          <w:p xmlns:w14="http://schemas.microsoft.com/office/word/2010/wordml" w:rsidRPr="00A753FB" w:rsidR="00D511B2" w:rsidP="00D511B2" w:rsidRDefault="00D511B2" w14:paraId="0E3AD2E7"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jc w:val="center"/>
                              <w:rPr>
                                <w:sz w:val="16"/>
                                <w:szCs w:val="16"/>
                              </w:rPr>
                            </w:pPr>
                            <w:r w:rsidRPr="00A753FB">
                              <w:rPr>
                                <w:b/>
                                <w:bCs/>
                                <w:sz w:val="16"/>
                                <w:szCs w:val="16"/>
                              </w:rPr>
                              <w:t>Fuente:</w:t>
                            </w:r>
                            <w:r w:rsidRPr="00A753FB">
                              <w:rPr>
                                <w:sz w:val="16"/>
                                <w:szCs w:val="16"/>
                              </w:rPr>
                              <w:t xml:space="preserve"> Elaboración propia a partir de los resultados del informe de caracterización de grupos de valor e interés </w:t>
                            </w:r>
                          </w:p>
                          <w:p xmlns:w14="http://schemas.microsoft.com/office/word/2010/wordml" w:rsidRPr="00A753FB" w:rsidR="00D511B2" w:rsidP="00D511B2" w:rsidRDefault="00D511B2" w14:paraId="01B9A224" w14:textId="77777777">
                            <w:pPr>
                              <w:rPr>
                                <w:sz w:val="16"/>
                                <w:szCs w:val="16"/>
                              </w:rPr>
                            </w:pPr>
                          </w:p>
                          <w:p xmlns:w14="http://schemas.microsoft.com/office/word/2010/wordml" w:rsidRPr="00A753FB" w:rsidR="00D511B2" w:rsidP="00D511B2" w:rsidRDefault="00D511B2" w14:paraId="498DF7B9" w14:textId="77777777">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xmlns:mc="http://schemas.openxmlformats.org/markup-compatibility/2006">
            <w:pict xmlns:w14="http://schemas.microsoft.com/office/word/2010/wordml" xmlns:w="http://schemas.openxmlformats.org/wordprocessingml/2006/main" w14:anchorId="100A86F9">
              <v:shape xmlns:o="urn:schemas-microsoft-com:office:office" xmlns:v="urn:schemas-microsoft-com:vml" id="Cuadro de texto 2" style="width:247.9pt;height:34.5pt;visibility:visible;mso-wrap-style:square;mso-left-percent:-10001;mso-top-percent:-10001;mso-position-horizontal:absolute;mso-position-horizontal-relative:char;mso-position-vertical:absolute;mso-position-vertical-relative:line;mso-left-percent:-10001;mso-top-percent:-10001;v-text-anchor:top" o:spid="_x0000_s1033"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9FcMAIAAFsEAAAOAAAAZHJzL2Uyb0RvYy54bWysVN9v2jAQfp+0/8Hy+wgB2rKIUDEqpkmo&#10;rUSnPhvHJpYcn2cbEvbX7+xAYd2epr04d77z/fi+u8zuu0aTg3BegSlpPhhSIgyHSpldSb+/rD5N&#10;KfGBmYppMKKkR+Hp/fzjh1lrCzGCGnQlHMEgxhetLWkdgi2yzPNaNMwPwAqDRgmuYQFVt8sqx1qM&#10;3uhsNBzeZi24yjrgwnu8feiNdJ7iSyl4eJLSi0B0SbG2kE6Xzm08s/mMFTvHbK34qQz2D1U0TBlM&#10;+hbqgQVG9k79EapR3IEHGQYcmgykVFykHrCbfPium03NrEi9IDjevsHk/19Y/njY2GdHQvcFOiQw&#10;AtJaX3i8jP100jXxi5UStCOExzfYRBcIx8txPpmOx2jiaJuMp/lNwjW7vLbOh68CGhKFkjqkJaHF&#10;DmsfMCO6nl1iMg9aVSuldVLiKIilduTAkEQdUo344jcvbUhb0tsxpo6PDMTnfWRtMMGlpyiFbtsR&#10;VZX07tzvFqojwuCgnxBv+UphrWvmwzNzOBLYHo55eMJDasBccJIoqcH9/Nt99Eem0EpJiyNWUv9j&#10;z5ygRH8zyOHnfDKJM5mUyc3dCBV3bdleW8y+WQICkONCWZ7E6B/0WZQOmlfchkXMiiZmOOYuaTiL&#10;y9APPm4TF4tFcsIptCyszcbyGDpiF5l46V6Zsye6AhL9COdhZMU71nrfHvXFPoBUidKIc4/qCX6c&#10;4MT0adviilzryevyT5j/AgAA//8DAFBLAwQUAAYACAAAACEAZa4irN0AAAAEAQAADwAAAGRycy9k&#10;b3ducmV2LnhtbEyPT0vDQBDF74LfYRnBi9iN1lYbMykiasGbjX/wts2OSTA7G7LbJH57Ry96eTC8&#10;4b3fy9aTa9VAfWg8I5zNElDEpbcNVwjPxf3pFagQDVvTeiaELwqwzg8PMpNaP/ITDdtYKQnhkBqE&#10;OsYu1TqUNTkTZr4jFu/D985EOftK296MEu5afZ4kS+1Mw9JQm45uayo/t3uH8H5SvT2G6eFlnC/m&#10;3d1mKC5fbYF4fDTdXIOKNMW/Z/jBF3TIhWnn92yDahFkSPxV8S5WC5mxQ1iuEtB5pv/D598AAAD/&#10;/wMAUEsBAi0AFAAGAAgAAAAhALaDOJL+AAAA4QEAABMAAAAAAAAAAAAAAAAAAAAAAFtDb250ZW50&#10;X1R5cGVzXS54bWxQSwECLQAUAAYACAAAACEAOP0h/9YAAACUAQAACwAAAAAAAAAAAAAAAAAvAQAA&#10;X3JlbHMvLnJlbHNQSwECLQAUAAYACAAAACEARpPRXDACAABbBAAADgAAAAAAAAAAAAAAAAAuAgAA&#10;ZHJzL2Uyb0RvYy54bWxQSwECLQAUAAYACAAAACEAZa4irN0AAAAEAQAADwAAAAAAAAAAAAAAAACK&#10;BAAAZHJzL2Rvd25yZXYueG1sUEsFBgAAAAAEAAQA8wAAAJQFAAAAAA==&#10;" w14:anchorId="6EBC050D">
                <v:textbox>
                  <w:txbxContent>
                    <w:p w:rsidRPr="00A753FB" w:rsidR="00D511B2" w:rsidP="00D511B2" w:rsidRDefault="00D511B2" w14:paraId="5EFA6F1A"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jc w:val="center"/>
                        <w:rPr>
                          <w:sz w:val="16"/>
                          <w:szCs w:val="16"/>
                        </w:rPr>
                      </w:pPr>
                      <w:r w:rsidRPr="00A753FB">
                        <w:rPr>
                          <w:b/>
                          <w:bCs/>
                          <w:sz w:val="16"/>
                          <w:szCs w:val="16"/>
                        </w:rPr>
                        <w:t>Fuente:</w:t>
                      </w:r>
                      <w:r w:rsidRPr="00A753FB">
                        <w:rPr>
                          <w:sz w:val="16"/>
                          <w:szCs w:val="16"/>
                        </w:rPr>
                        <w:t xml:space="preserve"> Elaboración propia a partir de los resultados del informe de caracterización de grupos de valor e interés </w:t>
                      </w:r>
                    </w:p>
                    <w:p w:rsidRPr="00A753FB" w:rsidR="00D511B2" w:rsidP="00D511B2" w:rsidRDefault="00D511B2" w14:paraId="02EB378F" w14:textId="77777777">
                      <w:pPr>
                        <w:rPr>
                          <w:sz w:val="16"/>
                          <w:szCs w:val="16"/>
                        </w:rPr>
                      </w:pPr>
                    </w:p>
                    <w:p w:rsidRPr="00A753FB" w:rsidR="00D511B2" w:rsidP="00D511B2" w:rsidRDefault="00D511B2" w14:paraId="6A05A809" w14:textId="77777777">
                      <w:pPr>
                        <w:rPr>
                          <w:sz w:val="20"/>
                          <w:szCs w:val="20"/>
                        </w:rPr>
                      </w:pPr>
                    </w:p>
                  </w:txbxContent>
                </v:textbox>
                <w10:anchorlock xmlns:w10="urn:schemas-microsoft-com:office:word"/>
              </v:shape>
            </w:pict>
          </mc:Fallback>
        </mc:AlternateContent>
      </w:r>
      <w:r w:rsidRPr="30CF4445" w:rsidR="599A47F3">
        <w:rPr>
          <w:rFonts w:ascii="Verdana" w:hAnsi="Verdana"/>
          <w:sz w:val="24"/>
          <w:szCs w:val="24"/>
        </w:rPr>
        <w:t xml:space="preserve"> de una participación relevante de departamentos como Nariño, Antioquia, Atlántico y Cundinamarca. </w:t>
      </w:r>
    </w:p>
    <w:p w:rsidRPr="00C140A0" w:rsidR="00220280" w:rsidP="00E52256" w:rsidRDefault="00220280" w14:paraId="22563C2F" w14:textId="77777777">
      <w:pPr>
        <w:spacing w:after="0" w:line="360" w:lineRule="auto"/>
        <w:jc w:val="both"/>
        <w:rPr>
          <w:rFonts w:ascii="Verdana" w:hAnsi="Verdana"/>
          <w:sz w:val="24"/>
          <w:szCs w:val="24"/>
        </w:rPr>
      </w:pPr>
    </w:p>
    <w:p w:rsidR="00D511B2" w:rsidP="00E52256" w:rsidRDefault="00D511B2" w14:paraId="614FA6B9" w14:textId="77777777">
      <w:pPr>
        <w:spacing w:after="0" w:line="360" w:lineRule="auto"/>
        <w:jc w:val="both"/>
        <w:rPr>
          <w:rFonts w:ascii="Verdana" w:hAnsi="Verdana"/>
          <w:sz w:val="24"/>
          <w:szCs w:val="24"/>
        </w:rPr>
      </w:pPr>
      <w:r w:rsidRPr="00C140A0">
        <w:rPr>
          <w:rFonts w:ascii="Verdana" w:hAnsi="Verdana"/>
          <w:sz w:val="24"/>
          <w:szCs w:val="24"/>
        </w:rPr>
        <w:t>Aunque en 2023 se observa una incipiente diversificación territorial, con mayor presencia de regiones distintas al centro del país, persisten diferencias significativas entre territorios, manteniéndose la concentración en los principales centros urbanos, lo cual refleja brechas en el acceso y uso de los canales de atención institucionales.</w:t>
      </w:r>
    </w:p>
    <w:p w:rsidRPr="00C140A0" w:rsidR="00220280" w:rsidP="00E52256" w:rsidRDefault="00220280" w14:paraId="47BBE445" w14:textId="77777777">
      <w:pPr>
        <w:spacing w:after="0" w:line="360" w:lineRule="auto"/>
        <w:jc w:val="both"/>
        <w:rPr>
          <w:rFonts w:ascii="Verdana" w:hAnsi="Verdana"/>
          <w:sz w:val="24"/>
          <w:szCs w:val="24"/>
        </w:rPr>
      </w:pPr>
    </w:p>
    <w:p w:rsidRPr="00C140A0" w:rsidR="00D511B2" w:rsidP="00E52256" w:rsidRDefault="00D511B2" w14:paraId="0E30F579" w14:textId="77777777">
      <w:pPr>
        <w:spacing w:after="0" w:line="360" w:lineRule="auto"/>
        <w:jc w:val="both"/>
        <w:rPr>
          <w:rFonts w:ascii="Verdana" w:hAnsi="Verdana"/>
          <w:sz w:val="24"/>
          <w:szCs w:val="24"/>
        </w:rPr>
      </w:pPr>
      <w:r w:rsidRPr="00C140A0">
        <w:rPr>
          <w:rFonts w:ascii="Verdana" w:hAnsi="Verdana"/>
          <w:sz w:val="24"/>
          <w:szCs w:val="24"/>
        </w:rPr>
        <w:t>Para 2024 y 2025, se consolida una mayor cobertura territorial, con Bogotá manteniéndose como principal punto de interacción (entre 26,5% y 27% en 2024, y cerca del 46% en 2025), mientras que departamentos como Nariño, Antioquia, Cundinamarca, Valle del Cauca, Atlántico y Bolívar se posicionan como nodos regionales relevantes. En 2025, la implementación de la omnicanalidad impulsa un crecimiento significativo en el número de registros y amplía el alcance institucional; sin embargo, también se evidencia un fortalecimiento de la centralización, lo que plantea la necesidad de robustecer estrategias de descentralización y acceso diferencial para garantizar una participación más equitativa en todo el territorio nacional.</w:t>
      </w:r>
    </w:p>
    <w:p w:rsidR="00220280" w:rsidP="00E52256" w:rsidRDefault="00220280" w14:paraId="0745E499" w14:textId="77777777">
      <w:pPr>
        <w:spacing w:after="0" w:line="360" w:lineRule="auto"/>
        <w:jc w:val="both"/>
        <w:rPr>
          <w:rFonts w:ascii="Verdana" w:hAnsi="Verdana"/>
          <w:sz w:val="24"/>
          <w:szCs w:val="24"/>
        </w:rPr>
      </w:pPr>
    </w:p>
    <w:p w:rsidRPr="00C140A0" w:rsidR="00D511B2" w:rsidP="00E52256" w:rsidRDefault="58DA5965" w14:paraId="1F5F798E" w14:textId="77777777">
      <w:pPr>
        <w:spacing w:after="0" w:line="360" w:lineRule="auto"/>
        <w:jc w:val="both"/>
        <w:rPr>
          <w:rFonts w:ascii="Verdana" w:hAnsi="Verdana"/>
          <w:sz w:val="24"/>
          <w:szCs w:val="24"/>
        </w:rPr>
      </w:pPr>
      <w:r w:rsidRPr="180099B3">
        <w:rPr>
          <w:rFonts w:ascii="Verdana" w:hAnsi="Verdana"/>
          <w:sz w:val="24"/>
          <w:szCs w:val="24"/>
        </w:rPr>
        <w:t>En cuanto al tipo de territorio, se identifica una marcada predominancia de usuarios provenientes de zonas urbanas, con porcentajes entre 76% y 89%, mientras que la participación rural se mantiene entre el 11% y el 21%. La participación de territorios indígenas es mínima (inferior al 2%).</w:t>
      </w:r>
    </w:p>
    <w:p w:rsidR="180099B3" w:rsidP="180099B3" w:rsidRDefault="180099B3" w14:paraId="2CC70A5D" w14:textId="77777777">
      <w:pPr>
        <w:spacing w:after="0" w:line="360" w:lineRule="auto"/>
        <w:jc w:val="both"/>
        <w:rPr>
          <w:rFonts w:ascii="Verdana" w:hAnsi="Verdana"/>
          <w:sz w:val="24"/>
          <w:szCs w:val="24"/>
        </w:rPr>
      </w:pPr>
    </w:p>
    <w:p w:rsidR="00D511B2" w:rsidP="00E52256" w:rsidRDefault="25AC3A78" w14:paraId="6AE55A17" w14:textId="77777777">
      <w:pPr>
        <w:spacing w:after="0" w:line="360" w:lineRule="auto"/>
        <w:jc w:val="both"/>
        <w:rPr>
          <w:rFonts w:ascii="Verdana" w:hAnsi="Verdana"/>
          <w:sz w:val="24"/>
          <w:szCs w:val="24"/>
        </w:rPr>
      </w:pPr>
      <w:r w:rsidRPr="0FF05B1B">
        <w:rPr>
          <w:rFonts w:ascii="Verdana" w:hAnsi="Verdana"/>
          <w:sz w:val="24"/>
          <w:szCs w:val="24"/>
        </w:rPr>
        <w:t>Desde el punto de vista demográfico, el Ministerio ha atendido principalmente a población en edad productiva. En 2025, por ejemplo, el 68,5% de los usuarios se concentró entre los 35 y 54 años, lo que refleja una alta interacción de ciudadanos vinculados a actividades económicas y trámites administrativos. Esta tendencia se mantiene desde 2022, donde los rangos entre 25 y 44 años ya representaban la mayor proporción de usuarios.</w:t>
      </w:r>
    </w:p>
    <w:p w:rsidR="180099B3" w:rsidP="180099B3" w:rsidRDefault="180099B3" w14:paraId="446E6315" w14:textId="77777777">
      <w:pPr>
        <w:pStyle w:val="Descripcin"/>
        <w:spacing w:after="0"/>
        <w:jc w:val="center"/>
        <w:rPr>
          <w:rFonts w:ascii="Verdana" w:hAnsi="Verdana"/>
          <w:i w:val="0"/>
          <w:iCs w:val="0"/>
          <w:color w:val="auto"/>
        </w:rPr>
      </w:pPr>
    </w:p>
    <w:p w:rsidR="180099B3" w:rsidP="180099B3" w:rsidRDefault="180099B3" w14:paraId="59DC065A" w14:textId="77777777">
      <w:pPr>
        <w:pStyle w:val="Descripcin"/>
        <w:spacing w:after="0"/>
        <w:jc w:val="center"/>
        <w:rPr>
          <w:rFonts w:ascii="Verdana" w:hAnsi="Verdana"/>
          <w:i w:val="0"/>
          <w:iCs w:val="0"/>
          <w:color w:val="auto"/>
        </w:rPr>
      </w:pPr>
    </w:p>
    <w:p w:rsidRPr="00B91FF3" w:rsidR="00D511B2" w:rsidP="180099B3" w:rsidRDefault="58DA5965" w14:paraId="68EC8FD9" w14:textId="77777777">
      <w:pPr>
        <w:pStyle w:val="Descripcin"/>
        <w:spacing w:after="0"/>
        <w:jc w:val="center"/>
        <w:rPr>
          <w:rFonts w:ascii="Verdana" w:hAnsi="Verdana"/>
          <w:b/>
          <w:bCs/>
          <w:i w:val="0"/>
          <w:iCs w:val="0"/>
          <w:color w:val="auto"/>
        </w:rPr>
      </w:pPr>
      <w:r w:rsidRPr="180099B3">
        <w:rPr>
          <w:rFonts w:ascii="Verdana" w:hAnsi="Verdana"/>
          <w:i w:val="0"/>
          <w:iCs w:val="0"/>
          <w:color w:val="auto"/>
        </w:rPr>
        <w:t>Tabla</w:t>
      </w:r>
      <w:r w:rsidRPr="180099B3" w:rsidR="5D6DC1CB">
        <w:rPr>
          <w:rFonts w:ascii="Verdana" w:hAnsi="Verdana"/>
          <w:i w:val="0"/>
          <w:iCs w:val="0"/>
          <w:color w:val="auto"/>
        </w:rPr>
        <w:t xml:space="preserve"> No. </w:t>
      </w:r>
      <w:r w:rsidRPr="180099B3" w:rsidR="788F534B">
        <w:rPr>
          <w:rFonts w:ascii="Verdana" w:hAnsi="Verdana"/>
          <w:i w:val="0"/>
          <w:iCs w:val="0"/>
          <w:color w:val="auto"/>
        </w:rPr>
        <w:t>5</w:t>
      </w:r>
      <w:r w:rsidRPr="180099B3" w:rsidR="7AB843AD">
        <w:rPr>
          <w:rFonts w:ascii="Verdana" w:hAnsi="Verdana"/>
          <w:i w:val="0"/>
          <w:iCs w:val="0"/>
          <w:color w:val="auto"/>
        </w:rPr>
        <w:t>9</w:t>
      </w:r>
      <w:r w:rsidRPr="180099B3">
        <w:rPr>
          <w:rFonts w:ascii="Verdana" w:hAnsi="Verdana"/>
          <w:i w:val="0"/>
          <w:iCs w:val="0"/>
          <w:color w:val="auto"/>
        </w:rPr>
        <w:t>. Rango de edad predominante por año</w:t>
      </w:r>
    </w:p>
    <w:tbl>
      <w:tblPr>
        <w:tblStyle w:val="Tablaconcuadrcula4-nfasis1"/>
        <w:tblW w:w="8874"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Look w:val="04A0" w:firstRow="1" w:lastRow="0" w:firstColumn="1" w:lastColumn="0" w:noHBand="0" w:noVBand="1"/>
      </w:tblPr>
      <w:tblGrid>
        <w:gridCol w:w="816"/>
        <w:gridCol w:w="1766"/>
        <w:gridCol w:w="1534"/>
        <w:gridCol w:w="4758"/>
      </w:tblGrid>
      <w:tr w:rsidRPr="00220280" w:rsidR="00D511B2" w:rsidTr="180099B3" w14:paraId="44199A94" w14:textId="77777777">
        <w:trPr>
          <w:cnfStyle w:val="100000000000" w:firstRow="1" w:lastRow="0" w:firstColumn="0" w:lastColumn="0" w:oddVBand="0" w:evenVBand="0" w:oddHBand="0" w:evenHBand="0" w:firstRowFirstColumn="0" w:firstRowLastColumn="0" w:lastRowFirstColumn="0" w:lastRowLastColumn="0"/>
          <w:trHeight w:val="425"/>
        </w:trPr>
        <w:tc>
          <w:tcPr>
            <w:cnfStyle w:val="001000000000" w:firstRow="0" w:lastRow="0" w:firstColumn="1" w:lastColumn="0" w:oddVBand="0" w:evenVBand="0" w:oddHBand="0" w:evenHBand="0" w:firstRowFirstColumn="0" w:firstRowLastColumn="0" w:lastRowFirstColumn="0" w:lastRowLastColumn="0"/>
            <w:tcW w:w="820" w:type="dxa"/>
            <w:tcBorders>
              <w:top w:val="none" w:color="auto" w:sz="0" w:space="0"/>
              <w:left w:val="none" w:color="auto" w:sz="0" w:space="0"/>
              <w:bottom w:val="none" w:color="auto" w:sz="0" w:space="0"/>
              <w:right w:val="none" w:color="auto" w:sz="0" w:space="0"/>
            </w:tcBorders>
            <w:shd w:val="clear" w:color="auto" w:fill="A6A6A6" w:themeFill="background1" w:themeFillShade="A6"/>
            <w:vAlign w:val="center"/>
            <w:hideMark/>
          </w:tcPr>
          <w:p w:rsidRPr="00B91FF3" w:rsidR="00D511B2" w:rsidP="00E34FD8" w:rsidRDefault="00D511B2" w14:paraId="565759EA" w14:textId="77777777">
            <w:pPr>
              <w:jc w:val="center"/>
              <w:rPr>
                <w:rFonts w:ascii="Verdana" w:hAnsi="Verdana" w:eastAsia="Times New Roman" w:cs="Times New Roman"/>
                <w:color w:val="auto"/>
                <w:sz w:val="18"/>
                <w:szCs w:val="18"/>
                <w:lang w:eastAsia="es-CO"/>
              </w:rPr>
            </w:pPr>
            <w:r w:rsidRPr="00B91FF3">
              <w:rPr>
                <w:rFonts w:ascii="Verdana" w:hAnsi="Verdana" w:eastAsia="Times New Roman" w:cs="Times New Roman"/>
                <w:color w:val="auto"/>
                <w:sz w:val="18"/>
                <w:szCs w:val="18"/>
                <w:lang w:eastAsia="es-CO"/>
              </w:rPr>
              <w:t>Año</w:t>
            </w:r>
          </w:p>
        </w:tc>
        <w:tc>
          <w:tcPr>
            <w:tcW w:w="1769" w:type="dxa"/>
            <w:tcBorders>
              <w:top w:val="none" w:color="auto" w:sz="0" w:space="0"/>
              <w:left w:val="none" w:color="auto" w:sz="0" w:space="0"/>
              <w:bottom w:val="none" w:color="auto" w:sz="0" w:space="0"/>
              <w:right w:val="none" w:color="auto" w:sz="0" w:space="0"/>
            </w:tcBorders>
            <w:shd w:val="clear" w:color="auto" w:fill="A6A6A6" w:themeFill="background1" w:themeFillShade="A6"/>
            <w:vAlign w:val="center"/>
            <w:hideMark/>
          </w:tcPr>
          <w:p w:rsidRPr="00B91FF3" w:rsidR="00D511B2" w:rsidP="00E34FD8" w:rsidRDefault="00D511B2" w14:paraId="702136EE" w14:textId="77777777">
            <w:pPr>
              <w:jc w:val="center"/>
              <w:cnfStyle w:val="100000000000" w:firstRow="1" w:lastRow="0" w:firstColumn="0" w:lastColumn="0" w:oddVBand="0" w:evenVBand="0" w:oddHBand="0" w:evenHBand="0" w:firstRowFirstColumn="0" w:firstRowLastColumn="0" w:lastRowFirstColumn="0" w:lastRowLastColumn="0"/>
              <w:rPr>
                <w:rFonts w:ascii="Verdana" w:hAnsi="Verdana" w:eastAsia="Times New Roman" w:cs="Times New Roman"/>
                <w:color w:val="auto"/>
                <w:sz w:val="18"/>
                <w:szCs w:val="18"/>
                <w:lang w:eastAsia="es-CO"/>
              </w:rPr>
            </w:pPr>
            <w:r w:rsidRPr="00B91FF3">
              <w:rPr>
                <w:rFonts w:ascii="Verdana" w:hAnsi="Verdana" w:eastAsia="Times New Roman" w:cs="Times New Roman"/>
                <w:color w:val="auto"/>
                <w:sz w:val="18"/>
                <w:szCs w:val="18"/>
                <w:lang w:eastAsia="es-CO"/>
              </w:rPr>
              <w:t>Rango de edad predominante</w:t>
            </w:r>
          </w:p>
        </w:tc>
        <w:tc>
          <w:tcPr>
            <w:tcW w:w="1454" w:type="dxa"/>
            <w:tcBorders>
              <w:top w:val="none" w:color="auto" w:sz="0" w:space="0"/>
              <w:left w:val="none" w:color="auto" w:sz="0" w:space="0"/>
              <w:bottom w:val="none" w:color="auto" w:sz="0" w:space="0"/>
              <w:right w:val="none" w:color="auto" w:sz="0" w:space="0"/>
            </w:tcBorders>
            <w:shd w:val="clear" w:color="auto" w:fill="A6A6A6" w:themeFill="background1" w:themeFillShade="A6"/>
            <w:vAlign w:val="center"/>
            <w:hideMark/>
          </w:tcPr>
          <w:p w:rsidRPr="00B91FF3" w:rsidR="00D511B2" w:rsidP="00E34FD8" w:rsidRDefault="00D511B2" w14:paraId="454528E5" w14:textId="77777777">
            <w:pPr>
              <w:jc w:val="center"/>
              <w:cnfStyle w:val="100000000000" w:firstRow="1" w:lastRow="0" w:firstColumn="0" w:lastColumn="0" w:oddVBand="0" w:evenVBand="0" w:oddHBand="0" w:evenHBand="0" w:firstRowFirstColumn="0" w:firstRowLastColumn="0" w:lastRowFirstColumn="0" w:lastRowLastColumn="0"/>
              <w:rPr>
                <w:rFonts w:ascii="Verdana" w:hAnsi="Verdana" w:eastAsia="Times New Roman" w:cs="Times New Roman"/>
                <w:color w:val="auto"/>
                <w:sz w:val="18"/>
                <w:szCs w:val="18"/>
                <w:lang w:eastAsia="es-CO"/>
              </w:rPr>
            </w:pPr>
            <w:r w:rsidRPr="00B91FF3">
              <w:rPr>
                <w:rFonts w:ascii="Verdana" w:hAnsi="Verdana" w:eastAsia="Times New Roman" w:cs="Times New Roman"/>
                <w:color w:val="auto"/>
                <w:sz w:val="18"/>
                <w:szCs w:val="18"/>
                <w:lang w:eastAsia="es-CO"/>
              </w:rPr>
              <w:t>Participación aproximada</w:t>
            </w:r>
          </w:p>
        </w:tc>
        <w:tc>
          <w:tcPr>
            <w:tcW w:w="4831" w:type="dxa"/>
            <w:tcBorders>
              <w:top w:val="none" w:color="auto" w:sz="0" w:space="0"/>
              <w:left w:val="none" w:color="auto" w:sz="0" w:space="0"/>
              <w:bottom w:val="none" w:color="auto" w:sz="0" w:space="0"/>
              <w:right w:val="none" w:color="auto" w:sz="0" w:space="0"/>
            </w:tcBorders>
            <w:shd w:val="clear" w:color="auto" w:fill="A6A6A6" w:themeFill="background1" w:themeFillShade="A6"/>
            <w:vAlign w:val="center"/>
            <w:hideMark/>
          </w:tcPr>
          <w:p w:rsidRPr="00B91FF3" w:rsidR="00D511B2" w:rsidP="00E34FD8" w:rsidRDefault="00D511B2" w14:paraId="093EAA58" w14:textId="77777777">
            <w:pPr>
              <w:jc w:val="center"/>
              <w:cnfStyle w:val="100000000000" w:firstRow="1" w:lastRow="0" w:firstColumn="0" w:lastColumn="0" w:oddVBand="0" w:evenVBand="0" w:oddHBand="0" w:evenHBand="0" w:firstRowFirstColumn="0" w:firstRowLastColumn="0" w:lastRowFirstColumn="0" w:lastRowLastColumn="0"/>
              <w:rPr>
                <w:rFonts w:ascii="Verdana" w:hAnsi="Verdana" w:eastAsia="Times New Roman" w:cs="Times New Roman"/>
                <w:color w:val="auto"/>
                <w:sz w:val="18"/>
                <w:szCs w:val="18"/>
                <w:lang w:eastAsia="es-CO"/>
              </w:rPr>
            </w:pPr>
            <w:r w:rsidRPr="00B91FF3">
              <w:rPr>
                <w:rFonts w:ascii="Verdana" w:hAnsi="Verdana" w:eastAsia="Times New Roman" w:cs="Times New Roman"/>
                <w:color w:val="auto"/>
                <w:sz w:val="18"/>
                <w:szCs w:val="18"/>
                <w:lang w:eastAsia="es-CO"/>
              </w:rPr>
              <w:t>Lectura del comportamiento</w:t>
            </w:r>
          </w:p>
        </w:tc>
      </w:tr>
      <w:tr w:rsidRPr="00220280" w:rsidR="00D511B2" w:rsidTr="180099B3" w14:paraId="222CD1FC" w14:textId="77777777">
        <w:trPr>
          <w:cnfStyle w:val="000000100000" w:firstRow="0" w:lastRow="0" w:firstColumn="0" w:lastColumn="0" w:oddVBand="0" w:evenVBand="0" w:oddHBand="1" w:evenHBand="0" w:firstRowFirstColumn="0" w:firstRowLastColumn="0" w:lastRowFirstColumn="0" w:lastRowLastColumn="0"/>
          <w:trHeight w:val="586"/>
        </w:trPr>
        <w:tc>
          <w:tcPr>
            <w:cnfStyle w:val="001000000000" w:firstRow="0" w:lastRow="0" w:firstColumn="1" w:lastColumn="0" w:oddVBand="0" w:evenVBand="0" w:oddHBand="0" w:evenHBand="0" w:firstRowFirstColumn="0" w:firstRowLastColumn="0" w:lastRowFirstColumn="0" w:lastRowLastColumn="0"/>
            <w:tcW w:w="820" w:type="dxa"/>
            <w:shd w:val="clear" w:color="auto" w:fill="FFFFFF" w:themeFill="background1"/>
            <w:vAlign w:val="center"/>
            <w:hideMark/>
          </w:tcPr>
          <w:p w:rsidRPr="00220280" w:rsidR="00D511B2" w:rsidP="00E34FD8" w:rsidRDefault="00D511B2" w14:paraId="254C0AD7" w14:textId="77777777">
            <w:pPr>
              <w:jc w:val="right"/>
              <w:rPr>
                <w:rFonts w:ascii="Verdana" w:hAnsi="Verdana" w:eastAsia="Times New Roman" w:cs="Times New Roman"/>
                <w:b w:val="0"/>
                <w:bCs w:val="0"/>
                <w:color w:val="000000"/>
                <w:sz w:val="18"/>
                <w:szCs w:val="18"/>
                <w:lang w:eastAsia="es-CO"/>
              </w:rPr>
            </w:pPr>
            <w:r w:rsidRPr="00220280">
              <w:rPr>
                <w:rFonts w:ascii="Verdana" w:hAnsi="Verdana" w:eastAsia="Times New Roman" w:cs="Times New Roman"/>
                <w:b w:val="0"/>
                <w:bCs w:val="0"/>
                <w:color w:val="000000"/>
                <w:sz w:val="18"/>
                <w:szCs w:val="18"/>
                <w:lang w:eastAsia="es-CO"/>
              </w:rPr>
              <w:t>2022</w:t>
            </w:r>
          </w:p>
        </w:tc>
        <w:tc>
          <w:tcPr>
            <w:tcW w:w="1769" w:type="dxa"/>
            <w:shd w:val="clear" w:color="auto" w:fill="FFFFFF" w:themeFill="background1"/>
            <w:vAlign w:val="center"/>
            <w:hideMark/>
          </w:tcPr>
          <w:p w:rsidRPr="00220280" w:rsidR="00D511B2" w:rsidP="00E34FD8" w:rsidRDefault="00D511B2" w14:paraId="7148A33C" w14:textId="77777777">
            <w:pPr>
              <w:cnfStyle w:val="000000100000" w:firstRow="0" w:lastRow="0" w:firstColumn="0" w:lastColumn="0" w:oddVBand="0" w:evenVBand="0" w:oddHBand="1" w:evenHBand="0" w:firstRowFirstColumn="0" w:firstRowLastColumn="0" w:lastRowFirstColumn="0" w:lastRowLastColumn="0"/>
              <w:rPr>
                <w:rFonts w:ascii="Verdana" w:hAnsi="Verdana" w:eastAsia="Times New Roman" w:cs="Times New Roman"/>
                <w:color w:val="000000"/>
                <w:sz w:val="18"/>
                <w:szCs w:val="18"/>
                <w:lang w:eastAsia="es-CO"/>
              </w:rPr>
            </w:pPr>
            <w:r w:rsidRPr="00220280">
              <w:rPr>
                <w:rFonts w:ascii="Verdana" w:hAnsi="Verdana" w:eastAsia="Times New Roman" w:cs="Times New Roman"/>
                <w:color w:val="000000"/>
                <w:sz w:val="18"/>
                <w:szCs w:val="18"/>
                <w:lang w:eastAsia="es-CO"/>
              </w:rPr>
              <w:t>25–44 años</w:t>
            </w:r>
          </w:p>
        </w:tc>
        <w:tc>
          <w:tcPr>
            <w:tcW w:w="1454" w:type="dxa"/>
            <w:shd w:val="clear" w:color="auto" w:fill="FFFFFF" w:themeFill="background1"/>
            <w:vAlign w:val="center"/>
            <w:hideMark/>
          </w:tcPr>
          <w:p w:rsidRPr="00220280" w:rsidR="00D511B2" w:rsidP="00E34FD8" w:rsidRDefault="00D511B2" w14:paraId="0AAB196E" w14:textId="77777777">
            <w:pPr>
              <w:cnfStyle w:val="000000100000" w:firstRow="0" w:lastRow="0" w:firstColumn="0" w:lastColumn="0" w:oddVBand="0" w:evenVBand="0" w:oddHBand="1" w:evenHBand="0" w:firstRowFirstColumn="0" w:firstRowLastColumn="0" w:lastRowFirstColumn="0" w:lastRowLastColumn="0"/>
              <w:rPr>
                <w:rFonts w:ascii="Verdana" w:hAnsi="Verdana" w:eastAsia="Times New Roman" w:cs="Times New Roman"/>
                <w:color w:val="000000"/>
                <w:sz w:val="18"/>
                <w:szCs w:val="18"/>
                <w:lang w:eastAsia="es-CO"/>
              </w:rPr>
            </w:pPr>
            <w:r w:rsidRPr="00220280">
              <w:rPr>
                <w:rFonts w:ascii="Verdana" w:hAnsi="Verdana" w:eastAsia="Times New Roman" w:cs="Times New Roman"/>
                <w:color w:val="000000"/>
                <w:sz w:val="18"/>
                <w:szCs w:val="18"/>
                <w:lang w:eastAsia="es-CO"/>
              </w:rPr>
              <w:t>~55%</w:t>
            </w:r>
          </w:p>
        </w:tc>
        <w:tc>
          <w:tcPr>
            <w:tcW w:w="4831" w:type="dxa"/>
            <w:shd w:val="clear" w:color="auto" w:fill="FFFFFF" w:themeFill="background1"/>
            <w:vAlign w:val="center"/>
            <w:hideMark/>
          </w:tcPr>
          <w:p w:rsidRPr="00220280" w:rsidR="00D511B2" w:rsidP="00E34FD8" w:rsidRDefault="00D511B2" w14:paraId="60FB4256" w14:textId="77777777">
            <w:pPr>
              <w:cnfStyle w:val="000000100000" w:firstRow="0" w:lastRow="0" w:firstColumn="0" w:lastColumn="0" w:oddVBand="0" w:evenVBand="0" w:oddHBand="1" w:evenHBand="0" w:firstRowFirstColumn="0" w:firstRowLastColumn="0" w:lastRowFirstColumn="0" w:lastRowLastColumn="0"/>
              <w:rPr>
                <w:rFonts w:ascii="Verdana" w:hAnsi="Verdana" w:eastAsia="Times New Roman" w:cs="Times New Roman"/>
                <w:color w:val="000000"/>
                <w:sz w:val="18"/>
                <w:szCs w:val="18"/>
                <w:lang w:eastAsia="es-CO"/>
              </w:rPr>
            </w:pPr>
            <w:r w:rsidRPr="00220280">
              <w:rPr>
                <w:rFonts w:ascii="Verdana" w:hAnsi="Verdana" w:eastAsia="Times New Roman" w:cs="Times New Roman"/>
                <w:color w:val="000000"/>
                <w:sz w:val="18"/>
                <w:szCs w:val="18"/>
                <w:lang w:eastAsia="es-CO"/>
              </w:rPr>
              <w:t>Predominio de población joven-adulta en etapa productiva</w:t>
            </w:r>
          </w:p>
        </w:tc>
      </w:tr>
      <w:tr w:rsidRPr="00220280" w:rsidR="00D511B2" w:rsidTr="180099B3" w14:paraId="23E2B303" w14:textId="77777777">
        <w:trPr>
          <w:trHeight w:val="600"/>
        </w:trPr>
        <w:tc>
          <w:tcPr>
            <w:cnfStyle w:val="001000000000" w:firstRow="0" w:lastRow="0" w:firstColumn="1" w:lastColumn="0" w:oddVBand="0" w:evenVBand="0" w:oddHBand="0" w:evenHBand="0" w:firstRowFirstColumn="0" w:firstRowLastColumn="0" w:lastRowFirstColumn="0" w:lastRowLastColumn="0"/>
            <w:tcW w:w="820" w:type="dxa"/>
            <w:shd w:val="clear" w:color="auto" w:fill="FFFFFF" w:themeFill="background1"/>
            <w:vAlign w:val="center"/>
            <w:hideMark/>
          </w:tcPr>
          <w:p w:rsidRPr="00220280" w:rsidR="00D511B2" w:rsidP="00E34FD8" w:rsidRDefault="00D511B2" w14:paraId="2C8063E0" w14:textId="77777777">
            <w:pPr>
              <w:jc w:val="right"/>
              <w:rPr>
                <w:rFonts w:ascii="Verdana" w:hAnsi="Verdana" w:eastAsia="Times New Roman" w:cs="Times New Roman"/>
                <w:b w:val="0"/>
                <w:bCs w:val="0"/>
                <w:color w:val="000000"/>
                <w:sz w:val="18"/>
                <w:szCs w:val="18"/>
                <w:lang w:eastAsia="es-CO"/>
              </w:rPr>
            </w:pPr>
            <w:r w:rsidRPr="00220280">
              <w:rPr>
                <w:rFonts w:ascii="Verdana" w:hAnsi="Verdana" w:eastAsia="Times New Roman" w:cs="Times New Roman"/>
                <w:b w:val="0"/>
                <w:bCs w:val="0"/>
                <w:color w:val="000000"/>
                <w:sz w:val="18"/>
                <w:szCs w:val="18"/>
                <w:lang w:eastAsia="es-CO"/>
              </w:rPr>
              <w:t>2023</w:t>
            </w:r>
          </w:p>
        </w:tc>
        <w:tc>
          <w:tcPr>
            <w:tcW w:w="1769" w:type="dxa"/>
            <w:shd w:val="clear" w:color="auto" w:fill="FFFFFF" w:themeFill="background1"/>
            <w:vAlign w:val="center"/>
            <w:hideMark/>
          </w:tcPr>
          <w:p w:rsidRPr="00220280" w:rsidR="00D511B2" w:rsidP="00E34FD8" w:rsidRDefault="00D511B2" w14:paraId="54844C1C" w14:textId="77777777">
            <w:pPr>
              <w:cnfStyle w:val="000000000000" w:firstRow="0" w:lastRow="0" w:firstColumn="0" w:lastColumn="0" w:oddVBand="0" w:evenVBand="0" w:oddHBand="0" w:evenHBand="0" w:firstRowFirstColumn="0" w:firstRowLastColumn="0" w:lastRowFirstColumn="0" w:lastRowLastColumn="0"/>
              <w:rPr>
                <w:rFonts w:ascii="Verdana" w:hAnsi="Verdana" w:eastAsia="Times New Roman" w:cs="Times New Roman"/>
                <w:color w:val="000000"/>
                <w:sz w:val="18"/>
                <w:szCs w:val="18"/>
                <w:lang w:eastAsia="es-CO"/>
              </w:rPr>
            </w:pPr>
            <w:r w:rsidRPr="00220280">
              <w:rPr>
                <w:rFonts w:ascii="Verdana" w:hAnsi="Verdana" w:eastAsia="Times New Roman" w:cs="Times New Roman"/>
                <w:color w:val="000000"/>
                <w:sz w:val="18"/>
                <w:szCs w:val="18"/>
                <w:lang w:eastAsia="es-CO"/>
              </w:rPr>
              <w:t>25–44 años</w:t>
            </w:r>
          </w:p>
        </w:tc>
        <w:tc>
          <w:tcPr>
            <w:tcW w:w="1454" w:type="dxa"/>
            <w:shd w:val="clear" w:color="auto" w:fill="FFFFFF" w:themeFill="background1"/>
            <w:vAlign w:val="center"/>
            <w:hideMark/>
          </w:tcPr>
          <w:p w:rsidRPr="00220280" w:rsidR="00D511B2" w:rsidP="00E34FD8" w:rsidRDefault="00D511B2" w14:paraId="7268AFCD" w14:textId="77777777">
            <w:pPr>
              <w:cnfStyle w:val="000000000000" w:firstRow="0" w:lastRow="0" w:firstColumn="0" w:lastColumn="0" w:oddVBand="0" w:evenVBand="0" w:oddHBand="0" w:evenHBand="0" w:firstRowFirstColumn="0" w:firstRowLastColumn="0" w:lastRowFirstColumn="0" w:lastRowLastColumn="0"/>
              <w:rPr>
                <w:rFonts w:ascii="Verdana" w:hAnsi="Verdana" w:eastAsia="Times New Roman" w:cs="Times New Roman"/>
                <w:color w:val="000000"/>
                <w:sz w:val="18"/>
                <w:szCs w:val="18"/>
                <w:lang w:eastAsia="es-CO"/>
              </w:rPr>
            </w:pPr>
            <w:r w:rsidRPr="00220280">
              <w:rPr>
                <w:rFonts w:ascii="Verdana" w:hAnsi="Verdana" w:eastAsia="Times New Roman" w:cs="Times New Roman"/>
                <w:color w:val="000000"/>
                <w:sz w:val="18"/>
                <w:szCs w:val="18"/>
                <w:lang w:eastAsia="es-CO"/>
              </w:rPr>
              <w:t>~54%</w:t>
            </w:r>
          </w:p>
        </w:tc>
        <w:tc>
          <w:tcPr>
            <w:tcW w:w="4831" w:type="dxa"/>
            <w:shd w:val="clear" w:color="auto" w:fill="FFFFFF" w:themeFill="background1"/>
            <w:vAlign w:val="center"/>
            <w:hideMark/>
          </w:tcPr>
          <w:p w:rsidRPr="00220280" w:rsidR="00D511B2" w:rsidP="00E34FD8" w:rsidRDefault="00D511B2" w14:paraId="352D3F50" w14:textId="77777777">
            <w:pPr>
              <w:cnfStyle w:val="000000000000" w:firstRow="0" w:lastRow="0" w:firstColumn="0" w:lastColumn="0" w:oddVBand="0" w:evenVBand="0" w:oddHBand="0" w:evenHBand="0" w:firstRowFirstColumn="0" w:firstRowLastColumn="0" w:lastRowFirstColumn="0" w:lastRowLastColumn="0"/>
              <w:rPr>
                <w:rFonts w:ascii="Verdana" w:hAnsi="Verdana" w:eastAsia="Times New Roman" w:cs="Times New Roman"/>
                <w:color w:val="000000"/>
                <w:sz w:val="18"/>
                <w:szCs w:val="18"/>
                <w:lang w:eastAsia="es-CO"/>
              </w:rPr>
            </w:pPr>
            <w:r w:rsidRPr="00220280">
              <w:rPr>
                <w:rFonts w:ascii="Verdana" w:hAnsi="Verdana" w:eastAsia="Times New Roman" w:cs="Times New Roman"/>
                <w:color w:val="000000"/>
                <w:sz w:val="18"/>
                <w:szCs w:val="18"/>
                <w:lang w:eastAsia="es-CO"/>
              </w:rPr>
              <w:t>Se mantiene el perfil de usuarios en edad laboral activa</w:t>
            </w:r>
          </w:p>
        </w:tc>
      </w:tr>
      <w:tr w:rsidRPr="00220280" w:rsidR="00D511B2" w:rsidTr="180099B3" w14:paraId="1409A878" w14:textId="77777777">
        <w:trPr>
          <w:cnfStyle w:val="000000100000" w:firstRow="0" w:lastRow="0" w:firstColumn="0" w:lastColumn="0" w:oddVBand="0" w:evenVBand="0" w:oddHBand="1" w:evenHBand="0" w:firstRowFirstColumn="0" w:firstRowLastColumn="0" w:lastRowFirstColumn="0" w:lastRowLastColumn="0"/>
          <w:trHeight w:val="630"/>
        </w:trPr>
        <w:tc>
          <w:tcPr>
            <w:cnfStyle w:val="001000000000" w:firstRow="0" w:lastRow="0" w:firstColumn="1" w:lastColumn="0" w:oddVBand="0" w:evenVBand="0" w:oddHBand="0" w:evenHBand="0" w:firstRowFirstColumn="0" w:firstRowLastColumn="0" w:lastRowFirstColumn="0" w:lastRowLastColumn="0"/>
            <w:tcW w:w="820" w:type="dxa"/>
            <w:shd w:val="clear" w:color="auto" w:fill="FFFFFF" w:themeFill="background1"/>
            <w:vAlign w:val="center"/>
            <w:hideMark/>
          </w:tcPr>
          <w:p w:rsidRPr="00220280" w:rsidR="00D511B2" w:rsidP="00E34FD8" w:rsidRDefault="00D511B2" w14:paraId="4AFA307D" w14:textId="77777777">
            <w:pPr>
              <w:jc w:val="right"/>
              <w:rPr>
                <w:rFonts w:ascii="Verdana" w:hAnsi="Verdana" w:eastAsia="Times New Roman" w:cs="Times New Roman"/>
                <w:b w:val="0"/>
                <w:bCs w:val="0"/>
                <w:color w:val="000000"/>
                <w:sz w:val="18"/>
                <w:szCs w:val="18"/>
                <w:lang w:eastAsia="es-CO"/>
              </w:rPr>
            </w:pPr>
            <w:r w:rsidRPr="00220280">
              <w:rPr>
                <w:rFonts w:ascii="Verdana" w:hAnsi="Verdana" w:eastAsia="Times New Roman" w:cs="Times New Roman"/>
                <w:b w:val="0"/>
                <w:bCs w:val="0"/>
                <w:color w:val="000000"/>
                <w:sz w:val="18"/>
                <w:szCs w:val="18"/>
                <w:lang w:eastAsia="es-CO"/>
              </w:rPr>
              <w:t>2024</w:t>
            </w:r>
          </w:p>
        </w:tc>
        <w:tc>
          <w:tcPr>
            <w:tcW w:w="1769" w:type="dxa"/>
            <w:shd w:val="clear" w:color="auto" w:fill="FFFFFF" w:themeFill="background1"/>
            <w:vAlign w:val="center"/>
            <w:hideMark/>
          </w:tcPr>
          <w:p w:rsidRPr="00220280" w:rsidR="00D511B2" w:rsidP="00E34FD8" w:rsidRDefault="00D511B2" w14:paraId="7B23004D" w14:textId="77777777">
            <w:pPr>
              <w:cnfStyle w:val="000000100000" w:firstRow="0" w:lastRow="0" w:firstColumn="0" w:lastColumn="0" w:oddVBand="0" w:evenVBand="0" w:oddHBand="1" w:evenHBand="0" w:firstRowFirstColumn="0" w:firstRowLastColumn="0" w:lastRowFirstColumn="0" w:lastRowLastColumn="0"/>
              <w:rPr>
                <w:rFonts w:ascii="Verdana" w:hAnsi="Verdana" w:eastAsia="Times New Roman" w:cs="Times New Roman"/>
                <w:color w:val="000000"/>
                <w:sz w:val="18"/>
                <w:szCs w:val="18"/>
                <w:lang w:eastAsia="es-CO"/>
              </w:rPr>
            </w:pPr>
            <w:r w:rsidRPr="00220280">
              <w:rPr>
                <w:rFonts w:ascii="Verdana" w:hAnsi="Verdana" w:eastAsia="Times New Roman" w:cs="Times New Roman"/>
                <w:color w:val="000000"/>
                <w:sz w:val="18"/>
                <w:szCs w:val="18"/>
                <w:lang w:eastAsia="es-CO"/>
              </w:rPr>
              <w:t>25–54 años</w:t>
            </w:r>
          </w:p>
        </w:tc>
        <w:tc>
          <w:tcPr>
            <w:tcW w:w="1454" w:type="dxa"/>
            <w:shd w:val="clear" w:color="auto" w:fill="FFFFFF" w:themeFill="background1"/>
            <w:vAlign w:val="center"/>
            <w:hideMark/>
          </w:tcPr>
          <w:p w:rsidRPr="00220280" w:rsidR="00D511B2" w:rsidP="00E34FD8" w:rsidRDefault="00D511B2" w14:paraId="08CF8276" w14:textId="77777777">
            <w:pPr>
              <w:cnfStyle w:val="000000100000" w:firstRow="0" w:lastRow="0" w:firstColumn="0" w:lastColumn="0" w:oddVBand="0" w:evenVBand="0" w:oddHBand="1" w:evenHBand="0" w:firstRowFirstColumn="0" w:firstRowLastColumn="0" w:lastRowFirstColumn="0" w:lastRowLastColumn="0"/>
              <w:rPr>
                <w:rFonts w:ascii="Verdana" w:hAnsi="Verdana" w:eastAsia="Times New Roman" w:cs="Times New Roman"/>
                <w:color w:val="000000"/>
                <w:sz w:val="18"/>
                <w:szCs w:val="18"/>
                <w:lang w:eastAsia="es-CO"/>
              </w:rPr>
            </w:pPr>
            <w:r w:rsidRPr="00220280">
              <w:rPr>
                <w:rFonts w:ascii="Verdana" w:hAnsi="Verdana" w:eastAsia="Times New Roman" w:cs="Times New Roman"/>
                <w:color w:val="000000"/>
                <w:sz w:val="18"/>
                <w:szCs w:val="18"/>
                <w:lang w:eastAsia="es-CO"/>
              </w:rPr>
              <w:t>~50–55%</w:t>
            </w:r>
          </w:p>
        </w:tc>
        <w:tc>
          <w:tcPr>
            <w:tcW w:w="4831" w:type="dxa"/>
            <w:shd w:val="clear" w:color="auto" w:fill="FFFFFF" w:themeFill="background1"/>
            <w:vAlign w:val="center"/>
            <w:hideMark/>
          </w:tcPr>
          <w:p w:rsidRPr="00220280" w:rsidR="00D511B2" w:rsidP="00E34FD8" w:rsidRDefault="00D511B2" w14:paraId="1BCC9F58" w14:textId="77777777">
            <w:pPr>
              <w:cnfStyle w:val="000000100000" w:firstRow="0" w:lastRow="0" w:firstColumn="0" w:lastColumn="0" w:oddVBand="0" w:evenVBand="0" w:oddHBand="1" w:evenHBand="0" w:firstRowFirstColumn="0" w:firstRowLastColumn="0" w:lastRowFirstColumn="0" w:lastRowLastColumn="0"/>
              <w:rPr>
                <w:rFonts w:ascii="Verdana" w:hAnsi="Verdana" w:eastAsia="Times New Roman" w:cs="Times New Roman"/>
                <w:color w:val="000000"/>
                <w:sz w:val="18"/>
                <w:szCs w:val="18"/>
                <w:lang w:eastAsia="es-CO"/>
              </w:rPr>
            </w:pPr>
            <w:r w:rsidRPr="00220280">
              <w:rPr>
                <w:rFonts w:ascii="Verdana" w:hAnsi="Verdana" w:eastAsia="Times New Roman" w:cs="Times New Roman"/>
                <w:color w:val="000000"/>
                <w:sz w:val="18"/>
                <w:szCs w:val="18"/>
                <w:lang w:eastAsia="es-CO"/>
              </w:rPr>
              <w:t>Ampliación hacia adultos con mayor experiencia laboral</w:t>
            </w:r>
          </w:p>
        </w:tc>
      </w:tr>
      <w:tr w:rsidRPr="00220280" w:rsidR="00D511B2" w:rsidTr="180099B3" w14:paraId="36CBD305" w14:textId="77777777">
        <w:trPr>
          <w:trHeight w:val="641"/>
        </w:trPr>
        <w:tc>
          <w:tcPr>
            <w:cnfStyle w:val="001000000000" w:firstRow="0" w:lastRow="0" w:firstColumn="1" w:lastColumn="0" w:oddVBand="0" w:evenVBand="0" w:oddHBand="0" w:evenHBand="0" w:firstRowFirstColumn="0" w:firstRowLastColumn="0" w:lastRowFirstColumn="0" w:lastRowLastColumn="0"/>
            <w:tcW w:w="820" w:type="dxa"/>
            <w:shd w:val="clear" w:color="auto" w:fill="FFFFFF" w:themeFill="background1"/>
            <w:vAlign w:val="center"/>
            <w:hideMark/>
          </w:tcPr>
          <w:p w:rsidRPr="00220280" w:rsidR="00D511B2" w:rsidP="00E34FD8" w:rsidRDefault="00D511B2" w14:paraId="5190D198" w14:textId="77777777">
            <w:pPr>
              <w:jc w:val="right"/>
              <w:rPr>
                <w:rFonts w:ascii="Verdana" w:hAnsi="Verdana" w:eastAsia="Times New Roman" w:cs="Times New Roman"/>
                <w:b w:val="0"/>
                <w:bCs w:val="0"/>
                <w:color w:val="000000"/>
                <w:sz w:val="18"/>
                <w:szCs w:val="18"/>
                <w:lang w:eastAsia="es-CO"/>
              </w:rPr>
            </w:pPr>
            <w:r w:rsidRPr="00220280">
              <w:rPr>
                <w:rFonts w:ascii="Verdana" w:hAnsi="Verdana" w:eastAsia="Times New Roman" w:cs="Times New Roman"/>
                <w:b w:val="0"/>
                <w:bCs w:val="0"/>
                <w:color w:val="000000"/>
                <w:sz w:val="18"/>
                <w:szCs w:val="18"/>
                <w:lang w:eastAsia="es-CO"/>
              </w:rPr>
              <w:t>2025</w:t>
            </w:r>
          </w:p>
        </w:tc>
        <w:tc>
          <w:tcPr>
            <w:tcW w:w="1769" w:type="dxa"/>
            <w:shd w:val="clear" w:color="auto" w:fill="FFFFFF" w:themeFill="background1"/>
            <w:vAlign w:val="center"/>
            <w:hideMark/>
          </w:tcPr>
          <w:p w:rsidRPr="00220280" w:rsidR="00D511B2" w:rsidP="00E34FD8" w:rsidRDefault="00D511B2" w14:paraId="3BC5916E" w14:textId="77777777">
            <w:pPr>
              <w:cnfStyle w:val="000000000000" w:firstRow="0" w:lastRow="0" w:firstColumn="0" w:lastColumn="0" w:oddVBand="0" w:evenVBand="0" w:oddHBand="0" w:evenHBand="0" w:firstRowFirstColumn="0" w:firstRowLastColumn="0" w:lastRowFirstColumn="0" w:lastRowLastColumn="0"/>
              <w:rPr>
                <w:rFonts w:ascii="Verdana" w:hAnsi="Verdana" w:eastAsia="Times New Roman" w:cs="Times New Roman"/>
                <w:color w:val="000000"/>
                <w:sz w:val="18"/>
                <w:szCs w:val="18"/>
                <w:lang w:eastAsia="es-CO"/>
              </w:rPr>
            </w:pPr>
            <w:r w:rsidRPr="00220280">
              <w:rPr>
                <w:rFonts w:ascii="Verdana" w:hAnsi="Verdana" w:eastAsia="Times New Roman" w:cs="Times New Roman"/>
                <w:color w:val="000000"/>
                <w:sz w:val="18"/>
                <w:szCs w:val="18"/>
                <w:lang w:eastAsia="es-CO"/>
              </w:rPr>
              <w:t>35–54 años</w:t>
            </w:r>
          </w:p>
        </w:tc>
        <w:tc>
          <w:tcPr>
            <w:tcW w:w="1454" w:type="dxa"/>
            <w:shd w:val="clear" w:color="auto" w:fill="FFFFFF" w:themeFill="background1"/>
            <w:vAlign w:val="center"/>
            <w:hideMark/>
          </w:tcPr>
          <w:p w:rsidRPr="00220280" w:rsidR="00D511B2" w:rsidP="00E34FD8" w:rsidRDefault="00D511B2" w14:paraId="2569014E" w14:textId="77777777">
            <w:pPr>
              <w:cnfStyle w:val="000000000000" w:firstRow="0" w:lastRow="0" w:firstColumn="0" w:lastColumn="0" w:oddVBand="0" w:evenVBand="0" w:oddHBand="0" w:evenHBand="0" w:firstRowFirstColumn="0" w:firstRowLastColumn="0" w:lastRowFirstColumn="0" w:lastRowLastColumn="0"/>
              <w:rPr>
                <w:rFonts w:ascii="Verdana" w:hAnsi="Verdana" w:eastAsia="Times New Roman" w:cs="Times New Roman"/>
                <w:color w:val="000000"/>
                <w:sz w:val="18"/>
                <w:szCs w:val="18"/>
                <w:lang w:eastAsia="es-CO"/>
              </w:rPr>
            </w:pPr>
            <w:r w:rsidRPr="00220280">
              <w:rPr>
                <w:rFonts w:ascii="Verdana" w:hAnsi="Verdana" w:eastAsia="Times New Roman" w:cs="Times New Roman"/>
                <w:color w:val="000000"/>
                <w:sz w:val="18"/>
                <w:szCs w:val="18"/>
                <w:lang w:eastAsia="es-CO"/>
              </w:rPr>
              <w:t>68,50%</w:t>
            </w:r>
          </w:p>
        </w:tc>
        <w:tc>
          <w:tcPr>
            <w:tcW w:w="4831" w:type="dxa"/>
            <w:shd w:val="clear" w:color="auto" w:fill="FFFFFF" w:themeFill="background1"/>
            <w:vAlign w:val="center"/>
            <w:hideMark/>
          </w:tcPr>
          <w:p w:rsidRPr="00220280" w:rsidR="00D511B2" w:rsidP="00E34FD8" w:rsidRDefault="00D511B2" w14:paraId="4863C6BB" w14:textId="77777777">
            <w:pPr>
              <w:cnfStyle w:val="000000000000" w:firstRow="0" w:lastRow="0" w:firstColumn="0" w:lastColumn="0" w:oddVBand="0" w:evenVBand="0" w:oddHBand="0" w:evenHBand="0" w:firstRowFirstColumn="0" w:firstRowLastColumn="0" w:lastRowFirstColumn="0" w:lastRowLastColumn="0"/>
              <w:rPr>
                <w:rFonts w:ascii="Verdana" w:hAnsi="Verdana" w:eastAsia="Times New Roman" w:cs="Times New Roman"/>
                <w:color w:val="000000"/>
                <w:sz w:val="18"/>
                <w:szCs w:val="18"/>
                <w:lang w:eastAsia="es-CO"/>
              </w:rPr>
            </w:pPr>
            <w:r w:rsidRPr="00220280">
              <w:rPr>
                <w:rFonts w:ascii="Verdana" w:hAnsi="Verdana" w:eastAsia="Times New Roman" w:cs="Times New Roman"/>
                <w:color w:val="000000"/>
                <w:sz w:val="18"/>
                <w:szCs w:val="18"/>
                <w:lang w:eastAsia="es-CO"/>
              </w:rPr>
              <w:t>Alta concentración en población económicamente activa consolidada</w:t>
            </w:r>
          </w:p>
        </w:tc>
      </w:tr>
    </w:tbl>
    <w:p w:rsidRPr="00220280" w:rsidR="00D511B2" w:rsidP="00E34FD8" w:rsidRDefault="00D511B2" w14:paraId="446B2D8C"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line="240" w:lineRule="auto"/>
        <w:jc w:val="center"/>
        <w:rPr>
          <w:rFonts w:ascii="Verdana" w:hAnsi="Verdana"/>
          <w:sz w:val="18"/>
          <w:szCs w:val="18"/>
        </w:rPr>
      </w:pPr>
      <w:r w:rsidRPr="00220280">
        <w:rPr>
          <w:rFonts w:ascii="Verdana" w:hAnsi="Verdana"/>
          <w:sz w:val="18"/>
          <w:szCs w:val="18"/>
        </w:rPr>
        <w:t>Fuente: Elaboración propia a partir de los resultados del informe de caracterización de grupos de valor e interés</w:t>
      </w:r>
    </w:p>
    <w:p w:rsidR="00220280" w:rsidP="00220280" w:rsidRDefault="00220280" w14:paraId="5EBF3FAE" w14:textId="77777777">
      <w:pPr>
        <w:spacing w:after="0" w:line="360" w:lineRule="auto"/>
        <w:jc w:val="both"/>
        <w:rPr>
          <w:rFonts w:ascii="Verdana" w:hAnsi="Verdana"/>
          <w:sz w:val="24"/>
          <w:szCs w:val="24"/>
        </w:rPr>
      </w:pPr>
    </w:p>
    <w:p w:rsidRPr="00C140A0" w:rsidR="00D511B2" w:rsidP="00220280" w:rsidRDefault="00D511B2" w14:paraId="69FADEA9" w14:textId="77777777">
      <w:pPr>
        <w:spacing w:after="0" w:line="360" w:lineRule="auto"/>
        <w:jc w:val="both"/>
        <w:rPr>
          <w:rFonts w:ascii="Verdana" w:hAnsi="Verdana"/>
          <w:sz w:val="24"/>
          <w:szCs w:val="24"/>
        </w:rPr>
      </w:pPr>
      <w:r w:rsidRPr="00C140A0">
        <w:rPr>
          <w:rFonts w:ascii="Verdana" w:hAnsi="Verdana"/>
          <w:noProof/>
        </w:rPr>
        <mc:AlternateContent>
          <mc:Choice Requires="wps">
            <w:drawing>
              <wp:anchor distT="0" distB="0" distL="114300" distR="114300" simplePos="0" relativeHeight="251658249" behindDoc="0" locked="0" layoutInCell="1" allowOverlap="1" wp14:anchorId="244E27AC" wp14:editId="6554C673">
                <wp:simplePos x="0" y="0"/>
                <wp:positionH relativeFrom="margin">
                  <wp:posOffset>2849245</wp:posOffset>
                </wp:positionH>
                <wp:positionV relativeFrom="paragraph">
                  <wp:posOffset>106708</wp:posOffset>
                </wp:positionV>
                <wp:extent cx="3288665" cy="340995"/>
                <wp:effectExtent l="0" t="0" r="6985" b="1905"/>
                <wp:wrapSquare wrapText="bothSides"/>
                <wp:docPr id="1963787462" name="Cuadro de texto 1"/>
                <wp:cNvGraphicFramePr/>
                <a:graphic xmlns:a="http://schemas.openxmlformats.org/drawingml/2006/main">
                  <a:graphicData uri="http://schemas.microsoft.com/office/word/2010/wordprocessingShape">
                    <wps:wsp>
                      <wps:cNvSpPr/>
                      <wps:spPr>
                        <a:xfrm>
                          <a:off x="0" y="0"/>
                          <a:ext cx="3288665" cy="340995"/>
                        </a:xfrm>
                        <a:prstGeom prst="rect">
                          <a:avLst/>
                        </a:prstGeom>
                        <a:solidFill>
                          <a:srgbClr val="FFFFFF"/>
                        </a:solidFill>
                        <a:ln>
                          <a:noFill/>
                        </a:ln>
                      </wps:spPr>
                      <wps:txbx>
                        <w:txbxContent>
                          <w:p w:rsidRPr="002905E0" w:rsidR="009512C7" w:rsidRDefault="000D11CF" w14:paraId="594775D3" w14:textId="77777777">
                            <w:pPr>
                              <w:spacing w:line="276" w:lineRule="auto"/>
                              <w:jc w:val="center"/>
                              <w:rPr>
                                <w:rFonts w:ascii="Verdana" w:hAnsi="Verdana" w:eastAsia="Verdana"/>
                                <w:kern w:val="0"/>
                                <w:sz w:val="18"/>
                                <w:szCs w:val="18"/>
                                <w14:ligatures w14:val="none"/>
                              </w:rPr>
                            </w:pPr>
                            <w:r w:rsidRPr="002905E0">
                              <w:rPr>
                                <w:rFonts w:ascii="Verdana" w:hAnsi="Verdana" w:eastAsia="Verdana"/>
                                <w:sz w:val="18"/>
                                <w:szCs w:val="18"/>
                              </w:rPr>
                              <w:t>Imagen No.8. Evolución de la Participación por Género</w:t>
                            </w:r>
                          </w:p>
                        </w:txbxContent>
                      </wps:txbx>
                      <wps:bodyPr spcFirstLastPara="0" wrap="square" lIns="0" tIns="0" rIns="0" bIns="0" anchor="t">
                        <a:noAutofit/>
                      </wps:bodyPr>
                    </wps:wsp>
                  </a:graphicData>
                </a:graphic>
                <wp14:sizeRelH relativeFrom="margin">
                  <wp14:pctWidth>0</wp14:pctWidth>
                </wp14:sizeRelH>
                <wp14:sizeRelV relativeFrom="margin">
                  <wp14:pctHeight>0</wp14:pctHeight>
                </wp14:sizeRelV>
              </wp:anchor>
            </w:drawing>
          </mc:Choice>
          <mc:Fallback>
            <w:pict w14:anchorId="4C190C36">
              <v:rect id="_x0000_s1034" style="position:absolute;left:0;text-align:left;margin-left:224.35pt;margin-top:8.4pt;width:258.95pt;height:26.85pt;z-index:25165824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stroked="f" w14:anchorId="244E27A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zhBtgEAAGADAAAOAAAAZHJzL2Uyb0RvYy54bWysU9tu2zAMfR+wfxD0vthN1yA14hTDigwD&#10;ii1Atw+QZTkWIIsaqcTO349Sbru8DfMDTVHUEc8htXqaBicOBsmCr+XdrJTCeA2t9btafv+2ebeU&#10;gqLyrXLgTS2PhuTT+u2b1RgqM4ceXGtQMIinagy17GMMVVGQ7s2gaAbBeN7sAAcVeYm7okU1Mvrg&#10;inlZLooRsA0I2hBx9Pm0KdcZv+uMjl+7jkwUrpZcW8wWs22SLdYrVe1Qhd7qcxnqH6oYlPV86RXq&#10;WUUl9mj/ghqsRiDo4kzDUEDXWW0yB2ZzV/7B5rVXwWQuLA6Fq0z0/2D1l8Nr2CLLMAaqiN3EYupw&#10;SH+uT0xZrONVLDNFoTl4P18uF4sHKTTv3b8vHx8fkprF7XRAip8MDCI5tURuRtZIHV4onlIvKeky&#10;AmfbjXUuL3DXfHQoDoobt8nfGf23NOdTsod07ISYIsWNS/Li1EzCtrVcJogUaaA9blFQ0BvLtb0o&#10;iluF3HgekZGHoZb0Y6/QSOE+e1Y7Tc7FwYvTXBzldQ88Uyd2Hj7sI3Q2M7xddq6K25g1Oo9cmpNf&#10;1znr9jDWPwEAAP//AwBQSwMEFAAGAAgAAAAhAOKc+xXcAAAACQEAAA8AAABkcnMvZG93bnJldi54&#10;bWxMj8tOwzAQRfdI/IM1SOyoU1TSEuJUiIe6JoDYuvEQB+xxFDut4esZVrAc3aM759bb7J044BSH&#10;QAqWiwIEUhfMQL2Cl+fHiw2ImDQZ7QKhgi+MsG1OT2pdmXCkJzy0qRdcQrHSCmxKYyVl7Cx6HRdh&#10;ROLsPUxeJz6nXppJH7ncO3lZFKX0eiD+YPWIdxa7z3b2CnbL+4fxQ363eucSzq82d+4tK3V+lm9v&#10;QCTM6Q+GX31Wh4ad9mEmE4VTsFpt1oxyUPIEBq7LsgSxV7AurkA2tfy/oPkBAAD//wMAUEsBAi0A&#10;FAAGAAgAAAAhALaDOJL+AAAA4QEAABMAAAAAAAAAAAAAAAAAAAAAAFtDb250ZW50X1R5cGVzXS54&#10;bWxQSwECLQAUAAYACAAAACEAOP0h/9YAAACUAQAACwAAAAAAAAAAAAAAAAAvAQAAX3JlbHMvLnJl&#10;bHNQSwECLQAUAAYACAAAACEAIbs4QbYBAABgAwAADgAAAAAAAAAAAAAAAAAuAgAAZHJzL2Uyb0Rv&#10;Yy54bWxQSwECLQAUAAYACAAAACEA4pz7FdwAAAAJAQAADwAAAAAAAAAAAAAAAAAQBAAAZHJzL2Rv&#10;d25yZXYueG1sUEsFBgAAAAAEAAQA8wAAABkFAAAAAA==&#10;">
                <v:textbox inset="0,0,0,0">
                  <w:txbxContent>
                    <w:p w:rsidRPr="002905E0" w:rsidR="009512C7" w:rsidRDefault="000D11CF" w14:paraId="18EFDA2D" w14:textId="77777777">
                      <w:pPr>
                        <w:spacing w:line="276" w:lineRule="auto"/>
                        <w:jc w:val="center"/>
                        <w:rPr>
                          <w:rFonts w:ascii="Verdana" w:hAnsi="Verdana" w:eastAsia="Verdana"/>
                          <w:kern w:val="0"/>
                          <w:sz w:val="18"/>
                          <w:szCs w:val="18"/>
                          <w14:ligatures w14:val="none"/>
                        </w:rPr>
                      </w:pPr>
                      <w:r w:rsidRPr="002905E0">
                        <w:rPr>
                          <w:rFonts w:ascii="Verdana" w:hAnsi="Verdana" w:eastAsia="Verdana"/>
                          <w:sz w:val="18"/>
                          <w:szCs w:val="18"/>
                        </w:rPr>
                        <w:t>Imagen No.8. Evolución de la Participación por Género</w:t>
                      </w:r>
                    </w:p>
                  </w:txbxContent>
                </v:textbox>
                <w10:wrap type="square" anchorx="margin"/>
              </v:rect>
            </w:pict>
          </mc:Fallback>
        </mc:AlternateContent>
      </w:r>
      <w:r w:rsidRPr="00C140A0">
        <w:rPr>
          <w:rFonts w:ascii="Verdana" w:hAnsi="Verdana"/>
          <w:noProof/>
          <w:sz w:val="24"/>
          <w:szCs w:val="24"/>
        </w:rPr>
        <w:drawing>
          <wp:anchor distT="0" distB="0" distL="114300" distR="114300" simplePos="0" relativeHeight="251658250" behindDoc="0" locked="0" layoutInCell="1" allowOverlap="1" wp14:anchorId="004E293C" wp14:editId="51909526">
            <wp:simplePos x="0" y="0"/>
            <wp:positionH relativeFrom="margin">
              <wp:align>right</wp:align>
            </wp:positionH>
            <wp:positionV relativeFrom="paragraph">
              <wp:posOffset>349250</wp:posOffset>
            </wp:positionV>
            <wp:extent cx="2925445" cy="1867535"/>
            <wp:effectExtent l="0" t="0" r="8255" b="0"/>
            <wp:wrapSquare wrapText="bothSides"/>
            <wp:docPr id="1708276639" name="Imagen 4">
              <a:extLst xmlns:a="http://schemas.openxmlformats.org/drawingml/2006/main">
                <a:ext uri="{FF2B5EF4-FFF2-40B4-BE49-F238E27FC236}">
                  <a16:creationId xmlns:a16="http://schemas.microsoft.com/office/drawing/2014/main" id="{A450A7DB-5B67-A690-1478-89843BAD90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4">
                      <a:extLst>
                        <a:ext uri="{FF2B5EF4-FFF2-40B4-BE49-F238E27FC236}">
                          <a16:creationId xmlns:a16="http://schemas.microsoft.com/office/drawing/2014/main" id="{A450A7DB-5B67-A690-1478-89843BAD9044}"/>
                        </a:ext>
                      </a:extLst>
                    </pic:cNvPr>
                    <pic:cNvPicPr>
                      <a:picLocks noChangeAspect="1" noChangeArrowheads="1"/>
                    </pic:cNvPicPr>
                  </pic:nvPicPr>
                  <pic:blipFill rotWithShape="1">
                    <a:blip r:embed="rId24">
                      <a:extLst>
                        <a:ext uri="{28A0092B-C50C-407E-A947-70E740481C1C}">
                          <a14:useLocalDpi xmlns:a14="http://schemas.microsoft.com/office/drawing/2010/main" val="0"/>
                        </a:ext>
                      </a:extLst>
                    </a:blip>
                    <a:srcRect t="5591"/>
                    <a:stretch>
                      <a:fillRect/>
                    </a:stretch>
                  </pic:blipFill>
                  <pic:spPr bwMode="auto">
                    <a:xfrm>
                      <a:off x="0" y="0"/>
                      <a:ext cx="2925445" cy="18675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140A0">
        <w:rPr>
          <w:rFonts w:ascii="Verdana" w:hAnsi="Verdana"/>
          <w:noProof/>
          <w:sz w:val="24"/>
          <w:szCs w:val="24"/>
        </w:rPr>
        <mc:AlternateContent>
          <mc:Choice Requires="wps">
            <w:drawing>
              <wp:anchor distT="0" distB="0" distL="114300" distR="114300" simplePos="0" relativeHeight="251658251" behindDoc="1" locked="0" layoutInCell="1" allowOverlap="1" wp14:anchorId="32B6AF0B" wp14:editId="256611DD">
                <wp:simplePos x="0" y="0"/>
                <wp:positionH relativeFrom="margin">
                  <wp:align>right</wp:align>
                </wp:positionH>
                <wp:positionV relativeFrom="paragraph">
                  <wp:posOffset>2176780</wp:posOffset>
                </wp:positionV>
                <wp:extent cx="2893060" cy="452755"/>
                <wp:effectExtent l="0" t="0" r="2540" b="4445"/>
                <wp:wrapTight wrapText="bothSides">
                  <wp:wrapPolygon edited="0">
                    <wp:start x="0" y="0"/>
                    <wp:lineTo x="0" y="20903"/>
                    <wp:lineTo x="21477" y="20903"/>
                    <wp:lineTo x="21477" y="0"/>
                    <wp:lineTo x="0" y="0"/>
                  </wp:wrapPolygon>
                </wp:wrapTight>
                <wp:docPr id="1334764949" name="Cuadro de texto 2"/>
                <wp:cNvGraphicFramePr/>
                <a:graphic xmlns:a="http://schemas.openxmlformats.org/drawingml/2006/main">
                  <a:graphicData uri="http://schemas.microsoft.com/office/word/2010/wordprocessingShape">
                    <wps:wsp>
                      <wps:cNvSpPr txBox="1"/>
                      <wps:spPr>
                        <a:xfrm>
                          <a:off x="0" y="0"/>
                          <a:ext cx="2893060" cy="452755"/>
                        </a:xfrm>
                        <a:prstGeom prst="rect">
                          <a:avLst/>
                        </a:prstGeom>
                        <a:solidFill>
                          <a:schemeClr val="lt1"/>
                        </a:solidFill>
                        <a:ln w="6350">
                          <a:noFill/>
                        </a:ln>
                      </wps:spPr>
                      <wps:txbx>
                        <w:txbxContent>
                          <w:p w:rsidRPr="00822239" w:rsidR="00D511B2" w:rsidP="00D511B2" w:rsidRDefault="00D511B2" w14:paraId="3A597F86"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jc w:val="center"/>
                              <w:rPr>
                                <w:sz w:val="14"/>
                                <w:szCs w:val="14"/>
                              </w:rPr>
                            </w:pPr>
                            <w:r w:rsidRPr="00822239">
                              <w:rPr>
                                <w:b/>
                                <w:bCs/>
                                <w:sz w:val="14"/>
                                <w:szCs w:val="14"/>
                              </w:rPr>
                              <w:t>Fuente:</w:t>
                            </w:r>
                            <w:r w:rsidRPr="00822239">
                              <w:rPr>
                                <w:sz w:val="14"/>
                                <w:szCs w:val="14"/>
                              </w:rPr>
                              <w:t xml:space="preserve"> Elaboración propia a partir de los resultados del informe de caracterización de grupos de valor e interés </w:t>
                            </w:r>
                          </w:p>
                          <w:p w:rsidRPr="00AD1036" w:rsidR="00D511B2" w:rsidP="00D511B2" w:rsidRDefault="00D511B2" w14:paraId="167E0143" w14:textId="77777777">
                            <w:pPr>
                              <w:rPr>
                                <w:sz w:val="12"/>
                                <w:szCs w:val="12"/>
                              </w:rPr>
                            </w:pPr>
                          </w:p>
                          <w:p w:rsidRPr="00AD1036" w:rsidR="00D511B2" w:rsidP="00D511B2" w:rsidRDefault="00D511B2" w14:paraId="7B03290C" w14:textId="77777777">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B4D2892">
              <v:shape id="_x0000_s1035" style="position:absolute;left:0;text-align:left;margin-left:176.6pt;margin-top:171.4pt;width:227.8pt;height:35.65pt;z-index:-251658229;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LgKcMQIAAFsEAAAOAAAAZHJzL2Uyb0RvYy54bWysVFFv2jAQfp+0/2D5fSRQoCUiVIyKaRJq&#10;K9Gpz8axwZLj82xDwn79zg5Q2u1p2otz5zt/vvvuc6b3ba3JQTivwJS038spEYZDpcy2pD9ell/u&#10;KPGBmYppMKKkR+Hp/ezzp2ljCzGAHehKOIIgxheNLekuBFtkmec7UTPfAysMBiW4mgV03TarHGsQ&#10;vdbZIM/HWQOusg648B53H7ognSV8KQUPT1J6EYguKdYW0urSuolrNpuyYuuY3Sl+KoP9QxU1UwYv&#10;vUA9sMDI3qk/oGrFHXiQocehzkBKxUXqAbvp5x+6We+YFakXJMfbC03+/8Hyx8PaPjsS2q/Q4gAj&#10;IY31hcfN2E8rXR2/WCnBOFJ4vNAm2kA4bg7uJjf5GEMcY8PR4HY0ijDZ22nrfPgmoCbRKKnDsSS2&#10;2GHlQ5d6TomXedCqWiqtkxOlIBbakQPDIeqQakTwd1nakKak45tRnoANxOMdsjZYy1tP0QrtpiWq&#10;Kunk3O8GqiPS4KBTiLd8qbDWFfPhmTmUBLaHMg9PuEgNeBecLEp24H79bT/m46QwSkmDEiup/7ln&#10;TlCivxuc4aQ/HEZNJmc4uh2g464jm+uI2dcLQAL6+KAsT2bMD/psSgf1K76GebwVQ8xwvLuk4Wwu&#10;Qid8fE1czOcpCVVoWViZteUROhIeJ/HSvjJnT+MKOOhHOIuRFR+m1uXGkwbm+wBSpZFGnjtWT/Sj&#10;gpMoTq8tPpFrP2W9/RNmvwEAAP//AwBQSwMEFAAGAAgAAAAhACRLc/HgAAAACAEAAA8AAABkcnMv&#10;ZG93bnJldi54bWxMj01PhDAQhu8m/odmTLwYt7DAapCyMcaPZG8ufsRbl45ApFNCu4D/3vGkt5m8&#10;k3eep9guthcTjr5zpCBeRSCQamc6ahS8VA+X1yB80GR07wgVfKOHbXl6UujcuJmecdqHRnAJ+Vwr&#10;aEMYcil93aLVfuUGJM4+3Wh14HVspBn1zOW2l+so2kirO+IPrR7wrsX6a3+0Cj4umvedXx5f5yRL&#10;hvunqbp6M5VS52fL7Q2IgEv4O4ZffEaHkpkO7kjGi14BiwQFSbpmAY7TLNuAOPAQpzHIspD/Bcof&#10;AAAA//8DAFBLAQItABQABgAIAAAAIQC2gziS/gAAAOEBAAATAAAAAAAAAAAAAAAAAAAAAABbQ29u&#10;dGVudF9UeXBlc10ueG1sUEsBAi0AFAAGAAgAAAAhADj9If/WAAAAlAEAAAsAAAAAAAAAAAAAAAAA&#10;LwEAAF9yZWxzLy5yZWxzUEsBAi0AFAAGAAgAAAAhADouApwxAgAAWwQAAA4AAAAAAAAAAAAAAAAA&#10;LgIAAGRycy9lMm9Eb2MueG1sUEsBAi0AFAAGAAgAAAAhACRLc/HgAAAACAEAAA8AAAAAAAAAAAAA&#10;AAAAiwQAAGRycy9kb3ducmV2LnhtbFBLBQYAAAAABAAEAPMAAACYBQAAAAA=&#10;" w14:anchorId="32B6AF0B">
                <v:textbox>
                  <w:txbxContent>
                    <w:p w:rsidRPr="00822239" w:rsidR="00D511B2" w:rsidP="00D511B2" w:rsidRDefault="00D511B2" w14:paraId="0C189BD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jc w:val="center"/>
                        <w:rPr>
                          <w:sz w:val="14"/>
                          <w:szCs w:val="14"/>
                        </w:rPr>
                      </w:pPr>
                      <w:r w:rsidRPr="00822239">
                        <w:rPr>
                          <w:b/>
                          <w:bCs/>
                          <w:sz w:val="14"/>
                          <w:szCs w:val="14"/>
                        </w:rPr>
                        <w:t>Fuente:</w:t>
                      </w:r>
                      <w:r w:rsidRPr="00822239">
                        <w:rPr>
                          <w:sz w:val="14"/>
                          <w:szCs w:val="14"/>
                        </w:rPr>
                        <w:t xml:space="preserve"> Elaboración propia a partir de los resultados del informe de caracterización de grupos de valor e interés </w:t>
                      </w:r>
                    </w:p>
                    <w:p w:rsidRPr="00AD1036" w:rsidR="00D511B2" w:rsidP="00D511B2" w:rsidRDefault="00D511B2" w14:paraId="5A39BBE3" w14:textId="77777777">
                      <w:pPr>
                        <w:rPr>
                          <w:sz w:val="12"/>
                          <w:szCs w:val="12"/>
                        </w:rPr>
                      </w:pPr>
                    </w:p>
                    <w:p w:rsidRPr="00AD1036" w:rsidR="00D511B2" w:rsidP="00D511B2" w:rsidRDefault="00D511B2" w14:paraId="41C8F396" w14:textId="77777777">
                      <w:pPr>
                        <w:rPr>
                          <w:sz w:val="16"/>
                          <w:szCs w:val="16"/>
                        </w:rPr>
                      </w:pPr>
                    </w:p>
                  </w:txbxContent>
                </v:textbox>
                <w10:wrap type="tight" anchorx="margin"/>
              </v:shape>
            </w:pict>
          </mc:Fallback>
        </mc:AlternateContent>
      </w:r>
      <w:r w:rsidRPr="00C140A0" w:rsidR="58DA5965">
        <w:rPr>
          <w:rFonts w:ascii="Verdana" w:hAnsi="Verdana"/>
          <w:sz w:val="24"/>
          <w:szCs w:val="24"/>
        </w:rPr>
        <w:t>En relación con el género, se observa una evolución relevante: mientras que entre 2022 y 2024 predominaba la participación masculina (hasta 56,4% en 2024), en 2025 se presenta un cambio significativo hacia una mayor participación femenina, alcanzando más del 55% en el primer semestre y cerca del 63% en el segundo semestre. Este cambio sugiere una mayor apropiación de los servicios institucionales por parte de las mujeres y la consolidación de procesos más inclusivos.</w:t>
      </w:r>
    </w:p>
    <w:p w:rsidR="00220280" w:rsidP="00220280" w:rsidRDefault="00220280" w14:paraId="583CDB2D" w14:textId="77777777">
      <w:pPr>
        <w:spacing w:after="0" w:line="360" w:lineRule="auto"/>
        <w:jc w:val="both"/>
        <w:rPr>
          <w:rFonts w:ascii="Verdana" w:hAnsi="Verdana"/>
          <w:sz w:val="24"/>
          <w:szCs w:val="24"/>
        </w:rPr>
      </w:pPr>
    </w:p>
    <w:p w:rsidRPr="00C140A0" w:rsidR="00D511B2" w:rsidP="00220280" w:rsidRDefault="58DA5965" w14:paraId="31B128C3" w14:textId="3CDDB41C">
      <w:pPr>
        <w:spacing w:after="0" w:line="360" w:lineRule="auto"/>
        <w:jc w:val="both"/>
        <w:rPr>
          <w:rFonts w:ascii="Verdana" w:hAnsi="Verdana"/>
          <w:sz w:val="24"/>
          <w:szCs w:val="24"/>
        </w:rPr>
      </w:pPr>
      <w:r w:rsidRPr="30CF4445" w:rsidR="599A47F3">
        <w:rPr>
          <w:rFonts w:ascii="Verdana" w:hAnsi="Verdana"/>
          <w:sz w:val="24"/>
          <w:szCs w:val="24"/>
        </w:rPr>
        <w:t xml:space="preserve">Durante el periodo comprendido entre enero y marzo de 2026 </w:t>
      </w:r>
      <w:r w:rsidRPr="30CF4445" w:rsidR="08D9FF7B">
        <w:rPr>
          <w:rFonts w:ascii="Verdana" w:hAnsi="Verdana"/>
          <w:sz w:val="24"/>
          <w:szCs w:val="24"/>
        </w:rPr>
        <w:t>se ha</w:t>
      </w:r>
      <w:r w:rsidRPr="30CF4445" w:rsidR="24AED2F5">
        <w:rPr>
          <w:rFonts w:ascii="Verdana" w:hAnsi="Verdana"/>
          <w:sz w:val="24"/>
          <w:szCs w:val="24"/>
        </w:rPr>
        <w:t xml:space="preserve"> </w:t>
      </w:r>
      <w:r w:rsidRPr="30CF4445" w:rsidR="599A47F3">
        <w:rPr>
          <w:rFonts w:ascii="Verdana" w:hAnsi="Verdana"/>
          <w:sz w:val="24"/>
          <w:szCs w:val="24"/>
        </w:rPr>
        <w:t>registrado un total de 2.297 ciudadanos caracterizados.</w:t>
      </w:r>
      <w:r w:rsidRPr="30CF4445" w:rsidR="599A47F3">
        <w:rPr>
          <w:rFonts w:ascii="Verdana" w:hAnsi="Verdana"/>
          <w:sz w:val="24"/>
          <w:szCs w:val="24"/>
        </w:rPr>
        <w:t xml:space="preserve"> En relación con el tipo de persona, se evidenció una participación ampliamente mayoritaria de personas naturales, con 2.258 registros correspondientes al 98,3</w:t>
      </w:r>
      <w:r w:rsidRPr="30CF4445" w:rsidR="459C3449">
        <w:rPr>
          <w:rFonts w:ascii="Verdana" w:hAnsi="Verdana"/>
          <w:sz w:val="24"/>
          <w:szCs w:val="24"/>
        </w:rPr>
        <w:t xml:space="preserve"> </w:t>
      </w:r>
      <w:r w:rsidRPr="30CF4445" w:rsidR="599A47F3">
        <w:rPr>
          <w:rFonts w:ascii="Verdana" w:hAnsi="Verdana"/>
          <w:sz w:val="24"/>
          <w:szCs w:val="24"/>
        </w:rPr>
        <w:t xml:space="preserve">% del total, mientras que las personas jurídicas representaron </w:t>
      </w:r>
      <w:r w:rsidRPr="30CF4445" w:rsidR="599A47F3">
        <w:rPr>
          <w:rFonts w:ascii="Verdana" w:hAnsi="Verdana"/>
          <w:sz w:val="24"/>
          <w:szCs w:val="24"/>
        </w:rPr>
        <w:t>únicamente 39 registros, equivalentes al 1,7</w:t>
      </w:r>
      <w:r w:rsidRPr="30CF4445" w:rsidR="25BC5B0D">
        <w:rPr>
          <w:rFonts w:ascii="Verdana" w:hAnsi="Verdana"/>
          <w:sz w:val="24"/>
          <w:szCs w:val="24"/>
        </w:rPr>
        <w:t xml:space="preserve"> </w:t>
      </w:r>
      <w:r w:rsidRPr="30CF4445" w:rsidR="599A47F3">
        <w:rPr>
          <w:rFonts w:ascii="Verdana" w:hAnsi="Verdana"/>
          <w:sz w:val="24"/>
          <w:szCs w:val="24"/>
        </w:rPr>
        <w:t>%. Esto refleja que la estrategia de caracterización tuvo un alcance principalmente orientado hacia ciudadanos y usuarios individuales.</w:t>
      </w:r>
    </w:p>
    <w:p w:rsidR="180099B3" w:rsidP="180099B3" w:rsidRDefault="180099B3" w14:paraId="74758B64" w14:textId="77777777">
      <w:pPr>
        <w:spacing w:after="0" w:line="360" w:lineRule="auto"/>
        <w:jc w:val="both"/>
        <w:rPr>
          <w:rFonts w:ascii="Verdana" w:hAnsi="Verdana"/>
          <w:sz w:val="24"/>
          <w:szCs w:val="24"/>
        </w:rPr>
      </w:pPr>
    </w:p>
    <w:p w:rsidRPr="00C140A0" w:rsidR="00D511B2" w:rsidP="00220280" w:rsidRDefault="00D511B2" w14:paraId="5C717144" w14:textId="77777777">
      <w:pPr>
        <w:spacing w:after="0" w:line="360" w:lineRule="auto"/>
        <w:jc w:val="both"/>
        <w:rPr>
          <w:rFonts w:ascii="Verdana" w:hAnsi="Verdana"/>
          <w:sz w:val="24"/>
          <w:szCs w:val="24"/>
        </w:rPr>
      </w:pPr>
      <w:r w:rsidRPr="00C140A0">
        <w:rPr>
          <w:rFonts w:ascii="Verdana" w:hAnsi="Verdana"/>
          <w:sz w:val="24"/>
          <w:szCs w:val="24"/>
        </w:rPr>
        <w:t>Respecto a la variable de género, la participación femenina fue predominante, con 1.449 registros que corresponden al 63,1 % del total de caracterizaciones realizadas. Por su parte, el género masculino registró 804 participaciones, equivalentes al 35,0 %, mientras que 44 registros (1,9 %) no reportaron información en esta variable. Estos resultados permiten identificar una mayor interacción y participación de mujeres dentro de los procesos de atención y caracterización desarrollados durante el trimestre analizado.</w:t>
      </w:r>
    </w:p>
    <w:p w:rsidR="00220280" w:rsidP="00220280" w:rsidRDefault="00220280" w14:paraId="071313F3" w14:textId="77777777">
      <w:pPr>
        <w:spacing w:after="0" w:line="360" w:lineRule="auto"/>
        <w:jc w:val="both"/>
        <w:rPr>
          <w:rFonts w:ascii="Verdana" w:hAnsi="Verdana"/>
          <w:sz w:val="24"/>
          <w:szCs w:val="24"/>
        </w:rPr>
      </w:pPr>
    </w:p>
    <w:p w:rsidRPr="00C140A0" w:rsidR="00D511B2" w:rsidP="00220280" w:rsidRDefault="00D511B2" w14:paraId="01F10761" w14:textId="77777777">
      <w:pPr>
        <w:spacing w:after="0" w:line="360" w:lineRule="auto"/>
        <w:jc w:val="both"/>
        <w:rPr>
          <w:rFonts w:ascii="Verdana" w:hAnsi="Verdana"/>
          <w:sz w:val="24"/>
          <w:szCs w:val="24"/>
        </w:rPr>
      </w:pPr>
      <w:r w:rsidRPr="00C140A0">
        <w:rPr>
          <w:rFonts w:ascii="Verdana" w:hAnsi="Verdana"/>
          <w:sz w:val="24"/>
          <w:szCs w:val="24"/>
        </w:rPr>
        <w:t>En cuanto al rango de edad, la población entre 35 y 44 años concentró la mayor participación con 1.244 registros, representando el 54,2 % del total. Le siguieron las personas entre 45 y 54 años con el 21,4 % y aquellas entre 25 y 34 años con el 15,5 %. Los demás rangos etarios presentaron participaciones menores: entre 55 y 64 años (4,3 %), personas de 65 años o más (1,5 %), jóvenes entre 19 y 24 años (1,2 %) y adolescentes entre 12 y 18 años (0,1 %). Adicionalmente, el 1,9 % de los registros no reportó información relacionada con la edad.</w:t>
      </w:r>
    </w:p>
    <w:p w:rsidRPr="00C140A0" w:rsidR="00D511B2" w:rsidP="00220280" w:rsidRDefault="00D511B2" w14:paraId="16B4CD43" w14:textId="77777777">
      <w:pPr>
        <w:spacing w:after="0" w:line="360" w:lineRule="auto"/>
        <w:outlineLvl w:val="1"/>
        <w:rPr>
          <w:rFonts w:ascii="Verdana" w:hAnsi="Verdana"/>
          <w:b/>
          <w:bCs/>
          <w:sz w:val="24"/>
          <w:szCs w:val="24"/>
        </w:rPr>
      </w:pPr>
    </w:p>
    <w:p w:rsidRPr="00C140A0" w:rsidR="00A82055" w:rsidRDefault="00A82055" w14:paraId="31333F96" w14:textId="77777777">
      <w:pPr>
        <w:pStyle w:val="Prrafodelista"/>
        <w:numPr>
          <w:ilvl w:val="1"/>
          <w:numId w:val="42"/>
        </w:numPr>
        <w:spacing w:after="0" w:line="360" w:lineRule="auto"/>
        <w:outlineLvl w:val="1"/>
        <w:rPr>
          <w:rFonts w:ascii="Verdana" w:hAnsi="Verdana"/>
          <w:b/>
          <w:bCs/>
          <w:sz w:val="24"/>
          <w:szCs w:val="24"/>
        </w:rPr>
      </w:pPr>
      <w:bookmarkStart w:name="_Toc233996738" w:id="21"/>
      <w:r w:rsidRPr="00C140A0">
        <w:rPr>
          <w:rFonts w:ascii="Verdana" w:hAnsi="Verdana"/>
          <w:b/>
          <w:bCs/>
          <w:sz w:val="24"/>
          <w:szCs w:val="24"/>
        </w:rPr>
        <w:t>Canales de atención y servicio a las ciudadanías diversas</w:t>
      </w:r>
      <w:bookmarkEnd w:id="21"/>
    </w:p>
    <w:p w:rsidR="00220280" w:rsidP="00220280" w:rsidRDefault="00220280" w14:paraId="161B2979" w14:textId="77777777">
      <w:pPr>
        <w:spacing w:after="0" w:line="360" w:lineRule="auto"/>
        <w:jc w:val="both"/>
        <w:rPr>
          <w:rFonts w:ascii="Verdana" w:hAnsi="Verdana"/>
          <w:sz w:val="24"/>
          <w:szCs w:val="24"/>
        </w:rPr>
      </w:pPr>
    </w:p>
    <w:p w:rsidRPr="00C140A0" w:rsidR="00D715A5" w:rsidP="00220280" w:rsidRDefault="00D715A5" w14:paraId="2B12C17A" w14:textId="77777777">
      <w:pPr>
        <w:spacing w:after="0" w:line="360" w:lineRule="auto"/>
        <w:jc w:val="both"/>
        <w:rPr>
          <w:rFonts w:ascii="Verdana" w:hAnsi="Verdana"/>
          <w:sz w:val="24"/>
          <w:szCs w:val="24"/>
        </w:rPr>
      </w:pPr>
      <w:r w:rsidRPr="00C140A0">
        <w:rPr>
          <w:rFonts w:ascii="Verdana" w:hAnsi="Verdana"/>
          <w:sz w:val="24"/>
          <w:szCs w:val="24"/>
        </w:rPr>
        <w:t>El Ministerio de Minas y Energía, a través del Grupo de Relacionamiento con el Ciudadano y Gestión de la Información, ha implementado de manera continua instrumentos de medición de la percepción ciudadana, orientados a evaluar la calidad de la atención, los trámites, servicios y la gestión de PQRSD, en cumplimiento de los lineamientos del Modelo Integrado de Planeación y Gestión.</w:t>
      </w:r>
    </w:p>
    <w:p w:rsidRPr="00C140A0" w:rsidR="00D715A5" w:rsidP="006A0A13" w:rsidRDefault="00D715A5" w14:paraId="3CD8C2C0" w14:textId="77777777">
      <w:pPr>
        <w:spacing w:after="0" w:line="360" w:lineRule="auto"/>
        <w:jc w:val="both"/>
        <w:rPr>
          <w:rFonts w:ascii="Verdana" w:hAnsi="Verdana"/>
          <w:sz w:val="24"/>
          <w:szCs w:val="24"/>
        </w:rPr>
      </w:pPr>
      <w:r w:rsidRPr="00C140A0">
        <w:rPr>
          <w:rFonts w:ascii="Verdana" w:hAnsi="Verdana"/>
          <w:sz w:val="24"/>
          <w:szCs w:val="24"/>
        </w:rPr>
        <w:t>A continuación, se presenta el detalle de los instrumentos aplicados durante las vigencias 2023, 2024 y 2025:</w:t>
      </w:r>
    </w:p>
    <w:p w:rsidR="00220280" w:rsidP="006A0A13" w:rsidRDefault="00220280" w14:paraId="62B40AD4" w14:textId="77777777">
      <w:pPr>
        <w:spacing w:after="0" w:line="360" w:lineRule="auto"/>
        <w:jc w:val="both"/>
        <w:rPr>
          <w:rFonts w:ascii="Verdana" w:hAnsi="Verdana"/>
          <w:b/>
          <w:bCs/>
          <w:sz w:val="24"/>
          <w:szCs w:val="24"/>
        </w:rPr>
      </w:pPr>
    </w:p>
    <w:p w:rsidRPr="00C140A0" w:rsidR="00D715A5" w:rsidP="006A0A13" w:rsidRDefault="00D715A5" w14:paraId="30104101" w14:textId="77777777">
      <w:pPr>
        <w:spacing w:after="0" w:line="360" w:lineRule="auto"/>
        <w:jc w:val="both"/>
        <w:rPr>
          <w:rFonts w:ascii="Verdana" w:hAnsi="Verdana"/>
          <w:b/>
          <w:bCs/>
          <w:sz w:val="24"/>
          <w:szCs w:val="24"/>
        </w:rPr>
      </w:pPr>
      <w:r w:rsidRPr="00C140A0">
        <w:rPr>
          <w:rFonts w:ascii="Verdana" w:hAnsi="Verdana"/>
          <w:b/>
          <w:bCs/>
          <w:sz w:val="24"/>
          <w:szCs w:val="24"/>
        </w:rPr>
        <w:t>Vigencia 2023</w:t>
      </w:r>
    </w:p>
    <w:p w:rsidR="00220280" w:rsidP="006A0A13" w:rsidRDefault="00220280" w14:paraId="7A9AA2F8" w14:textId="77777777">
      <w:pPr>
        <w:spacing w:after="0" w:line="360" w:lineRule="auto"/>
        <w:jc w:val="both"/>
        <w:rPr>
          <w:rFonts w:ascii="Verdana" w:hAnsi="Verdana"/>
          <w:sz w:val="24"/>
          <w:szCs w:val="24"/>
        </w:rPr>
      </w:pPr>
    </w:p>
    <w:p w:rsidRPr="00C140A0" w:rsidR="00D715A5" w:rsidP="006A0A13" w:rsidRDefault="00D715A5" w14:paraId="196AFB9B" w14:textId="77777777">
      <w:pPr>
        <w:spacing w:after="0" w:line="360" w:lineRule="auto"/>
        <w:jc w:val="both"/>
        <w:rPr>
          <w:rFonts w:ascii="Verdana" w:hAnsi="Verdana"/>
          <w:sz w:val="24"/>
          <w:szCs w:val="24"/>
        </w:rPr>
      </w:pPr>
      <w:r w:rsidRPr="00C140A0">
        <w:rPr>
          <w:rFonts w:ascii="Verdana" w:hAnsi="Verdana"/>
          <w:sz w:val="24"/>
          <w:szCs w:val="24"/>
        </w:rPr>
        <w:t>Durante el año 2023 se aplicó la Encuesta de Medición de la Satisfacción de la Ciudadanía sobre PQRSD, trámites, servicios y canales de atención, dirigida a ciudadanos atendidos por la entidad a través de sus diferentes canales.</w:t>
      </w:r>
    </w:p>
    <w:p w:rsidR="00220280" w:rsidP="006A0A13" w:rsidRDefault="00220280" w14:paraId="3843385C" w14:textId="77777777">
      <w:pPr>
        <w:spacing w:after="0" w:line="360" w:lineRule="auto"/>
        <w:jc w:val="both"/>
        <w:rPr>
          <w:rFonts w:ascii="Verdana" w:hAnsi="Verdana"/>
          <w:sz w:val="24"/>
          <w:szCs w:val="24"/>
        </w:rPr>
      </w:pPr>
    </w:p>
    <w:p w:rsidRPr="00C140A0" w:rsidR="00D715A5" w:rsidP="006A0A13" w:rsidRDefault="00D715A5" w14:paraId="05D5ED1A" w14:textId="77777777">
      <w:pPr>
        <w:spacing w:after="0" w:line="360" w:lineRule="auto"/>
        <w:jc w:val="both"/>
        <w:rPr>
          <w:rFonts w:ascii="Verdana" w:hAnsi="Verdana"/>
          <w:sz w:val="24"/>
          <w:szCs w:val="24"/>
        </w:rPr>
      </w:pPr>
      <w:r w:rsidRPr="00C140A0">
        <w:rPr>
          <w:rFonts w:ascii="Verdana" w:hAnsi="Verdana"/>
          <w:sz w:val="24"/>
          <w:szCs w:val="24"/>
        </w:rPr>
        <w:t>La medición del primer semestre de 2023 se realizó entre enero y junio, con una muestra de 216 ciudadanos, quienes fueron encuestados mediante un instrumento virtual remitido a través de correo electrónico, así como mediante piezas informativas y enlaces en los canales institucionales. Esta encuesta evaluó aspectos asociados a la calidad del servicio, tales como facilidad en la atención, confianza en la respuesta, tiempos de respuesta, calidad de la información y trato recibido por parte de los funcionarios.</w:t>
      </w:r>
    </w:p>
    <w:p w:rsidR="00220280" w:rsidP="006A0A13" w:rsidRDefault="00220280" w14:paraId="7AF5C373" w14:textId="77777777">
      <w:pPr>
        <w:spacing w:after="0" w:line="360" w:lineRule="auto"/>
        <w:jc w:val="both"/>
        <w:rPr>
          <w:rFonts w:ascii="Verdana" w:hAnsi="Verdana"/>
          <w:sz w:val="24"/>
          <w:szCs w:val="24"/>
        </w:rPr>
      </w:pPr>
    </w:p>
    <w:p w:rsidRPr="00C140A0" w:rsidR="00D715A5" w:rsidP="006A0A13" w:rsidRDefault="00D715A5" w14:paraId="41581E25" w14:textId="77777777">
      <w:pPr>
        <w:spacing w:after="0" w:line="360" w:lineRule="auto"/>
        <w:jc w:val="both"/>
        <w:rPr>
          <w:rFonts w:ascii="Verdana" w:hAnsi="Verdana"/>
          <w:sz w:val="24"/>
          <w:szCs w:val="24"/>
        </w:rPr>
      </w:pPr>
      <w:r w:rsidRPr="00C140A0">
        <w:rPr>
          <w:rFonts w:ascii="Verdana" w:hAnsi="Verdana"/>
          <w:sz w:val="24"/>
          <w:szCs w:val="24"/>
        </w:rPr>
        <w:t>El resultado global del indicador de satisfacción para este periodo fue de 66,80%, ubicándose en un nivel bajo o crítico.</w:t>
      </w:r>
    </w:p>
    <w:p w:rsidR="00220280" w:rsidP="006A0A13" w:rsidRDefault="00220280" w14:paraId="6C894595" w14:textId="77777777">
      <w:pPr>
        <w:spacing w:after="0" w:line="360" w:lineRule="auto"/>
        <w:jc w:val="both"/>
        <w:rPr>
          <w:rFonts w:ascii="Verdana" w:hAnsi="Verdana"/>
          <w:sz w:val="24"/>
          <w:szCs w:val="24"/>
        </w:rPr>
      </w:pPr>
    </w:p>
    <w:p w:rsidRPr="00C140A0" w:rsidR="00D715A5" w:rsidP="006A0A13" w:rsidRDefault="00D715A5" w14:paraId="693F64A8" w14:textId="77777777">
      <w:pPr>
        <w:spacing w:after="0" w:line="360" w:lineRule="auto"/>
        <w:jc w:val="both"/>
        <w:rPr>
          <w:rFonts w:ascii="Verdana" w:hAnsi="Verdana"/>
          <w:sz w:val="24"/>
          <w:szCs w:val="24"/>
        </w:rPr>
      </w:pPr>
      <w:r w:rsidRPr="00C140A0">
        <w:rPr>
          <w:rFonts w:ascii="Verdana" w:hAnsi="Verdana"/>
          <w:sz w:val="24"/>
          <w:szCs w:val="24"/>
        </w:rPr>
        <w:t>Para el segundo semestre de 2023, se aplicó el mismo instrumento metodológico, con una muestra de 163 ciudadanos, manteniendo el enfoque en canales de atención como presencial, telefónico, virtual y correo electrónico. El resultado global evidenció una mejora, alcanzando un 75,09% de satisfacción, ubicándose en un nivel aceptable.</w:t>
      </w:r>
    </w:p>
    <w:p w:rsidR="00220280" w:rsidP="006A0A13" w:rsidRDefault="00220280" w14:paraId="400560DD" w14:textId="77777777">
      <w:pPr>
        <w:spacing w:after="0" w:line="360" w:lineRule="auto"/>
        <w:jc w:val="both"/>
        <w:rPr>
          <w:rFonts w:ascii="Verdana" w:hAnsi="Verdana"/>
          <w:b/>
          <w:bCs/>
          <w:sz w:val="24"/>
          <w:szCs w:val="24"/>
        </w:rPr>
      </w:pPr>
    </w:p>
    <w:p w:rsidRPr="00C140A0" w:rsidR="00D715A5" w:rsidP="006A0A13" w:rsidRDefault="00D715A5" w14:paraId="2961E457" w14:textId="77777777">
      <w:pPr>
        <w:spacing w:after="0" w:line="360" w:lineRule="auto"/>
        <w:jc w:val="both"/>
        <w:rPr>
          <w:rFonts w:ascii="Verdana" w:hAnsi="Verdana"/>
          <w:b/>
          <w:bCs/>
          <w:sz w:val="24"/>
          <w:szCs w:val="24"/>
        </w:rPr>
      </w:pPr>
      <w:r w:rsidRPr="00C140A0">
        <w:rPr>
          <w:rFonts w:ascii="Verdana" w:hAnsi="Verdana"/>
          <w:b/>
          <w:bCs/>
          <w:sz w:val="24"/>
          <w:szCs w:val="24"/>
        </w:rPr>
        <w:t>Vigencia 2024</w:t>
      </w:r>
    </w:p>
    <w:p w:rsidR="00220280" w:rsidP="006A0A13" w:rsidRDefault="00220280" w14:paraId="2B81A038" w14:textId="77777777">
      <w:pPr>
        <w:spacing w:after="0" w:line="360" w:lineRule="auto"/>
        <w:jc w:val="both"/>
        <w:rPr>
          <w:rFonts w:ascii="Verdana" w:hAnsi="Verdana"/>
          <w:sz w:val="24"/>
          <w:szCs w:val="24"/>
        </w:rPr>
      </w:pPr>
    </w:p>
    <w:p w:rsidRPr="00C140A0" w:rsidR="00D715A5" w:rsidP="006A0A13" w:rsidRDefault="00D715A5" w14:paraId="26EC4A2E" w14:textId="77777777">
      <w:pPr>
        <w:spacing w:after="0" w:line="360" w:lineRule="auto"/>
        <w:jc w:val="both"/>
        <w:rPr>
          <w:rFonts w:ascii="Verdana" w:hAnsi="Verdana"/>
          <w:sz w:val="24"/>
          <w:szCs w:val="24"/>
        </w:rPr>
      </w:pPr>
      <w:r w:rsidRPr="00C140A0">
        <w:rPr>
          <w:rFonts w:ascii="Verdana" w:hAnsi="Verdana"/>
          <w:sz w:val="24"/>
          <w:szCs w:val="24"/>
        </w:rPr>
        <w:t xml:space="preserve">En 2024 se mantuvo la aplicación de la encuesta de satisfacción como instrumento principal de medición de la percepción ciudadana. </w:t>
      </w:r>
    </w:p>
    <w:p w:rsidR="00220280" w:rsidP="006A0A13" w:rsidRDefault="00220280" w14:paraId="51E68546" w14:textId="77777777">
      <w:pPr>
        <w:spacing w:after="0" w:line="360" w:lineRule="auto"/>
        <w:jc w:val="both"/>
        <w:rPr>
          <w:rFonts w:ascii="Verdana" w:hAnsi="Verdana"/>
          <w:sz w:val="24"/>
          <w:szCs w:val="24"/>
        </w:rPr>
      </w:pPr>
    </w:p>
    <w:p w:rsidRPr="00C140A0" w:rsidR="00D715A5" w:rsidP="006A0A13" w:rsidRDefault="00D715A5" w14:paraId="1393C1F9" w14:textId="77777777">
      <w:pPr>
        <w:spacing w:after="0" w:line="360" w:lineRule="auto"/>
        <w:jc w:val="both"/>
        <w:rPr>
          <w:rFonts w:ascii="Verdana" w:hAnsi="Verdana"/>
          <w:sz w:val="24"/>
          <w:szCs w:val="24"/>
        </w:rPr>
      </w:pPr>
      <w:r w:rsidRPr="00C140A0">
        <w:rPr>
          <w:rFonts w:ascii="Verdana" w:hAnsi="Verdana"/>
          <w:sz w:val="24"/>
          <w:szCs w:val="24"/>
        </w:rPr>
        <w:t xml:space="preserve">Durante el primer semestre de 2024, la medición se aplicó a una muestra de 163 ciudadanos, a través de mecanismos virtuales asociados a la atención de solicitudes, incluyendo envío de encuestas por correo electrónico y difusión mediante canales institucionales. Se evaluaron los mismos atributos de calidad del servicio (facilidad, confianza, tiempos de respuesta, calidad y trato). El resultado global alcanzó un 77,38%, evidenciando una mejora significativa frente al año anterior. </w:t>
      </w:r>
    </w:p>
    <w:p w:rsidR="00220280" w:rsidP="006A0A13" w:rsidRDefault="00220280" w14:paraId="26852462" w14:textId="77777777">
      <w:pPr>
        <w:spacing w:after="0" w:line="360" w:lineRule="auto"/>
        <w:jc w:val="both"/>
        <w:rPr>
          <w:rFonts w:ascii="Verdana" w:hAnsi="Verdana"/>
          <w:sz w:val="24"/>
          <w:szCs w:val="24"/>
        </w:rPr>
      </w:pPr>
    </w:p>
    <w:p w:rsidRPr="00C140A0" w:rsidR="00D715A5" w:rsidP="006A0A13" w:rsidRDefault="00D715A5" w14:paraId="5CD17C8C" w14:textId="77777777">
      <w:pPr>
        <w:spacing w:after="0" w:line="360" w:lineRule="auto"/>
        <w:jc w:val="both"/>
        <w:rPr>
          <w:rFonts w:ascii="Verdana" w:hAnsi="Verdana"/>
          <w:sz w:val="24"/>
          <w:szCs w:val="24"/>
        </w:rPr>
      </w:pPr>
      <w:r w:rsidRPr="00C140A0">
        <w:rPr>
          <w:rFonts w:ascii="Verdana" w:hAnsi="Verdana"/>
          <w:sz w:val="24"/>
          <w:szCs w:val="24"/>
        </w:rPr>
        <w:t xml:space="preserve">Para el segundo semestre de 2024, se amplió la muestra a 294 ciudadanos, manteniendo la metodología virtual y multicanal. El resultado global de satisfacción fue de 77,82%, consolidándose en un nivel aceptable y mostrando una tendencia positiva en la percepción ciudadana. </w:t>
      </w:r>
    </w:p>
    <w:p w:rsidR="00220280" w:rsidP="006A0A13" w:rsidRDefault="00220280" w14:paraId="6BA3E27F" w14:textId="77777777">
      <w:pPr>
        <w:spacing w:after="0" w:line="360" w:lineRule="auto"/>
        <w:jc w:val="both"/>
        <w:rPr>
          <w:rFonts w:ascii="Verdana" w:hAnsi="Verdana"/>
          <w:b/>
          <w:bCs/>
          <w:sz w:val="24"/>
          <w:szCs w:val="24"/>
        </w:rPr>
      </w:pPr>
    </w:p>
    <w:p w:rsidRPr="00C140A0" w:rsidR="00D715A5" w:rsidP="006A0A13" w:rsidRDefault="00D715A5" w14:paraId="09350199" w14:textId="77777777">
      <w:pPr>
        <w:spacing w:after="0" w:line="360" w:lineRule="auto"/>
        <w:jc w:val="both"/>
        <w:rPr>
          <w:rFonts w:ascii="Verdana" w:hAnsi="Verdana"/>
          <w:b/>
          <w:bCs/>
          <w:sz w:val="24"/>
          <w:szCs w:val="24"/>
        </w:rPr>
      </w:pPr>
      <w:r w:rsidRPr="00C140A0">
        <w:rPr>
          <w:rFonts w:ascii="Verdana" w:hAnsi="Verdana"/>
          <w:b/>
          <w:bCs/>
          <w:sz w:val="24"/>
          <w:szCs w:val="24"/>
        </w:rPr>
        <w:t xml:space="preserve">Vigencia 2025 </w:t>
      </w:r>
    </w:p>
    <w:p w:rsidR="00220280" w:rsidP="006A0A13" w:rsidRDefault="00220280" w14:paraId="518B0DF1" w14:textId="77777777">
      <w:pPr>
        <w:spacing w:after="0" w:line="360" w:lineRule="auto"/>
        <w:jc w:val="both"/>
        <w:rPr>
          <w:rFonts w:ascii="Verdana" w:hAnsi="Verdana"/>
          <w:sz w:val="24"/>
          <w:szCs w:val="24"/>
        </w:rPr>
      </w:pPr>
    </w:p>
    <w:p w:rsidRPr="00C140A0" w:rsidR="00D715A5" w:rsidP="006A0A13" w:rsidRDefault="00D715A5" w14:paraId="5EA2BBB4" w14:textId="77777777">
      <w:pPr>
        <w:spacing w:after="0" w:line="360" w:lineRule="auto"/>
        <w:jc w:val="both"/>
        <w:rPr>
          <w:rFonts w:ascii="Verdana" w:hAnsi="Verdana"/>
          <w:sz w:val="24"/>
          <w:szCs w:val="24"/>
        </w:rPr>
      </w:pPr>
      <w:r w:rsidRPr="00C140A0">
        <w:rPr>
          <w:rFonts w:ascii="Verdana" w:hAnsi="Verdana"/>
          <w:sz w:val="24"/>
          <w:szCs w:val="24"/>
        </w:rPr>
        <w:t xml:space="preserve">En 2025, el Ministerio fortaleció el proceso de medición mediante la implementación del sistema de omnicanalidad YACO, que permitió una recolección más amplia y sistemática de la información. </w:t>
      </w:r>
    </w:p>
    <w:p w:rsidR="00220280" w:rsidP="006A0A13" w:rsidRDefault="00220280" w14:paraId="2407CA79" w14:textId="77777777">
      <w:pPr>
        <w:spacing w:after="0" w:line="360" w:lineRule="auto"/>
        <w:jc w:val="both"/>
        <w:rPr>
          <w:rFonts w:ascii="Verdana" w:hAnsi="Verdana"/>
          <w:sz w:val="24"/>
          <w:szCs w:val="24"/>
        </w:rPr>
      </w:pPr>
    </w:p>
    <w:p w:rsidRPr="00C140A0" w:rsidR="00D715A5" w:rsidP="006A0A13" w:rsidRDefault="00D715A5" w14:paraId="59EF54E1" w14:textId="77777777">
      <w:pPr>
        <w:spacing w:after="0" w:line="360" w:lineRule="auto"/>
        <w:jc w:val="both"/>
        <w:rPr>
          <w:rFonts w:ascii="Verdana" w:hAnsi="Verdana"/>
          <w:sz w:val="24"/>
          <w:szCs w:val="24"/>
        </w:rPr>
      </w:pPr>
      <w:r w:rsidRPr="00C140A0">
        <w:rPr>
          <w:rFonts w:ascii="Verdana" w:hAnsi="Verdana"/>
          <w:sz w:val="24"/>
          <w:szCs w:val="24"/>
        </w:rPr>
        <w:t>En el primer semestre de 2025, la encuesta de satisfacción fue aplicada a 209 ciudadanos, utilizando principalmente canales virtuales automatizados asociados al sistema YACO, incluyendo correo electrónico, chatbot y atención digital. Se evaluaron atributos como conocimiento del personal, disposición de servicio, facilidad de acceso, tiempos de respuesta y calidad de la atención. (Nota: el resultado global no se encuentra visible en el fragmento suministrado, pero el instrumento y metodología sí están documentados).</w:t>
      </w:r>
    </w:p>
    <w:p w:rsidR="00220280" w:rsidP="006A0A13" w:rsidRDefault="00220280" w14:paraId="4D981C2C" w14:textId="77777777">
      <w:pPr>
        <w:spacing w:after="0" w:line="360" w:lineRule="auto"/>
        <w:jc w:val="both"/>
        <w:rPr>
          <w:rFonts w:ascii="Verdana" w:hAnsi="Verdana"/>
          <w:sz w:val="24"/>
          <w:szCs w:val="24"/>
        </w:rPr>
      </w:pPr>
    </w:p>
    <w:p w:rsidRPr="00C140A0" w:rsidR="00D715A5" w:rsidP="006A0A13" w:rsidRDefault="00D715A5" w14:paraId="5F7D950E" w14:textId="77777777">
      <w:pPr>
        <w:spacing w:after="0" w:line="360" w:lineRule="auto"/>
        <w:jc w:val="both"/>
        <w:rPr>
          <w:rFonts w:ascii="Verdana" w:hAnsi="Verdana"/>
          <w:sz w:val="24"/>
          <w:szCs w:val="24"/>
        </w:rPr>
      </w:pPr>
      <w:r w:rsidRPr="00C140A0">
        <w:rPr>
          <w:rFonts w:ascii="Verdana" w:hAnsi="Verdana"/>
          <w:sz w:val="24"/>
          <w:szCs w:val="24"/>
        </w:rPr>
        <w:t>Para el segundo semestre de 2025, se aplicó el mismo instrumento con una muestra significativamente mayor de 2.474 ciudadanos, evidenciando un fortalecimiento en la cobertura de la medición. El resultado global de satisfacción fue de 81,39%, alcanzando un nivel aceptable con tendencia hacia satisfactorio, y representando una mejora de 3,57 puntos porcentuales frente al mismo periodo de 2024.</w:t>
      </w:r>
    </w:p>
    <w:p w:rsidRPr="00C140A0" w:rsidR="00D715A5" w:rsidP="00B91FF3" w:rsidRDefault="00D715A5" w14:paraId="6FCC2874" w14:textId="77777777">
      <w:pPr>
        <w:spacing w:after="0" w:line="240" w:lineRule="auto"/>
        <w:rPr>
          <w:rFonts w:ascii="Verdana" w:hAnsi="Verdana"/>
          <w:sz w:val="24"/>
          <w:szCs w:val="24"/>
        </w:rPr>
      </w:pPr>
    </w:p>
    <w:p w:rsidRPr="00220280" w:rsidR="00D715A5" w:rsidP="180099B3" w:rsidRDefault="6B40DA32" w14:paraId="0638D957" w14:textId="77777777">
      <w:pPr>
        <w:pStyle w:val="Descripcin"/>
        <w:spacing w:after="0"/>
        <w:jc w:val="center"/>
        <w:rPr>
          <w:rFonts w:ascii="Verdana" w:hAnsi="Verdana"/>
          <w:b/>
          <w:bCs/>
          <w:i w:val="0"/>
          <w:iCs w:val="0"/>
          <w:color w:val="auto"/>
        </w:rPr>
      </w:pPr>
      <w:r w:rsidRPr="180099B3">
        <w:rPr>
          <w:rFonts w:ascii="Verdana" w:hAnsi="Verdana"/>
          <w:i w:val="0"/>
          <w:iCs w:val="0"/>
          <w:color w:val="auto"/>
        </w:rPr>
        <w:t xml:space="preserve">Imagen No. </w:t>
      </w:r>
      <w:r w:rsidRPr="180099B3" w:rsidR="620B5246">
        <w:rPr>
          <w:rFonts w:ascii="Verdana" w:hAnsi="Verdana"/>
          <w:i w:val="0"/>
          <w:iCs w:val="0"/>
          <w:color w:val="auto"/>
        </w:rPr>
        <w:t>9</w:t>
      </w:r>
      <w:r w:rsidRPr="180099B3" w:rsidR="1CCB47EF">
        <w:rPr>
          <w:rFonts w:ascii="Verdana" w:hAnsi="Verdana"/>
          <w:i w:val="0"/>
          <w:iCs w:val="0"/>
          <w:color w:val="auto"/>
        </w:rPr>
        <w:t>.</w:t>
      </w:r>
      <w:r w:rsidRPr="180099B3" w:rsidR="55C953A1">
        <w:rPr>
          <w:rFonts w:ascii="Verdana" w:hAnsi="Verdana"/>
          <w:i w:val="0"/>
          <w:iCs w:val="0"/>
          <w:color w:val="auto"/>
        </w:rPr>
        <w:t xml:space="preserve"> </w:t>
      </w:r>
      <w:r w:rsidRPr="180099B3" w:rsidR="1CCB47EF">
        <w:rPr>
          <w:rFonts w:ascii="Verdana" w:hAnsi="Verdana"/>
          <w:i w:val="0"/>
          <w:iCs w:val="0"/>
          <w:color w:val="auto"/>
        </w:rPr>
        <w:t>Resultados Nivel de satisfacción (%) 2023-2025</w:t>
      </w:r>
    </w:p>
    <w:p w:rsidRPr="00220280" w:rsidR="00D715A5" w:rsidP="00B91FF3" w:rsidRDefault="00D715A5" w14:paraId="4DF680FF"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line="240" w:lineRule="auto"/>
        <w:jc w:val="center"/>
        <w:rPr>
          <w:rFonts w:ascii="Verdana" w:hAnsi="Verdana"/>
          <w:sz w:val="18"/>
          <w:szCs w:val="18"/>
        </w:rPr>
      </w:pPr>
      <w:r w:rsidRPr="00220280">
        <w:rPr>
          <w:rFonts w:ascii="Verdana" w:hAnsi="Verdana"/>
          <w:noProof/>
          <w:sz w:val="18"/>
          <w:szCs w:val="18"/>
        </w:rPr>
        <w:drawing>
          <wp:inline distT="0" distB="0" distL="0" distR="0" wp14:anchorId="57C80F18" wp14:editId="30F7F452">
            <wp:extent cx="4572000" cy="2091193"/>
            <wp:effectExtent l="0" t="0" r="0" b="4445"/>
            <wp:docPr id="893689410" name="Gráfico 1">
              <a:extLst xmlns:a="http://schemas.openxmlformats.org/drawingml/2006/main">
                <a:ext uri="{FF2B5EF4-FFF2-40B4-BE49-F238E27FC236}">
                  <a16:creationId xmlns:a16="http://schemas.microsoft.com/office/drawing/2014/main" id="{15CD6449-2EA5-82EB-FEF3-6D00365CFC0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Pr="00220280" w:rsidR="00D715A5" w:rsidP="00B91FF3" w:rsidRDefault="00D715A5" w14:paraId="04BF9ECA"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line="240" w:lineRule="auto"/>
        <w:jc w:val="center"/>
        <w:rPr>
          <w:rFonts w:ascii="Verdana" w:hAnsi="Verdana"/>
          <w:sz w:val="18"/>
          <w:szCs w:val="18"/>
        </w:rPr>
      </w:pPr>
      <w:r w:rsidRPr="00220280">
        <w:rPr>
          <w:rFonts w:ascii="Verdana" w:hAnsi="Verdana"/>
          <w:sz w:val="18"/>
          <w:szCs w:val="18"/>
        </w:rPr>
        <w:t>Fuente: Elaboración propia a partir de los resultados de la encuesta de Medición de la satisfacción de la Ciudadanía, Usuarios y Grupos de valor</w:t>
      </w:r>
    </w:p>
    <w:p w:rsidRPr="00C140A0" w:rsidR="00D715A5" w:rsidP="006A0A13" w:rsidRDefault="00D715A5" w14:paraId="463B714A" w14:textId="77777777">
      <w:pPr>
        <w:spacing w:after="0" w:line="360" w:lineRule="auto"/>
        <w:rPr>
          <w:rFonts w:ascii="Verdana" w:hAnsi="Verdana"/>
          <w:sz w:val="24"/>
          <w:szCs w:val="24"/>
        </w:rPr>
      </w:pPr>
    </w:p>
    <w:p w:rsidRPr="00C140A0" w:rsidR="00D715A5" w:rsidP="006A0A13" w:rsidRDefault="1CCB47EF" w14:paraId="71760FC7" w14:textId="77777777">
      <w:pPr>
        <w:spacing w:after="0" w:line="360" w:lineRule="auto"/>
        <w:jc w:val="both"/>
        <w:rPr>
          <w:rFonts w:ascii="Verdana" w:hAnsi="Verdana"/>
          <w:sz w:val="24"/>
          <w:szCs w:val="24"/>
        </w:rPr>
      </w:pPr>
      <w:r w:rsidRPr="180099B3">
        <w:rPr>
          <w:rFonts w:ascii="Verdana" w:hAnsi="Verdana"/>
          <w:sz w:val="24"/>
          <w:szCs w:val="24"/>
        </w:rPr>
        <w:t xml:space="preserve">Enlace de acceso público a los resultados publicados en la página Web: </w:t>
      </w:r>
      <w:hyperlink r:id="rId26">
        <w:r w:rsidRPr="180099B3">
          <w:rPr>
            <w:rStyle w:val="Hipervnculo"/>
            <w:rFonts w:ascii="Verdana" w:hAnsi="Verdana"/>
            <w:sz w:val="18"/>
            <w:szCs w:val="18"/>
          </w:rPr>
          <w:t>https://www.minenergia.gov.co/es/servicio-al-ciudadano/caracterizaci%C3%B3n-de-usuarios/</w:t>
        </w:r>
      </w:hyperlink>
    </w:p>
    <w:p w:rsidRPr="00C140A0" w:rsidR="00D715A5" w:rsidP="006A0A13" w:rsidRDefault="00D715A5" w14:paraId="594834B6" w14:textId="77777777">
      <w:pPr>
        <w:spacing w:after="0" w:line="360" w:lineRule="auto"/>
        <w:jc w:val="both"/>
        <w:rPr>
          <w:rFonts w:ascii="Verdana" w:hAnsi="Verdana"/>
          <w:sz w:val="24"/>
          <w:szCs w:val="24"/>
        </w:rPr>
      </w:pPr>
    </w:p>
    <w:p w:rsidRPr="00C140A0" w:rsidR="00D715A5" w:rsidP="006A0A13" w:rsidRDefault="00D715A5" w14:paraId="421B07DA" w14:textId="77777777">
      <w:pPr>
        <w:spacing w:after="0" w:line="360" w:lineRule="auto"/>
        <w:jc w:val="both"/>
        <w:rPr>
          <w:rFonts w:ascii="Verdana" w:hAnsi="Verdana"/>
          <w:b/>
          <w:bCs/>
          <w:sz w:val="24"/>
          <w:szCs w:val="24"/>
        </w:rPr>
      </w:pPr>
      <w:r w:rsidRPr="00C140A0">
        <w:rPr>
          <w:rFonts w:ascii="Verdana" w:hAnsi="Verdana"/>
          <w:b/>
          <w:bCs/>
          <w:sz w:val="24"/>
          <w:szCs w:val="24"/>
        </w:rPr>
        <w:t>Vigencia Enero a Marzo de 2026</w:t>
      </w:r>
    </w:p>
    <w:p w:rsidR="00220280" w:rsidP="006A0A13" w:rsidRDefault="00220280" w14:paraId="220918F4" w14:textId="77777777">
      <w:pPr>
        <w:spacing w:after="0" w:line="360" w:lineRule="auto"/>
        <w:jc w:val="both"/>
        <w:rPr>
          <w:rFonts w:ascii="Verdana" w:hAnsi="Verdana"/>
          <w:sz w:val="24"/>
          <w:szCs w:val="24"/>
        </w:rPr>
      </w:pPr>
    </w:p>
    <w:p w:rsidRPr="00C140A0" w:rsidR="00D715A5" w:rsidP="006A0A13" w:rsidRDefault="00D715A5" w14:paraId="520F0B8D" w14:textId="77777777">
      <w:pPr>
        <w:spacing w:after="0" w:line="360" w:lineRule="auto"/>
        <w:jc w:val="both"/>
        <w:rPr>
          <w:rFonts w:ascii="Verdana" w:hAnsi="Verdana"/>
          <w:sz w:val="24"/>
          <w:szCs w:val="24"/>
        </w:rPr>
      </w:pPr>
      <w:r w:rsidRPr="00C140A0">
        <w:rPr>
          <w:rFonts w:ascii="Verdana" w:hAnsi="Verdana"/>
          <w:sz w:val="24"/>
          <w:szCs w:val="24"/>
        </w:rPr>
        <w:t>Teniendo en cuenta que la medición de la satisfacción ciudadana se consolida y analiza de manera semestral, con el fin de garantizar la comparabilidad metodológica entre periodos y la consistencia de los resultados, no es posible presentar a la fecha un resultado consolidado del indicador de satisfacción correspondiente a la vigencia 2026.</w:t>
      </w:r>
    </w:p>
    <w:p w:rsidR="00220280" w:rsidP="006A0A13" w:rsidRDefault="00220280" w14:paraId="263B01EE" w14:textId="77777777">
      <w:pPr>
        <w:spacing w:after="0" w:line="360" w:lineRule="auto"/>
        <w:jc w:val="both"/>
        <w:rPr>
          <w:rFonts w:ascii="Verdana" w:hAnsi="Verdana"/>
          <w:sz w:val="24"/>
          <w:szCs w:val="24"/>
        </w:rPr>
      </w:pPr>
    </w:p>
    <w:p w:rsidRPr="00C140A0" w:rsidR="00D715A5" w:rsidP="006A0A13" w:rsidRDefault="00D715A5" w14:paraId="40C5DBE8" w14:textId="77777777">
      <w:pPr>
        <w:spacing w:after="0" w:line="360" w:lineRule="auto"/>
        <w:jc w:val="both"/>
        <w:rPr>
          <w:rFonts w:ascii="Verdana" w:hAnsi="Verdana"/>
          <w:sz w:val="24"/>
          <w:szCs w:val="24"/>
        </w:rPr>
      </w:pPr>
      <w:r w:rsidRPr="00C140A0">
        <w:rPr>
          <w:rFonts w:ascii="Verdana" w:hAnsi="Verdana"/>
          <w:sz w:val="24"/>
          <w:szCs w:val="24"/>
        </w:rPr>
        <w:t>No obstante, durante el primer trimestre de 2026 se cuenta con un total de 302 registros de encuestas de satisfacción aplicadas a través de los diferentes canales de atención del Ministerio, distribuidos así: 208 registros correspondientes al canal telefónico, 44 al canal de Agendamiento Web, 25 al canal de correo electrónico/físico, 23 a atención presencial y 2 registros asociados al canal de WhatsApp. Estos resultados preliminares evidencian una mayor participación de los ciudadanos a través del canal telefónico, consolidándolo como el principal medio de interacción durante el periodo analizado.</w:t>
      </w:r>
    </w:p>
    <w:p w:rsidRPr="00C140A0" w:rsidR="00D715A5" w:rsidP="006A0A13" w:rsidRDefault="00D715A5" w14:paraId="019221F6" w14:textId="77777777">
      <w:pPr>
        <w:spacing w:after="0" w:line="360" w:lineRule="auto"/>
        <w:outlineLvl w:val="1"/>
        <w:rPr>
          <w:rFonts w:ascii="Verdana" w:hAnsi="Verdana"/>
          <w:b/>
          <w:bCs/>
          <w:sz w:val="24"/>
          <w:szCs w:val="24"/>
        </w:rPr>
      </w:pPr>
    </w:p>
    <w:p w:rsidRPr="00C140A0" w:rsidR="000879AD" w:rsidRDefault="7B565575" w14:paraId="5E2D8334" w14:textId="1430FBA0">
      <w:pPr>
        <w:pStyle w:val="Prrafodelista"/>
        <w:numPr>
          <w:ilvl w:val="1"/>
          <w:numId w:val="42"/>
        </w:numPr>
        <w:spacing w:after="0" w:line="360" w:lineRule="auto"/>
        <w:jc w:val="both"/>
        <w:outlineLvl w:val="1"/>
        <w:rPr>
          <w:rFonts w:ascii="Verdana" w:hAnsi="Verdana"/>
          <w:b/>
          <w:bCs/>
          <w:sz w:val="24"/>
          <w:szCs w:val="24"/>
        </w:rPr>
      </w:pPr>
      <w:bookmarkStart w:name="_Toc233996739" w:id="22"/>
      <w:r w:rsidRPr="0FF05B1B">
        <w:rPr>
          <w:rFonts w:ascii="Verdana" w:hAnsi="Verdana"/>
          <w:b/>
          <w:bCs/>
          <w:sz w:val="24"/>
          <w:szCs w:val="24"/>
        </w:rPr>
        <w:t>Participación de las ciudadanías diversas y prácticas de control social (Incluiría RdC, avance</w:t>
      </w:r>
      <w:r w:rsidRPr="0FF05B1B" w:rsidR="24105CB1">
        <w:rPr>
          <w:rFonts w:ascii="Verdana" w:hAnsi="Verdana"/>
          <w:b/>
          <w:bCs/>
          <w:sz w:val="24"/>
          <w:szCs w:val="24"/>
        </w:rPr>
        <w:t xml:space="preserve">s </w:t>
      </w:r>
      <w:r w:rsidRPr="0FF05B1B">
        <w:rPr>
          <w:rFonts w:ascii="Verdana" w:hAnsi="Verdana"/>
          <w:b/>
          <w:bCs/>
          <w:sz w:val="24"/>
          <w:szCs w:val="24"/>
        </w:rPr>
        <w:t>de estrategia educomunicativa, Nodo de RdC y RdC de Paz)</w:t>
      </w:r>
      <w:bookmarkEnd w:id="22"/>
    </w:p>
    <w:p w:rsidR="00220280" w:rsidP="006A0A13" w:rsidRDefault="00220280" w14:paraId="130F3B82" w14:textId="77777777">
      <w:pPr>
        <w:spacing w:after="0" w:line="360" w:lineRule="auto"/>
        <w:ind w:left="360"/>
        <w:jc w:val="both"/>
        <w:outlineLvl w:val="1"/>
        <w:rPr>
          <w:rFonts w:ascii="Verdana" w:hAnsi="Verdana"/>
          <w:b/>
          <w:bCs/>
          <w:sz w:val="24"/>
          <w:szCs w:val="24"/>
        </w:rPr>
      </w:pPr>
    </w:p>
    <w:p w:rsidRPr="00B91FF3" w:rsidR="00B951EE" w:rsidRDefault="00B951EE" w14:paraId="4A6AB275" w14:textId="77777777">
      <w:pPr>
        <w:pStyle w:val="Prrafodelista"/>
        <w:numPr>
          <w:ilvl w:val="2"/>
          <w:numId w:val="42"/>
        </w:numPr>
        <w:spacing w:after="0" w:line="360" w:lineRule="auto"/>
        <w:jc w:val="both"/>
        <w:rPr>
          <w:rFonts w:ascii="Verdana" w:hAnsi="Verdana"/>
          <w:b/>
          <w:bCs/>
          <w:sz w:val="24"/>
          <w:szCs w:val="24"/>
        </w:rPr>
      </w:pPr>
      <w:r w:rsidRPr="00B91FF3">
        <w:rPr>
          <w:rFonts w:ascii="Verdana" w:hAnsi="Verdana"/>
          <w:b/>
          <w:bCs/>
          <w:sz w:val="24"/>
          <w:szCs w:val="24"/>
        </w:rPr>
        <w:t xml:space="preserve">Rendición de cuentas sectorial Cali, Valle </w:t>
      </w:r>
    </w:p>
    <w:p w:rsidRPr="00C140A0" w:rsidR="00B951EE" w:rsidP="006A0A13" w:rsidRDefault="00B951EE" w14:paraId="7A4D103C" w14:textId="77777777">
      <w:pPr>
        <w:spacing w:after="0" w:line="360" w:lineRule="auto"/>
        <w:ind w:left="360"/>
        <w:jc w:val="both"/>
        <w:outlineLvl w:val="1"/>
        <w:rPr>
          <w:rFonts w:ascii="Verdana" w:hAnsi="Verdana"/>
          <w:sz w:val="24"/>
          <w:szCs w:val="24"/>
        </w:rPr>
      </w:pPr>
    </w:p>
    <w:p w:rsidRPr="00C140A0" w:rsidR="00B951EE" w:rsidP="006A0A13" w:rsidRDefault="00B951EE" w14:paraId="7974D6EA" w14:textId="77777777">
      <w:pPr>
        <w:spacing w:after="0" w:line="360" w:lineRule="auto"/>
        <w:jc w:val="both"/>
        <w:rPr>
          <w:rFonts w:ascii="Verdana" w:hAnsi="Verdana"/>
          <w:sz w:val="24"/>
          <w:szCs w:val="24"/>
        </w:rPr>
      </w:pPr>
      <w:r w:rsidRPr="00C140A0">
        <w:rPr>
          <w:rFonts w:ascii="Verdana" w:hAnsi="Verdana"/>
          <w:sz w:val="24"/>
          <w:szCs w:val="24"/>
        </w:rPr>
        <w:t xml:space="preserve">Como parte de la estrategia de rendición de cuentas sectorial, liderada por el nodo sectorial de Rendición de cuentas, se articuló la metodología del espacio, el cual tuvo una distribución de dos tiempos, un formato tipo feria de gestión, con los temas estratégicos del sector, este espacio contó con la presentación de los equipos técnicos de las entidades adscritas y las áreas misionales del Ministerio. </w:t>
      </w:r>
    </w:p>
    <w:p w:rsidRPr="00C140A0" w:rsidR="00B951EE" w:rsidP="006A0A13" w:rsidRDefault="00B951EE" w14:paraId="1265B86F" w14:textId="77777777">
      <w:pPr>
        <w:spacing w:after="0" w:line="360" w:lineRule="auto"/>
        <w:jc w:val="both"/>
        <w:rPr>
          <w:rFonts w:ascii="Verdana" w:hAnsi="Verdana"/>
          <w:sz w:val="24"/>
          <w:szCs w:val="24"/>
        </w:rPr>
      </w:pPr>
    </w:p>
    <w:p w:rsidRPr="00C140A0" w:rsidR="00B951EE" w:rsidP="006A0A13" w:rsidRDefault="00B951EE" w14:paraId="636143AD" w14:textId="77777777">
      <w:pPr>
        <w:spacing w:after="0" w:line="360" w:lineRule="auto"/>
        <w:jc w:val="both"/>
        <w:rPr>
          <w:rFonts w:ascii="Verdana" w:hAnsi="Verdana"/>
          <w:sz w:val="24"/>
          <w:szCs w:val="24"/>
        </w:rPr>
      </w:pPr>
      <w:r w:rsidRPr="00C140A0">
        <w:rPr>
          <w:rFonts w:ascii="Verdana" w:hAnsi="Verdana"/>
          <w:sz w:val="24"/>
          <w:szCs w:val="24"/>
        </w:rPr>
        <w:t xml:space="preserve">En un segundo momento se realizó un espacio en tarima tipo panel y audiencia pública con los directivos de las entidades adscritas y el Ministerio, allí se resaltaron los logros más relevantes del periodo con apoyos audiovisuales, testimonios en vivo y en video de los beneficiarios. </w:t>
      </w:r>
    </w:p>
    <w:p w:rsidRPr="00C140A0" w:rsidR="00B951EE" w:rsidP="006A0A13" w:rsidRDefault="00B951EE" w14:paraId="256E3D62" w14:textId="77777777">
      <w:pPr>
        <w:spacing w:after="0" w:line="360" w:lineRule="auto"/>
        <w:jc w:val="both"/>
        <w:rPr>
          <w:rFonts w:ascii="Verdana" w:hAnsi="Verdana"/>
          <w:sz w:val="24"/>
          <w:szCs w:val="24"/>
        </w:rPr>
      </w:pPr>
    </w:p>
    <w:p w:rsidRPr="00C140A0" w:rsidR="00B951EE" w:rsidP="006A0A13" w:rsidRDefault="1A207DC6" w14:paraId="1135A3E8" w14:textId="1C9EBFC0">
      <w:pPr>
        <w:spacing w:after="0" w:line="360" w:lineRule="auto"/>
        <w:jc w:val="both"/>
        <w:rPr>
          <w:rFonts w:ascii="Verdana" w:hAnsi="Verdana"/>
          <w:sz w:val="24"/>
          <w:szCs w:val="24"/>
        </w:rPr>
      </w:pPr>
      <w:r w:rsidRPr="0FF05B1B">
        <w:rPr>
          <w:rFonts w:ascii="Verdana" w:hAnsi="Verdana"/>
          <w:sz w:val="24"/>
          <w:szCs w:val="24"/>
        </w:rPr>
        <w:t xml:space="preserve">Como espacio de diálogo y aprendizaje, la jornada permitió socializar a más de 400 asistentes las transformaciones impulsadas por el sector en </w:t>
      </w:r>
      <w:r w:rsidRPr="0FF05B1B">
        <w:rPr>
          <w:rFonts w:ascii="Verdana" w:hAnsi="Verdana"/>
          <w:sz w:val="24"/>
          <w:szCs w:val="24"/>
        </w:rPr>
        <w:t xml:space="preserve">materia energética y minera, resaltando la importancia del trabajo conjunto y la responsabilidad institucional con el desarrollo del país. Este espacio se llevó a cabo el 16 de diciembre de 2025, en la ciudad de </w:t>
      </w:r>
      <w:r w:rsidRPr="0FF05B1B" w:rsidR="09693C20">
        <w:rPr>
          <w:rFonts w:ascii="Verdana" w:hAnsi="Verdana"/>
          <w:sz w:val="24"/>
          <w:szCs w:val="24"/>
        </w:rPr>
        <w:t>Cali.</w:t>
      </w:r>
    </w:p>
    <w:p w:rsidR="0FF05B1B" w:rsidP="006A0A13" w:rsidRDefault="0FF05B1B" w14:paraId="3F3765AC" w14:textId="1A7A7828">
      <w:pPr>
        <w:spacing w:after="0" w:line="360" w:lineRule="auto"/>
        <w:jc w:val="both"/>
        <w:rPr>
          <w:rFonts w:ascii="Verdana" w:hAnsi="Verdana"/>
          <w:sz w:val="24"/>
          <w:szCs w:val="24"/>
        </w:rPr>
      </w:pPr>
    </w:p>
    <w:p w:rsidRPr="00B91FF3" w:rsidR="00B951EE" w:rsidRDefault="00B951EE" w14:paraId="51DDC3D0" w14:textId="77777777">
      <w:pPr>
        <w:pStyle w:val="Prrafodelista"/>
        <w:numPr>
          <w:ilvl w:val="2"/>
          <w:numId w:val="42"/>
        </w:numPr>
        <w:spacing w:after="0" w:line="360" w:lineRule="auto"/>
        <w:jc w:val="both"/>
        <w:rPr>
          <w:rFonts w:ascii="Verdana" w:hAnsi="Verdana"/>
          <w:b/>
          <w:bCs/>
          <w:sz w:val="24"/>
          <w:szCs w:val="24"/>
        </w:rPr>
      </w:pPr>
      <w:r w:rsidRPr="00B91FF3">
        <w:rPr>
          <w:rFonts w:ascii="Verdana" w:hAnsi="Verdana"/>
          <w:b/>
          <w:bCs/>
          <w:sz w:val="24"/>
          <w:szCs w:val="24"/>
        </w:rPr>
        <w:t>Rendición de cuentas de Paz Evento virtual</w:t>
      </w:r>
    </w:p>
    <w:p w:rsidRPr="00C140A0" w:rsidR="00B951EE" w:rsidP="006A0A13" w:rsidRDefault="00B951EE" w14:paraId="43ADD5CF" w14:textId="77777777">
      <w:pPr>
        <w:spacing w:after="0" w:line="360" w:lineRule="auto"/>
        <w:jc w:val="both"/>
        <w:rPr>
          <w:rFonts w:ascii="Verdana" w:hAnsi="Verdana"/>
          <w:sz w:val="24"/>
          <w:szCs w:val="24"/>
        </w:rPr>
      </w:pPr>
    </w:p>
    <w:p w:rsidRPr="00C140A0" w:rsidR="00B951EE" w:rsidP="006A0A13" w:rsidRDefault="00B951EE" w14:paraId="7EF03878" w14:textId="77777777">
      <w:pPr>
        <w:spacing w:after="0" w:line="360" w:lineRule="auto"/>
        <w:jc w:val="both"/>
        <w:rPr>
          <w:rFonts w:ascii="Verdana" w:hAnsi="Verdana"/>
          <w:sz w:val="24"/>
          <w:szCs w:val="24"/>
        </w:rPr>
      </w:pPr>
      <w:r w:rsidRPr="00C140A0">
        <w:rPr>
          <w:rFonts w:ascii="Verdana" w:hAnsi="Verdana"/>
          <w:sz w:val="24"/>
          <w:szCs w:val="24"/>
        </w:rPr>
        <w:t>En el marco de la implementación del Acuerdo de Paz y en cumplimiento de las disposiciones del Modelo Unificado de Rendición de Cuentas (MURC), el Ministerio de Minas y Energía estructuró la metodología para la Rendición de Cuentas de Paz 2025 del sector minero-energético. A continuación, se describe brevemente el proceso implementado para la consolidación, validación y análisis de la información.</w:t>
      </w:r>
    </w:p>
    <w:p w:rsidRPr="00C140A0" w:rsidR="00B951EE" w:rsidP="006A0A13" w:rsidRDefault="00B951EE" w14:paraId="60B33E5D" w14:textId="77777777">
      <w:pPr>
        <w:spacing w:after="0" w:line="360" w:lineRule="auto"/>
        <w:jc w:val="both"/>
        <w:rPr>
          <w:rFonts w:ascii="Verdana" w:hAnsi="Verdana"/>
          <w:sz w:val="24"/>
          <w:szCs w:val="24"/>
        </w:rPr>
      </w:pPr>
    </w:p>
    <w:p w:rsidRPr="00C140A0" w:rsidR="00B951EE" w:rsidP="006A0A13" w:rsidRDefault="00B951EE" w14:paraId="576C6FD8" w14:textId="77777777">
      <w:pPr>
        <w:spacing w:after="0" w:line="360" w:lineRule="auto"/>
        <w:jc w:val="both"/>
        <w:rPr>
          <w:rFonts w:ascii="Verdana" w:hAnsi="Verdana"/>
          <w:sz w:val="24"/>
          <w:szCs w:val="24"/>
        </w:rPr>
      </w:pPr>
      <w:r w:rsidRPr="00C140A0">
        <w:rPr>
          <w:rFonts w:ascii="Verdana" w:hAnsi="Verdana"/>
          <w:sz w:val="24"/>
          <w:szCs w:val="24"/>
        </w:rPr>
        <w:t>El objetivo de este proceso es establecer un esquema estructurado para la gestión de información sobre los compromisos de paz del sector, empleando un enfoque participativo y técnico orientado a resultados. La metodología se desarrolla a través de siete fases consecutivas que inician con el aprestamiento y la conformación del equipo líder, seguidas por el diseño y recolección de datos mediante fichas estandarizadas. Posteriormente, se realiza la estandarización y consolidación en una matriz única para proceder con la validación técnica de soportes y el análisis integral de los resultados. Finalmente, el ciclo culmina con la ejecución de espacios de rendición de cuentas y un sistema de seguimiento basado en informes ciudadanos y mecanismos de control social.</w:t>
      </w:r>
    </w:p>
    <w:p w:rsidRPr="00C140A0" w:rsidR="00B951EE" w:rsidP="006A0A13" w:rsidRDefault="00B951EE" w14:paraId="760B872F" w14:textId="77777777">
      <w:pPr>
        <w:spacing w:after="0" w:line="360" w:lineRule="auto"/>
        <w:jc w:val="both"/>
        <w:rPr>
          <w:rFonts w:ascii="Verdana" w:hAnsi="Verdana"/>
          <w:sz w:val="24"/>
          <w:szCs w:val="24"/>
        </w:rPr>
      </w:pPr>
    </w:p>
    <w:p w:rsidR="00B951EE" w:rsidP="006A0A13" w:rsidRDefault="00B951EE" w14:paraId="334E0E7C" w14:textId="77777777">
      <w:pPr>
        <w:spacing w:after="0" w:line="360" w:lineRule="auto"/>
        <w:jc w:val="both"/>
        <w:rPr>
          <w:rFonts w:ascii="Verdana" w:hAnsi="Verdana"/>
          <w:sz w:val="24"/>
          <w:szCs w:val="24"/>
        </w:rPr>
      </w:pPr>
      <w:r w:rsidRPr="00C140A0">
        <w:rPr>
          <w:rFonts w:ascii="Verdana" w:hAnsi="Verdana"/>
          <w:sz w:val="24"/>
          <w:szCs w:val="24"/>
        </w:rPr>
        <w:t xml:space="preserve">El pasado 9 de diciembre de 2025 se realizó la jornada virtual de Rendición de Cuentas de Paz del Sector Minero-Energético, un espacio que evidenció avances significativos en el cumplimiento del Acuerdo de Paz. Durante el evento, se destacaron logros en líneas estratégicas como la electrificación </w:t>
      </w:r>
      <w:r w:rsidRPr="00C140A0">
        <w:rPr>
          <w:rFonts w:ascii="Verdana" w:hAnsi="Verdana"/>
          <w:sz w:val="24"/>
          <w:szCs w:val="24"/>
        </w:rPr>
        <w:t>rural, el fortalecimiento de comunidades energéticas y la formalización minera, con un enfoque prioritario en el cierre de brechas en municipios PDET y ZOMAC.</w:t>
      </w:r>
    </w:p>
    <w:p w:rsidRPr="00C140A0" w:rsidR="00017216" w:rsidP="006A0A13" w:rsidRDefault="00017216" w14:paraId="548E80FD" w14:textId="77777777">
      <w:pPr>
        <w:spacing w:after="0" w:line="360" w:lineRule="auto"/>
        <w:jc w:val="both"/>
        <w:rPr>
          <w:rFonts w:ascii="Verdana" w:hAnsi="Verdana"/>
          <w:sz w:val="24"/>
          <w:szCs w:val="24"/>
        </w:rPr>
      </w:pPr>
    </w:p>
    <w:p w:rsidRPr="00B91FF3" w:rsidR="007C5423" w:rsidRDefault="46E0A1D8" w14:paraId="79F750DC" w14:textId="77777777">
      <w:pPr>
        <w:pStyle w:val="Prrafodelista"/>
        <w:numPr>
          <w:ilvl w:val="2"/>
          <w:numId w:val="42"/>
        </w:numPr>
        <w:spacing w:after="0" w:line="360" w:lineRule="auto"/>
        <w:jc w:val="both"/>
        <w:rPr>
          <w:rFonts w:ascii="Verdana" w:hAnsi="Verdana"/>
          <w:b/>
          <w:bCs/>
          <w:sz w:val="24"/>
          <w:szCs w:val="24"/>
          <w:lang w:val="es-ES"/>
        </w:rPr>
      </w:pPr>
      <w:r w:rsidRPr="180099B3">
        <w:rPr>
          <w:rFonts w:ascii="Verdana" w:hAnsi="Verdana"/>
          <w:b/>
          <w:bCs/>
          <w:sz w:val="24"/>
          <w:szCs w:val="24"/>
          <w:lang w:val="es-ES"/>
        </w:rPr>
        <w:t xml:space="preserve">Rendición de Cuentas de Paz </w:t>
      </w:r>
      <w:r w:rsidRPr="180099B3" w:rsidR="073AF86F">
        <w:rPr>
          <w:rFonts w:ascii="Verdana" w:hAnsi="Verdana"/>
          <w:b/>
          <w:bCs/>
          <w:sz w:val="24"/>
          <w:szCs w:val="24"/>
          <w:lang w:val="es-ES"/>
        </w:rPr>
        <w:t>(</w:t>
      </w:r>
      <w:r w:rsidRPr="180099B3" w:rsidR="102D5115">
        <w:rPr>
          <w:rFonts w:ascii="Verdana" w:hAnsi="Verdana"/>
          <w:b/>
          <w:bCs/>
          <w:sz w:val="24"/>
          <w:szCs w:val="24"/>
          <w:lang w:val="es-ES"/>
        </w:rPr>
        <w:t>mayo</w:t>
      </w:r>
      <w:r w:rsidRPr="180099B3" w:rsidR="073AF86F">
        <w:rPr>
          <w:rFonts w:ascii="Verdana" w:hAnsi="Verdana"/>
          <w:b/>
          <w:bCs/>
          <w:sz w:val="24"/>
          <w:szCs w:val="24"/>
          <w:lang w:val="es-ES"/>
        </w:rPr>
        <w:t xml:space="preserve"> 2026)</w:t>
      </w:r>
    </w:p>
    <w:p w:rsidRPr="00C140A0" w:rsidR="007C5423" w:rsidP="006A0A13" w:rsidRDefault="007C5423" w14:paraId="1FE5F7CB" w14:textId="77777777">
      <w:pPr>
        <w:spacing w:after="0" w:line="360" w:lineRule="auto"/>
        <w:jc w:val="both"/>
        <w:rPr>
          <w:rFonts w:ascii="Verdana" w:hAnsi="Verdana"/>
          <w:sz w:val="24"/>
          <w:szCs w:val="24"/>
        </w:rPr>
      </w:pPr>
    </w:p>
    <w:p w:rsidRPr="00C140A0" w:rsidR="007C5423" w:rsidP="006A0A13" w:rsidRDefault="007C5423" w14:paraId="545FE190" w14:textId="77777777">
      <w:pPr>
        <w:spacing w:after="0" w:line="360" w:lineRule="auto"/>
        <w:jc w:val="both"/>
        <w:rPr>
          <w:rFonts w:ascii="Verdana" w:hAnsi="Verdana"/>
          <w:sz w:val="24"/>
          <w:szCs w:val="24"/>
        </w:rPr>
      </w:pPr>
      <w:r w:rsidRPr="00C140A0">
        <w:rPr>
          <w:rFonts w:ascii="Verdana" w:hAnsi="Verdana"/>
          <w:sz w:val="24"/>
          <w:szCs w:val="24"/>
        </w:rPr>
        <w:t xml:space="preserve">En el marco de la implementación del Acuerdo de Paz y en cumplimiento de las disposiciones del Modelo Unificado de Rendición de Cuentas (MURC), el Ministerio de Minas y Energía estructuró la metodología para </w:t>
      </w:r>
      <w:r w:rsidRPr="00C140A0" w:rsidR="00B91FF3">
        <w:rPr>
          <w:rFonts w:ascii="Verdana" w:hAnsi="Verdana"/>
          <w:sz w:val="24"/>
          <w:szCs w:val="24"/>
        </w:rPr>
        <w:t>realizar un</w:t>
      </w:r>
      <w:r w:rsidRPr="00C140A0">
        <w:rPr>
          <w:rFonts w:ascii="Verdana" w:hAnsi="Verdana"/>
          <w:sz w:val="24"/>
          <w:szCs w:val="24"/>
        </w:rPr>
        <w:t xml:space="preserve"> diálogo previo con grupos de valor</w:t>
      </w:r>
      <w:r w:rsidR="00ED2BF2">
        <w:rPr>
          <w:rFonts w:ascii="Verdana" w:hAnsi="Verdana"/>
          <w:sz w:val="24"/>
          <w:szCs w:val="24"/>
        </w:rPr>
        <w:t xml:space="preserve"> en</w:t>
      </w:r>
      <w:r w:rsidRPr="00ED2BF2" w:rsidR="00ED2BF2">
        <w:rPr>
          <w:rFonts w:ascii="Verdana" w:hAnsi="Verdana"/>
          <w:sz w:val="24"/>
          <w:szCs w:val="24"/>
        </w:rPr>
        <w:t xml:space="preserve"> Villavicencio, Meta</w:t>
      </w:r>
      <w:r w:rsidRPr="00C140A0">
        <w:rPr>
          <w:rFonts w:ascii="Verdana" w:hAnsi="Verdana"/>
          <w:sz w:val="24"/>
          <w:szCs w:val="24"/>
        </w:rPr>
        <w:t xml:space="preserve">. </w:t>
      </w:r>
    </w:p>
    <w:p w:rsidRPr="00C140A0" w:rsidR="007C5423" w:rsidP="006A0A13" w:rsidRDefault="007C5423" w14:paraId="7D5D41B4" w14:textId="77777777">
      <w:pPr>
        <w:spacing w:after="0" w:line="360" w:lineRule="auto"/>
        <w:jc w:val="both"/>
        <w:rPr>
          <w:rFonts w:ascii="Verdana" w:hAnsi="Verdana"/>
          <w:b/>
          <w:bCs/>
          <w:sz w:val="24"/>
          <w:szCs w:val="24"/>
        </w:rPr>
      </w:pPr>
    </w:p>
    <w:p w:rsidRPr="00C140A0" w:rsidR="007C5423" w:rsidP="006A0A13" w:rsidRDefault="007C5423" w14:paraId="7DAE81E9" w14:textId="77777777">
      <w:pPr>
        <w:spacing w:after="0" w:line="360" w:lineRule="auto"/>
        <w:jc w:val="both"/>
        <w:rPr>
          <w:rFonts w:ascii="Verdana" w:hAnsi="Verdana"/>
          <w:sz w:val="24"/>
          <w:szCs w:val="24"/>
        </w:rPr>
      </w:pPr>
      <w:r w:rsidRPr="00C140A0">
        <w:rPr>
          <w:rFonts w:ascii="Verdana" w:hAnsi="Verdana"/>
          <w:sz w:val="24"/>
          <w:szCs w:val="24"/>
        </w:rPr>
        <w:t>La metodología y contenido de un diálogo territorial como espacio previo a la Rendición de Cuentas de paz llevado a cabo el 5 de mayo del año 2026 en la ciudad de Villavicencio del Ministerio, recoger opiniones, percepciones y recomendaciones de la ciudadanía frente a proyectos e iniciativas implementadas por el Plan Nacional de Electrificación Rural PNER.</w:t>
      </w:r>
    </w:p>
    <w:p w:rsidRPr="00C140A0" w:rsidR="007C5423" w:rsidP="006A0A13" w:rsidRDefault="007C5423" w14:paraId="2ABABAA9" w14:textId="77777777">
      <w:pPr>
        <w:spacing w:after="0" w:line="360" w:lineRule="auto"/>
        <w:jc w:val="both"/>
        <w:rPr>
          <w:rFonts w:ascii="Verdana" w:hAnsi="Verdana"/>
          <w:sz w:val="24"/>
          <w:szCs w:val="24"/>
          <w:lang w:val="es-ES_tradnl"/>
        </w:rPr>
      </w:pPr>
    </w:p>
    <w:p w:rsidRPr="00C140A0" w:rsidR="007C5423" w:rsidP="006A0A13" w:rsidRDefault="007C5423" w14:paraId="5897B857" w14:textId="77777777">
      <w:pPr>
        <w:spacing w:after="0" w:line="360" w:lineRule="auto"/>
        <w:jc w:val="both"/>
        <w:rPr>
          <w:rFonts w:ascii="Verdana" w:hAnsi="Verdana"/>
          <w:sz w:val="24"/>
          <w:szCs w:val="24"/>
          <w:lang w:val="es-ES_tradnl"/>
        </w:rPr>
      </w:pPr>
      <w:r w:rsidRPr="00C140A0">
        <w:rPr>
          <w:rFonts w:ascii="Verdana" w:hAnsi="Verdana"/>
          <w:sz w:val="24"/>
          <w:szCs w:val="24"/>
          <w:lang w:val="es-ES_tradnl"/>
        </w:rPr>
        <w:t>Se analizaron un total de 18 respuestas recogidas durante el diálogo territorial, orientado a evaluar la percepción ciudadana frente al Plan Nacional de Electrificación Rural (PNER). La encuesta combinó preguntas cerradas (tipo sí/no) con respuestas abiertas, lo que permitió realizar un análisis cuantitativo y cualitativo complementario.</w:t>
      </w:r>
    </w:p>
    <w:p w:rsidR="00ED2BF2" w:rsidP="006A0A13" w:rsidRDefault="00ED2BF2" w14:paraId="4F87BE5E" w14:textId="77777777">
      <w:pPr>
        <w:spacing w:after="0" w:line="360" w:lineRule="auto"/>
        <w:jc w:val="both"/>
        <w:rPr>
          <w:rFonts w:ascii="Verdana" w:hAnsi="Verdana"/>
          <w:sz w:val="24"/>
          <w:szCs w:val="24"/>
          <w:lang w:val="es-ES_tradnl"/>
        </w:rPr>
      </w:pPr>
    </w:p>
    <w:p w:rsidRPr="00C140A0" w:rsidR="007C5423" w:rsidP="006A0A13" w:rsidRDefault="007C5423" w14:paraId="259EF10B" w14:textId="77777777">
      <w:pPr>
        <w:spacing w:after="0" w:line="360" w:lineRule="auto"/>
        <w:jc w:val="both"/>
        <w:rPr>
          <w:rFonts w:ascii="Verdana" w:hAnsi="Verdana"/>
          <w:sz w:val="24"/>
          <w:szCs w:val="24"/>
          <w:lang w:val="es-ES_tradnl"/>
        </w:rPr>
      </w:pPr>
      <w:r w:rsidRPr="00C140A0">
        <w:rPr>
          <w:rFonts w:ascii="Verdana" w:hAnsi="Verdana"/>
          <w:sz w:val="24"/>
          <w:szCs w:val="24"/>
          <w:lang w:val="es-ES_tradnl"/>
        </w:rPr>
        <w:t>El público objetivo al que fue socializado el PNER, fueron líderes sociales, actores comunitarios, firmantes de paz, víctimas del conflicto y excombatientes de los municipios Planes de Desarrollo con Enfoque Territorial (PDET) de la subregión de Macarena Guaviare que son actores clave y beneficiaros directos del PNER.</w:t>
      </w:r>
    </w:p>
    <w:p w:rsidRPr="00C140A0" w:rsidR="007C5423" w:rsidP="006A0A13" w:rsidRDefault="007C5423" w14:paraId="5D92051E" w14:textId="77777777">
      <w:pPr>
        <w:spacing w:after="0" w:line="360" w:lineRule="auto"/>
        <w:jc w:val="both"/>
        <w:rPr>
          <w:rFonts w:ascii="Verdana" w:hAnsi="Verdana"/>
          <w:sz w:val="24"/>
          <w:szCs w:val="24"/>
          <w:lang w:val="es-ES_tradnl"/>
        </w:rPr>
      </w:pPr>
    </w:p>
    <w:p w:rsidRPr="00C140A0" w:rsidR="007C5423" w:rsidP="006A0A13" w:rsidRDefault="007C5423" w14:paraId="45DB2CBC" w14:textId="77777777">
      <w:pPr>
        <w:spacing w:after="0" w:line="360" w:lineRule="auto"/>
        <w:jc w:val="both"/>
        <w:rPr>
          <w:rFonts w:ascii="Verdana" w:hAnsi="Verdana"/>
          <w:sz w:val="24"/>
          <w:szCs w:val="24"/>
          <w:lang w:val="es-ES_tradnl"/>
        </w:rPr>
      </w:pPr>
      <w:r w:rsidRPr="00C140A0">
        <w:rPr>
          <w:rFonts w:ascii="Verdana" w:hAnsi="Verdana"/>
          <w:sz w:val="24"/>
          <w:szCs w:val="24"/>
          <w:lang w:val="es-ES_tradnl"/>
        </w:rPr>
        <w:t>En conclusión, El PNER es percibido como necesario, pero su legitimidad depende de mejorar la calidad, pertinencia y cumplimiento de los proyectos, así como de fortalecer la confianza institucional.</w:t>
      </w:r>
    </w:p>
    <w:p w:rsidRPr="00C140A0" w:rsidR="007C5423" w:rsidP="006A0A13" w:rsidRDefault="007C5423" w14:paraId="0450042A" w14:textId="77777777">
      <w:pPr>
        <w:spacing w:after="0" w:line="360" w:lineRule="auto"/>
        <w:jc w:val="both"/>
        <w:rPr>
          <w:rFonts w:ascii="Verdana" w:hAnsi="Verdana"/>
          <w:sz w:val="24"/>
          <w:szCs w:val="24"/>
          <w:lang w:val="es-ES_tradnl"/>
        </w:rPr>
      </w:pPr>
    </w:p>
    <w:p w:rsidRPr="00C140A0" w:rsidR="007C5423" w:rsidP="006A0A13" w:rsidRDefault="007C5423" w14:paraId="0CBC66E6" w14:textId="77777777">
      <w:pPr>
        <w:spacing w:after="0" w:line="360" w:lineRule="auto"/>
        <w:jc w:val="both"/>
        <w:rPr>
          <w:rFonts w:ascii="Verdana" w:hAnsi="Verdana"/>
          <w:sz w:val="24"/>
          <w:szCs w:val="24"/>
          <w:lang w:val="es-ES_tradnl"/>
        </w:rPr>
      </w:pPr>
      <w:r w:rsidRPr="00C140A0">
        <w:rPr>
          <w:rFonts w:ascii="Verdana" w:hAnsi="Verdana"/>
          <w:sz w:val="24"/>
          <w:szCs w:val="24"/>
          <w:lang w:val="es-ES_tradnl"/>
        </w:rPr>
        <w:t xml:space="preserve">Como compromiso del sector minero energético, las preguntas y solicitudes que por tiempo no pudieron ser respondidas en el espacio de diálogo, quedaron como Solicitudes de Derechos de Petición que serán respondidos en los próximos días después del evento. </w:t>
      </w:r>
    </w:p>
    <w:p w:rsidRPr="00C140A0" w:rsidR="007C5423" w:rsidP="006A0A13" w:rsidRDefault="007C5423" w14:paraId="32C43C67" w14:textId="77777777">
      <w:pPr>
        <w:spacing w:after="0" w:line="360" w:lineRule="auto"/>
        <w:rPr>
          <w:rFonts w:ascii="Verdana" w:hAnsi="Verdana"/>
          <w:sz w:val="24"/>
          <w:szCs w:val="24"/>
          <w:lang w:val="es-ES_tradnl"/>
        </w:rPr>
      </w:pPr>
    </w:p>
    <w:p w:rsidRPr="00ED2BF2" w:rsidR="007C5423" w:rsidRDefault="007C5423" w14:paraId="2D4E13C3" w14:textId="77777777">
      <w:pPr>
        <w:pStyle w:val="Prrafodelista"/>
        <w:numPr>
          <w:ilvl w:val="2"/>
          <w:numId w:val="42"/>
        </w:numPr>
        <w:spacing w:after="0" w:line="360" w:lineRule="auto"/>
        <w:jc w:val="both"/>
        <w:rPr>
          <w:rFonts w:ascii="Verdana" w:hAnsi="Verdana"/>
          <w:b/>
          <w:bCs/>
          <w:sz w:val="24"/>
          <w:szCs w:val="24"/>
          <w:lang w:val="es-ES_tradnl"/>
        </w:rPr>
      </w:pPr>
      <w:r w:rsidRPr="00ED2BF2">
        <w:rPr>
          <w:rFonts w:ascii="Verdana" w:hAnsi="Verdana"/>
          <w:b/>
          <w:bCs/>
          <w:sz w:val="24"/>
          <w:szCs w:val="24"/>
          <w:lang w:val="es-ES_tradnl"/>
        </w:rPr>
        <w:t xml:space="preserve">Rendición de cuentas sectorial </w:t>
      </w:r>
    </w:p>
    <w:p w:rsidRPr="00C140A0" w:rsidR="007C5423" w:rsidP="006A0A13" w:rsidRDefault="007C5423" w14:paraId="2758D93D" w14:textId="77777777">
      <w:pPr>
        <w:spacing w:after="0" w:line="360" w:lineRule="auto"/>
        <w:jc w:val="both"/>
        <w:rPr>
          <w:rFonts w:ascii="Verdana" w:hAnsi="Verdana"/>
          <w:sz w:val="24"/>
          <w:szCs w:val="24"/>
          <w:lang w:val="es-ES_tradnl"/>
        </w:rPr>
      </w:pPr>
    </w:p>
    <w:p w:rsidRPr="00C140A0" w:rsidR="007C5423" w:rsidP="006A0A13" w:rsidRDefault="007C5423" w14:paraId="1692B1E2" w14:textId="77777777">
      <w:pPr>
        <w:spacing w:after="0" w:line="360" w:lineRule="auto"/>
        <w:jc w:val="both"/>
        <w:rPr>
          <w:rFonts w:ascii="Verdana" w:hAnsi="Verdana"/>
          <w:sz w:val="24"/>
          <w:szCs w:val="24"/>
        </w:rPr>
      </w:pPr>
      <w:r w:rsidRPr="00C140A0">
        <w:rPr>
          <w:rFonts w:ascii="Verdana" w:hAnsi="Verdana"/>
          <w:sz w:val="24"/>
          <w:szCs w:val="24"/>
        </w:rPr>
        <w:t>En cumplimiento de los lineamientos establecidos en el Manual Único de Rendición de Cuentas (MURC) y en el marco de la estrategia de participación ciudadana del Ministerio de Minas y Energía, se desarrolló un diálogo territorial previo al ejercicio de Rendición de Cuentas</w:t>
      </w:r>
      <w:r w:rsidR="00ED2BF2">
        <w:rPr>
          <w:rFonts w:ascii="Verdana" w:hAnsi="Verdana"/>
          <w:sz w:val="24"/>
          <w:szCs w:val="24"/>
        </w:rPr>
        <w:t xml:space="preserve"> en </w:t>
      </w:r>
      <w:r w:rsidRPr="00C140A0" w:rsidR="00ED2BF2">
        <w:rPr>
          <w:rFonts w:ascii="Verdana" w:hAnsi="Verdana"/>
          <w:sz w:val="24"/>
          <w:szCs w:val="24"/>
          <w:lang w:val="es-ES_tradnl"/>
        </w:rPr>
        <w:t>Florencia, Caquetá</w:t>
      </w:r>
      <w:r w:rsidRPr="00C140A0">
        <w:rPr>
          <w:rFonts w:ascii="Verdana" w:hAnsi="Verdana"/>
          <w:sz w:val="24"/>
          <w:szCs w:val="24"/>
        </w:rPr>
        <w:t>, con el propósito de generar un espacio de encuentro, escucha y construcción colectiva entre la ciudadanía, los actores del territorio y la entidad.</w:t>
      </w:r>
    </w:p>
    <w:p w:rsidRPr="00C140A0" w:rsidR="00F54D3B" w:rsidP="006A0A13" w:rsidRDefault="00F54D3B" w14:paraId="14BEF1D6" w14:textId="77777777">
      <w:pPr>
        <w:spacing w:after="0" w:line="360" w:lineRule="auto"/>
        <w:jc w:val="both"/>
        <w:rPr>
          <w:rFonts w:ascii="Verdana" w:hAnsi="Verdana"/>
          <w:sz w:val="24"/>
          <w:szCs w:val="24"/>
        </w:rPr>
      </w:pPr>
    </w:p>
    <w:p w:rsidRPr="00C140A0" w:rsidR="007C5423" w:rsidP="006A0A13" w:rsidRDefault="007C5423" w14:paraId="7C506433" w14:textId="77777777">
      <w:pPr>
        <w:spacing w:after="0" w:line="360" w:lineRule="auto"/>
        <w:jc w:val="both"/>
        <w:rPr>
          <w:rFonts w:ascii="Verdana" w:hAnsi="Verdana"/>
          <w:sz w:val="24"/>
          <w:szCs w:val="24"/>
        </w:rPr>
      </w:pPr>
      <w:r w:rsidRPr="00C140A0">
        <w:rPr>
          <w:rFonts w:ascii="Verdana" w:hAnsi="Verdana"/>
          <w:sz w:val="24"/>
          <w:szCs w:val="24"/>
        </w:rPr>
        <w:t>Esta actividad tuvo como objetivo conocer las percepciones, opiniones y recomendaciones de los grupos de valor frente a la gestión adelantada por el sector minero-energético durante el cuatrienio, especialmente en materia de minería, hidrocarburos y energía. Asimismo, buscó fortalecer los principios de transparencia, participación ciudadana y diálogo permanente con la ciudadanía, promovidos por el MURC como elementos fundamentales para una rendición de cuentas efectiva.</w:t>
      </w:r>
    </w:p>
    <w:p w:rsidRPr="00C140A0" w:rsidR="00F54D3B" w:rsidP="006A0A13" w:rsidRDefault="00F54D3B" w14:paraId="3320E0FA" w14:textId="77777777">
      <w:pPr>
        <w:spacing w:after="0" w:line="360" w:lineRule="auto"/>
        <w:jc w:val="both"/>
        <w:rPr>
          <w:rFonts w:ascii="Verdana" w:hAnsi="Verdana"/>
          <w:sz w:val="24"/>
          <w:szCs w:val="24"/>
        </w:rPr>
      </w:pPr>
    </w:p>
    <w:p w:rsidRPr="00C140A0" w:rsidR="007C5423" w:rsidP="006A0A13" w:rsidRDefault="007C5423" w14:paraId="0F63B8C1" w14:textId="77777777">
      <w:pPr>
        <w:spacing w:after="0" w:line="360" w:lineRule="auto"/>
        <w:jc w:val="both"/>
        <w:rPr>
          <w:rFonts w:ascii="Verdana" w:hAnsi="Verdana"/>
          <w:sz w:val="24"/>
          <w:szCs w:val="24"/>
        </w:rPr>
      </w:pPr>
      <w:r w:rsidRPr="00C140A0">
        <w:rPr>
          <w:rFonts w:ascii="Verdana" w:hAnsi="Verdana"/>
          <w:sz w:val="24"/>
          <w:szCs w:val="24"/>
        </w:rPr>
        <w:t xml:space="preserve">Para el desarrollo de este ejercicio se implementó una metodología participativa, territorial y deliberativa, orientada a propiciar el intercambio de experiencias y la construcción colectiva de conocimientos. La </w:t>
      </w:r>
      <w:r w:rsidRPr="00C140A0">
        <w:rPr>
          <w:rFonts w:ascii="Verdana" w:hAnsi="Verdana"/>
          <w:sz w:val="24"/>
          <w:szCs w:val="24"/>
        </w:rPr>
        <w:t>metodología incluyó espacios de reconocimiento del contexto territorial, diálogo estructurado en mesas temáticas y socialización de resultados, permitiendo recoger de manera organizada las voces, expectativas y valoraciones de los participantes frente a la gestión institucional.</w:t>
      </w:r>
    </w:p>
    <w:p w:rsidRPr="00C140A0" w:rsidR="00F54D3B" w:rsidP="006A0A13" w:rsidRDefault="00F54D3B" w14:paraId="7FB38718" w14:textId="77777777">
      <w:pPr>
        <w:spacing w:after="0" w:line="360" w:lineRule="auto"/>
        <w:jc w:val="both"/>
        <w:rPr>
          <w:rFonts w:ascii="Verdana" w:hAnsi="Verdana"/>
          <w:sz w:val="24"/>
          <w:szCs w:val="24"/>
        </w:rPr>
      </w:pPr>
    </w:p>
    <w:p w:rsidRPr="00C140A0" w:rsidR="007C5423" w:rsidP="006A0A13" w:rsidRDefault="007C5423" w14:paraId="2552B2C2" w14:textId="77777777">
      <w:pPr>
        <w:spacing w:after="0" w:line="360" w:lineRule="auto"/>
        <w:jc w:val="both"/>
        <w:rPr>
          <w:rFonts w:ascii="Verdana" w:hAnsi="Verdana"/>
          <w:sz w:val="24"/>
          <w:szCs w:val="24"/>
        </w:rPr>
      </w:pPr>
      <w:r w:rsidRPr="00C140A0">
        <w:rPr>
          <w:rFonts w:ascii="Verdana" w:hAnsi="Verdana"/>
          <w:sz w:val="24"/>
          <w:szCs w:val="24"/>
        </w:rPr>
        <w:t>A través de tres mesas de trabajo enfocadas en identificar los principales logros alcanzados, los retos que requieren atención</w:t>
      </w:r>
      <w:r w:rsidR="00ED2BF2">
        <w:rPr>
          <w:rFonts w:ascii="Verdana" w:hAnsi="Verdana"/>
          <w:sz w:val="24"/>
          <w:szCs w:val="24"/>
        </w:rPr>
        <w:t xml:space="preserve"> </w:t>
      </w:r>
      <w:r w:rsidRPr="00C140A0">
        <w:rPr>
          <w:rFonts w:ascii="Verdana" w:hAnsi="Verdana"/>
          <w:sz w:val="24"/>
          <w:szCs w:val="24"/>
        </w:rPr>
        <w:t>prioritaria y las lecciones aprendidas derivadas de la implementación de proyectos e iniciativas en el territorio, se consolidaron insumos relevantes para fortalecer el proceso de rendición de cuentas y aportar a la mejora continua de la gestión pública.</w:t>
      </w:r>
    </w:p>
    <w:p w:rsidR="00ED2BF2" w:rsidP="006A0A13" w:rsidRDefault="00ED2BF2" w14:paraId="70A08CDF" w14:textId="77777777">
      <w:pPr>
        <w:spacing w:after="0" w:line="360" w:lineRule="auto"/>
        <w:jc w:val="both"/>
        <w:rPr>
          <w:rFonts w:ascii="Verdana" w:hAnsi="Verdana"/>
          <w:sz w:val="24"/>
          <w:szCs w:val="24"/>
        </w:rPr>
      </w:pPr>
    </w:p>
    <w:p w:rsidRPr="00C140A0" w:rsidR="00E93796" w:rsidP="006A0A13" w:rsidRDefault="007C5423" w14:paraId="5A494364" w14:textId="77777777">
      <w:pPr>
        <w:spacing w:after="0" w:line="360" w:lineRule="auto"/>
        <w:jc w:val="both"/>
        <w:rPr>
          <w:rFonts w:ascii="Verdana" w:hAnsi="Verdana"/>
          <w:sz w:val="24"/>
          <w:szCs w:val="24"/>
        </w:rPr>
      </w:pPr>
      <w:r w:rsidRPr="00C140A0">
        <w:rPr>
          <w:rFonts w:ascii="Verdana" w:hAnsi="Verdana"/>
          <w:sz w:val="24"/>
          <w:szCs w:val="24"/>
        </w:rPr>
        <w:t>Los resultados que se presentan a continuación reflejan las principales reflexiones, percepciones y recomendaciones expresadas por los participantes, constituyéndose en un aporte significativo para la comprensión de las dinámicas territoriales y para el fortalecimiento de una gestión institucional más transparente, participativa y orientada a las necesidades de la ciudadanía.</w:t>
      </w:r>
    </w:p>
    <w:p w:rsidRPr="00C140A0" w:rsidR="00B951EE" w:rsidP="006A0A13" w:rsidRDefault="00B951EE" w14:paraId="47AB413F" w14:textId="77777777">
      <w:pPr>
        <w:spacing w:after="0" w:line="360" w:lineRule="auto"/>
        <w:jc w:val="both"/>
        <w:rPr>
          <w:rFonts w:ascii="Verdana" w:hAnsi="Verdana"/>
          <w:b/>
          <w:bCs/>
          <w:sz w:val="24"/>
          <w:szCs w:val="24"/>
        </w:rPr>
      </w:pPr>
    </w:p>
    <w:p w:rsidRPr="00C140A0" w:rsidR="00A82055" w:rsidRDefault="63FAAF4A" w14:paraId="0FF2F9A3" w14:textId="77777777">
      <w:pPr>
        <w:pStyle w:val="Prrafodelista"/>
        <w:numPr>
          <w:ilvl w:val="1"/>
          <w:numId w:val="42"/>
        </w:numPr>
        <w:spacing w:after="0" w:line="360" w:lineRule="auto"/>
        <w:outlineLvl w:val="1"/>
        <w:rPr>
          <w:rFonts w:ascii="Verdana" w:hAnsi="Verdana"/>
          <w:b/>
          <w:bCs/>
          <w:sz w:val="24"/>
          <w:szCs w:val="24"/>
        </w:rPr>
      </w:pPr>
      <w:bookmarkStart w:name="_Toc233996740" w:id="23"/>
      <w:r w:rsidRPr="11835F2D">
        <w:rPr>
          <w:rFonts w:ascii="Verdana" w:hAnsi="Verdana"/>
          <w:b/>
          <w:bCs/>
          <w:sz w:val="24"/>
          <w:szCs w:val="24"/>
        </w:rPr>
        <w:t>Oferta de trámites y servicios</w:t>
      </w:r>
      <w:bookmarkEnd w:id="23"/>
      <w:r w:rsidRPr="11835F2D">
        <w:rPr>
          <w:rFonts w:ascii="Verdana" w:hAnsi="Verdana"/>
          <w:b/>
          <w:bCs/>
          <w:sz w:val="24"/>
          <w:szCs w:val="24"/>
        </w:rPr>
        <w:t xml:space="preserve"> </w:t>
      </w:r>
    </w:p>
    <w:p w:rsidRPr="00C140A0" w:rsidR="00A82055" w:rsidP="006A0A13" w:rsidRDefault="00A82055" w14:paraId="775F9D55" w14:textId="77777777">
      <w:pPr>
        <w:spacing w:after="0" w:line="360" w:lineRule="auto"/>
        <w:rPr>
          <w:rFonts w:ascii="Verdana" w:hAnsi="Verdana"/>
          <w:b/>
          <w:bCs/>
          <w:sz w:val="24"/>
          <w:szCs w:val="24"/>
        </w:rPr>
      </w:pPr>
    </w:p>
    <w:p w:rsidR="2D8AFDE3" w:rsidP="006A0A13" w:rsidRDefault="2D8AFDE3" w14:paraId="2A23ABC8" w14:textId="77777777">
      <w:pPr>
        <w:spacing w:after="0" w:line="360" w:lineRule="auto"/>
        <w:jc w:val="both"/>
        <w:rPr>
          <w:rFonts w:ascii="Verdana" w:hAnsi="Verdana" w:eastAsia="Aptos"/>
          <w:sz w:val="24"/>
          <w:szCs w:val="24"/>
        </w:rPr>
      </w:pPr>
      <w:r w:rsidRPr="11835F2D">
        <w:rPr>
          <w:rFonts w:ascii="Verdana" w:hAnsi="Verdana" w:eastAsia="Aptos"/>
          <w:sz w:val="24"/>
          <w:szCs w:val="24"/>
        </w:rPr>
        <w:t xml:space="preserve">El proceso de elaboración y determinación de la oferta de trámites y servicios del Ministerio de Minas y Energía parte de un ejercicio sistemático de levantamiento y análisis de información interna, en el que se identifican todas las actuaciones administrativas, planes y proyectos que generan interacción con todos sus grupos de valor; Este proceso implicó revisar el marco normativo vigente, los procedimientos definidos en cada dependencia y los puntos de contacto existentes, con el fin de consolidar un inventario completo, claro y actualizado. A partir de allí, se realizó una clasificación y caracterización de los trámites y servicios, </w:t>
      </w:r>
      <w:r w:rsidRPr="11835F2D">
        <w:rPr>
          <w:rFonts w:ascii="Verdana" w:hAnsi="Verdana" w:eastAsia="Aptos"/>
          <w:sz w:val="24"/>
          <w:szCs w:val="24"/>
        </w:rPr>
        <w:t>evaluando aspectos como su finalidad, requisitos, tiempos de respuesta y canales de atención, lo que permite estandarizar la oferta institucional y garantizar su coherencia con las políticas de simplificación, racionalización y mejora regulatoria.</w:t>
      </w:r>
    </w:p>
    <w:p w:rsidR="2D8AFDE3" w:rsidP="006A0A13" w:rsidRDefault="2D8AFDE3" w14:paraId="3581F2B2" w14:textId="77777777">
      <w:pPr>
        <w:spacing w:after="0" w:line="360" w:lineRule="auto"/>
        <w:jc w:val="both"/>
        <w:rPr>
          <w:rFonts w:ascii="Verdana" w:hAnsi="Verdana" w:eastAsia="Aptos"/>
          <w:sz w:val="24"/>
          <w:szCs w:val="24"/>
        </w:rPr>
      </w:pPr>
      <w:r w:rsidRPr="11835F2D">
        <w:rPr>
          <w:rFonts w:ascii="Verdana" w:hAnsi="Verdana" w:eastAsia="Aptos"/>
          <w:sz w:val="24"/>
          <w:szCs w:val="24"/>
        </w:rPr>
        <w:t xml:space="preserve"> </w:t>
      </w:r>
    </w:p>
    <w:p w:rsidR="2D8AFDE3" w:rsidP="006A0A13" w:rsidRDefault="2D8AFDE3" w14:paraId="554864BD" w14:textId="77777777">
      <w:pPr>
        <w:spacing w:after="0" w:line="360" w:lineRule="auto"/>
        <w:jc w:val="both"/>
        <w:rPr>
          <w:rFonts w:ascii="Verdana" w:hAnsi="Verdana" w:eastAsia="Aptos"/>
          <w:sz w:val="24"/>
          <w:szCs w:val="24"/>
        </w:rPr>
      </w:pPr>
      <w:r w:rsidRPr="11835F2D">
        <w:rPr>
          <w:rFonts w:ascii="Verdana" w:hAnsi="Verdana" w:eastAsia="Aptos"/>
          <w:sz w:val="24"/>
          <w:szCs w:val="24"/>
        </w:rPr>
        <w:t>Por su parte, la identificación de la oferta institucional al interior del Ministerio se sustentó en la articulación entre las diferentes áreas misionales y de apoyo, promoviendo la participación de los equipos responsables de cada proceso para validar la información recopilada. Este ejercicio no solo busca reconocer qué trámites y servicios se prestan, sino también comprender su valor para los usuarios, detectar duplicidades, oportunidades de mejora y mecanismos de optimización. Como resultado, se consolida una oferta institucional integral que facilita la transparencia, el acceso a la información y la orientación al ciudadano, contribuyendo al fortalecimiento de la gestión pública y al cumplimiento de los objetivos estratégicos del sector minero-energético.</w:t>
      </w:r>
    </w:p>
    <w:p w:rsidR="11835F2D" w:rsidP="006A0A13" w:rsidRDefault="11835F2D" w14:paraId="554D8AD7" w14:textId="77777777">
      <w:pPr>
        <w:spacing w:after="0" w:line="360" w:lineRule="auto"/>
        <w:rPr>
          <w:rFonts w:ascii="Verdana" w:hAnsi="Verdana"/>
          <w:b/>
          <w:bCs/>
          <w:sz w:val="24"/>
          <w:szCs w:val="24"/>
        </w:rPr>
      </w:pPr>
    </w:p>
    <w:p w:rsidR="00DB5DFD" w:rsidRDefault="63FAAF4A" w14:paraId="1AD42E54" w14:textId="77777777">
      <w:pPr>
        <w:pStyle w:val="Prrafodelista"/>
        <w:numPr>
          <w:ilvl w:val="0"/>
          <w:numId w:val="42"/>
        </w:numPr>
        <w:spacing w:after="0" w:line="360" w:lineRule="auto"/>
        <w:ind w:left="360"/>
        <w:outlineLvl w:val="1"/>
        <w:rPr>
          <w:rFonts w:ascii="Verdana" w:hAnsi="Verdana"/>
          <w:b/>
          <w:bCs/>
          <w:sz w:val="24"/>
          <w:szCs w:val="24"/>
        </w:rPr>
      </w:pPr>
      <w:bookmarkStart w:name="_Toc233996741" w:id="24"/>
      <w:r w:rsidRPr="11835F2D">
        <w:rPr>
          <w:rFonts w:ascii="Verdana" w:hAnsi="Verdana"/>
          <w:b/>
          <w:bCs/>
          <w:sz w:val="24"/>
          <w:szCs w:val="24"/>
        </w:rPr>
        <w:t xml:space="preserve">Derechos </w:t>
      </w:r>
      <w:r w:rsidRPr="11835F2D" w:rsidR="6850D9B5">
        <w:rPr>
          <w:rFonts w:ascii="Verdana" w:hAnsi="Verdana"/>
          <w:b/>
          <w:bCs/>
          <w:sz w:val="24"/>
          <w:szCs w:val="24"/>
        </w:rPr>
        <w:t>H</w:t>
      </w:r>
      <w:r w:rsidRPr="11835F2D">
        <w:rPr>
          <w:rFonts w:ascii="Verdana" w:hAnsi="Verdana"/>
          <w:b/>
          <w:bCs/>
          <w:sz w:val="24"/>
          <w:szCs w:val="24"/>
        </w:rPr>
        <w:t xml:space="preserve">umanos y </w:t>
      </w:r>
      <w:r w:rsidRPr="11835F2D" w:rsidR="2E66E22F">
        <w:rPr>
          <w:rFonts w:ascii="Verdana" w:hAnsi="Verdana"/>
          <w:b/>
          <w:bCs/>
          <w:sz w:val="24"/>
          <w:szCs w:val="24"/>
        </w:rPr>
        <w:t>P</w:t>
      </w:r>
      <w:r w:rsidRPr="11835F2D">
        <w:rPr>
          <w:rFonts w:ascii="Verdana" w:hAnsi="Verdana"/>
          <w:b/>
          <w:bCs/>
          <w:sz w:val="24"/>
          <w:szCs w:val="24"/>
        </w:rPr>
        <w:t>az</w:t>
      </w:r>
      <w:bookmarkEnd w:id="24"/>
    </w:p>
    <w:p w:rsidR="00DB5DFD" w:rsidP="006A0A13" w:rsidRDefault="00DB5DFD" w14:paraId="59020649" w14:textId="77777777">
      <w:pPr>
        <w:spacing w:after="0" w:line="360" w:lineRule="auto"/>
        <w:rPr>
          <w:rFonts w:ascii="Verdana" w:hAnsi="Verdana"/>
          <w:b/>
          <w:bCs/>
          <w:sz w:val="24"/>
          <w:szCs w:val="24"/>
        </w:rPr>
      </w:pPr>
    </w:p>
    <w:p w:rsidRPr="00DB5DFD" w:rsidR="00DB5DFD" w:rsidP="006A0A13" w:rsidRDefault="00DB5DFD" w14:paraId="3DB7FA15" w14:textId="77777777">
      <w:pPr>
        <w:spacing w:after="0" w:line="360" w:lineRule="auto"/>
        <w:jc w:val="both"/>
        <w:rPr>
          <w:rFonts w:ascii="Verdana" w:hAnsi="Verdana"/>
          <w:sz w:val="24"/>
          <w:szCs w:val="24"/>
        </w:rPr>
      </w:pPr>
      <w:r w:rsidRPr="00DB5DFD">
        <w:rPr>
          <w:rFonts w:ascii="Verdana" w:hAnsi="Verdana"/>
          <w:sz w:val="24"/>
          <w:szCs w:val="24"/>
        </w:rPr>
        <w:t>En el marco del Plan Nacional de Desarrollo 2022–2026, el Ministerio de Minas y Energía orientó su gestión hacia la construcción de una Colombia más justa, equitativa y humana, impulsando el acceso digno a la energía, la reducción de las brechas territoriales y el fortalecimiento de la participación ciudadana en las decisiones del sector energético. Consciente de los desafíos que enfrenta el país, el Ministerio dispuso su Oficina de Asuntos Ambientales y Sociales (OAAS) a promover un diálogo cercano con las comunidades, impulsar la sostenibilidad de los proyectos y contribuir a una transición energética justa con enfoque de derechos, inclusión, territorial, ambiental y social.</w:t>
      </w:r>
    </w:p>
    <w:p w:rsidR="00DB5DFD" w:rsidP="006A0A13" w:rsidRDefault="00DB5DFD" w14:paraId="5601D01E" w14:textId="77777777">
      <w:pPr>
        <w:spacing w:after="0" w:line="360" w:lineRule="auto"/>
        <w:jc w:val="both"/>
        <w:rPr>
          <w:rFonts w:ascii="Verdana" w:hAnsi="Verdana"/>
          <w:sz w:val="24"/>
          <w:szCs w:val="24"/>
        </w:rPr>
      </w:pPr>
    </w:p>
    <w:p w:rsidR="00DB5DFD" w:rsidP="006A0A13" w:rsidRDefault="00DB5DFD" w14:paraId="1E99FC99" w14:textId="77777777">
      <w:pPr>
        <w:spacing w:after="0" w:line="360" w:lineRule="auto"/>
        <w:jc w:val="both"/>
        <w:rPr>
          <w:rFonts w:ascii="Verdana" w:hAnsi="Verdana"/>
          <w:sz w:val="24"/>
          <w:szCs w:val="24"/>
        </w:rPr>
      </w:pPr>
      <w:r w:rsidRPr="00DB5DFD">
        <w:rPr>
          <w:rFonts w:ascii="Verdana" w:hAnsi="Verdana"/>
          <w:sz w:val="24"/>
          <w:szCs w:val="24"/>
        </w:rPr>
        <w:t>A través del Observatorio, una herramienta de seguimiento y análisis territorial de la (OAAS) para el monitoreo de conflictividades, alertas tempranas y espacios de diálogo del sector minero-energético, se logró consolidar información clave para la gestión ambiental y social durante el cuatrienio.</w:t>
      </w:r>
    </w:p>
    <w:p w:rsidR="00DB5DFD" w:rsidP="006A0A13" w:rsidRDefault="00DB5DFD" w14:paraId="147C2A10" w14:textId="77777777">
      <w:pPr>
        <w:spacing w:after="0" w:line="360" w:lineRule="auto"/>
        <w:jc w:val="both"/>
        <w:rPr>
          <w:rFonts w:ascii="Verdana" w:hAnsi="Verdana"/>
          <w:sz w:val="24"/>
          <w:szCs w:val="24"/>
        </w:rPr>
      </w:pPr>
    </w:p>
    <w:p w:rsidRPr="00DB5DFD" w:rsidR="00DB5DFD" w:rsidP="006A0A13" w:rsidRDefault="00DB5DFD" w14:paraId="7A666F4A" w14:textId="77777777">
      <w:pPr>
        <w:spacing w:after="0" w:line="360" w:lineRule="auto"/>
        <w:jc w:val="both"/>
        <w:rPr>
          <w:rFonts w:ascii="Verdana" w:hAnsi="Verdana"/>
          <w:b/>
          <w:bCs/>
          <w:sz w:val="24"/>
          <w:szCs w:val="24"/>
        </w:rPr>
      </w:pPr>
      <w:r w:rsidRPr="00DB5DFD">
        <w:rPr>
          <w:rFonts w:ascii="Verdana" w:hAnsi="Verdana"/>
          <w:b/>
          <w:bCs/>
          <w:sz w:val="24"/>
          <w:szCs w:val="24"/>
        </w:rPr>
        <w:t>Estrategia de Relacionamiento Territorial</w:t>
      </w:r>
    </w:p>
    <w:p w:rsidR="00DB5DFD" w:rsidP="006A0A13" w:rsidRDefault="00DB5DFD" w14:paraId="46C87506" w14:textId="77777777">
      <w:pPr>
        <w:spacing w:after="0" w:line="360" w:lineRule="auto"/>
        <w:jc w:val="both"/>
        <w:rPr>
          <w:rFonts w:ascii="Verdana" w:hAnsi="Verdana"/>
          <w:sz w:val="24"/>
          <w:szCs w:val="24"/>
        </w:rPr>
      </w:pPr>
    </w:p>
    <w:p w:rsidR="00DB5DFD" w:rsidP="006A0A13" w:rsidRDefault="00DB5DFD" w14:paraId="133E4CDC" w14:textId="77777777">
      <w:pPr>
        <w:spacing w:after="0" w:line="360" w:lineRule="auto"/>
        <w:jc w:val="both"/>
        <w:rPr>
          <w:rFonts w:ascii="Verdana" w:hAnsi="Verdana"/>
          <w:sz w:val="24"/>
          <w:szCs w:val="24"/>
        </w:rPr>
      </w:pPr>
      <w:r w:rsidRPr="00DB5DFD">
        <w:rPr>
          <w:rFonts w:ascii="Verdana" w:hAnsi="Verdana"/>
          <w:sz w:val="24"/>
          <w:szCs w:val="24"/>
        </w:rPr>
        <w:t xml:space="preserve">Durante el cuatrienio 2023-2026 se muestra una evolución en el relacionamiento social enmarcados en nuestra Estrategia de Relacionamiento Territorial (ERT). Primero se abrieron espacios ciudadanos, luego se consolidó una estrategia territorial masiva de participación y, finalmente, se avanzó hacia la organización formal de Comités de Participación y Control Social —CPCS— y sus planes de acción. El consolidado operativo más robusto reporta 122 actividades realizadas entre 2024 y octubre de 2025, con 27.964 participantes, presencia en 23 departamentos y una fase posterior de formalización de 35 planes de acción CPCS entre diciembre de 2025 y febrero de 2026. </w:t>
      </w:r>
    </w:p>
    <w:p w:rsidRPr="00DB5DFD" w:rsidR="00DB5DFD" w:rsidP="006A0A13" w:rsidRDefault="00DB5DFD" w14:paraId="58175A0E" w14:textId="77777777">
      <w:pPr>
        <w:spacing w:after="0" w:line="360" w:lineRule="auto"/>
        <w:jc w:val="both"/>
        <w:rPr>
          <w:rFonts w:ascii="Verdana" w:hAnsi="Verdana"/>
          <w:sz w:val="24"/>
          <w:szCs w:val="24"/>
        </w:rPr>
      </w:pPr>
    </w:p>
    <w:p w:rsidRPr="00DB5DFD" w:rsidR="00DB5DFD" w:rsidP="00DB5DFD" w:rsidRDefault="42C6FD43" w14:paraId="12E6A587" w14:textId="77777777">
      <w:pPr>
        <w:spacing w:after="0" w:line="240" w:lineRule="auto"/>
        <w:jc w:val="center"/>
        <w:rPr>
          <w:rFonts w:ascii="Verdana" w:hAnsi="Verdana" w:eastAsia="Times New Roman" w:cs="Arial"/>
          <w:color w:val="000000" w:themeColor="text1"/>
          <w:sz w:val="18"/>
          <w:szCs w:val="18"/>
        </w:rPr>
      </w:pPr>
      <w:r w:rsidRPr="180099B3">
        <w:rPr>
          <w:rFonts w:ascii="Verdana" w:hAnsi="Verdana" w:eastAsia="Times New Roman" w:cs="Arial"/>
          <w:color w:val="000000" w:themeColor="text1"/>
          <w:sz w:val="18"/>
          <w:szCs w:val="18"/>
        </w:rPr>
        <w:t xml:space="preserve">Tabla </w:t>
      </w:r>
      <w:r w:rsidRPr="180099B3" w:rsidR="1E3627E9">
        <w:rPr>
          <w:rFonts w:ascii="Verdana" w:hAnsi="Verdana" w:eastAsia="Times New Roman" w:cs="Arial"/>
          <w:color w:val="000000" w:themeColor="text1"/>
          <w:sz w:val="18"/>
          <w:szCs w:val="18"/>
        </w:rPr>
        <w:t xml:space="preserve">No. </w:t>
      </w:r>
      <w:r w:rsidRPr="180099B3" w:rsidR="4AE218D2">
        <w:rPr>
          <w:rFonts w:ascii="Verdana" w:hAnsi="Verdana" w:eastAsia="Times New Roman" w:cs="Arial"/>
          <w:color w:val="000000" w:themeColor="text1"/>
          <w:sz w:val="18"/>
          <w:szCs w:val="18"/>
        </w:rPr>
        <w:t>60</w:t>
      </w:r>
      <w:r w:rsidRPr="180099B3">
        <w:rPr>
          <w:rFonts w:ascii="Verdana" w:hAnsi="Verdana" w:eastAsia="Times New Roman" w:cs="Arial"/>
          <w:color w:val="000000" w:themeColor="text1"/>
          <w:sz w:val="18"/>
          <w:szCs w:val="18"/>
        </w:rPr>
        <w:t>. Plan de Desarrollo - Estrategia de Relacionamiento Territorial (ERT)</w:t>
      </w:r>
    </w:p>
    <w:tbl>
      <w:tblPr>
        <w:tblStyle w:val="Tablanormal4"/>
        <w:tblW w:w="5000" w:type="pct"/>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4A0" w:firstRow="1" w:lastRow="0" w:firstColumn="1" w:lastColumn="0" w:noHBand="0" w:noVBand="1"/>
      </w:tblPr>
      <w:tblGrid>
        <w:gridCol w:w="3907"/>
        <w:gridCol w:w="1515"/>
        <w:gridCol w:w="3406"/>
      </w:tblGrid>
      <w:tr w:rsidRPr="00DB5DFD" w:rsidR="00DB5DFD" w:rsidTr="00DB5DFD" w14:paraId="5C230A23"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13" w:type="pct"/>
            <w:shd w:val="clear" w:color="auto" w:fill="A6A6A6" w:themeFill="background1" w:themeFillShade="A6"/>
            <w:hideMark/>
          </w:tcPr>
          <w:p w:rsidRPr="00DB5DFD" w:rsidR="00DB5DFD" w:rsidP="00DB5DFD" w:rsidRDefault="00DB5DFD" w14:paraId="3568E8BC" w14:textId="77777777">
            <w:pPr>
              <w:jc w:val="center"/>
              <w:rPr>
                <w:rFonts w:ascii="Verdana" w:hAnsi="Verdana" w:cs="Arial"/>
                <w:sz w:val="18"/>
                <w:szCs w:val="18"/>
              </w:rPr>
            </w:pPr>
            <w:r w:rsidRPr="00DB5DFD">
              <w:rPr>
                <w:rFonts w:ascii="Verdana" w:hAnsi="Verdana" w:cs="Arial"/>
                <w:sz w:val="18"/>
                <w:szCs w:val="18"/>
              </w:rPr>
              <w:t>Fase</w:t>
            </w:r>
          </w:p>
        </w:tc>
        <w:tc>
          <w:tcPr>
            <w:tcW w:w="858" w:type="pct"/>
            <w:shd w:val="clear" w:color="auto" w:fill="A6A6A6" w:themeFill="background1" w:themeFillShade="A6"/>
            <w:hideMark/>
          </w:tcPr>
          <w:p w:rsidRPr="00DB5DFD" w:rsidR="00DB5DFD" w:rsidP="00DB5DFD" w:rsidRDefault="00DB5DFD" w14:paraId="14B55316" w14:textId="77777777">
            <w:pPr>
              <w:jc w:val="center"/>
              <w:cnfStyle w:val="100000000000" w:firstRow="1" w:lastRow="0" w:firstColumn="0" w:lastColumn="0" w:oddVBand="0" w:evenVBand="0" w:oddHBand="0" w:evenHBand="0" w:firstRowFirstColumn="0" w:firstRowLastColumn="0" w:lastRowFirstColumn="0" w:lastRowLastColumn="0"/>
              <w:rPr>
                <w:rFonts w:ascii="Verdana" w:hAnsi="Verdana" w:cs="Arial"/>
                <w:sz w:val="18"/>
                <w:szCs w:val="18"/>
              </w:rPr>
            </w:pPr>
            <w:r w:rsidRPr="00DB5DFD">
              <w:rPr>
                <w:rFonts w:ascii="Verdana" w:hAnsi="Verdana" w:cs="Arial"/>
                <w:sz w:val="18"/>
                <w:szCs w:val="18"/>
              </w:rPr>
              <w:t>Período</w:t>
            </w:r>
          </w:p>
        </w:tc>
        <w:tc>
          <w:tcPr>
            <w:tcW w:w="1929" w:type="pct"/>
            <w:shd w:val="clear" w:color="auto" w:fill="A6A6A6" w:themeFill="background1" w:themeFillShade="A6"/>
            <w:hideMark/>
          </w:tcPr>
          <w:p w:rsidRPr="00DB5DFD" w:rsidR="00DB5DFD" w:rsidP="00DB5DFD" w:rsidRDefault="00DB5DFD" w14:paraId="0B411DDB" w14:textId="77777777">
            <w:pPr>
              <w:jc w:val="center"/>
              <w:cnfStyle w:val="100000000000" w:firstRow="1" w:lastRow="0" w:firstColumn="0" w:lastColumn="0" w:oddVBand="0" w:evenVBand="0" w:oddHBand="0" w:evenHBand="0" w:firstRowFirstColumn="0" w:firstRowLastColumn="0" w:lastRowFirstColumn="0" w:lastRowLastColumn="0"/>
              <w:rPr>
                <w:rFonts w:ascii="Verdana" w:hAnsi="Verdana" w:cs="Arial"/>
                <w:sz w:val="18"/>
                <w:szCs w:val="18"/>
              </w:rPr>
            </w:pPr>
            <w:r w:rsidRPr="00DB5DFD">
              <w:rPr>
                <w:rFonts w:ascii="Verdana" w:hAnsi="Verdana" w:cs="Arial"/>
                <w:sz w:val="18"/>
                <w:szCs w:val="18"/>
              </w:rPr>
              <w:t>Principales logros</w:t>
            </w:r>
          </w:p>
        </w:tc>
      </w:tr>
      <w:tr w:rsidRPr="00DB5DFD" w:rsidR="00DB5DFD" w:rsidTr="00DB5DFD" w14:paraId="388CA3D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13" w:type="pct"/>
            <w:hideMark/>
          </w:tcPr>
          <w:p w:rsidRPr="00DB5DFD" w:rsidR="00DB5DFD" w:rsidP="00DB5DFD" w:rsidRDefault="00DB5DFD" w14:paraId="4748C7AB" w14:textId="77777777">
            <w:pPr>
              <w:jc w:val="both"/>
              <w:rPr>
                <w:rFonts w:ascii="Verdana" w:hAnsi="Verdana" w:cs="Arial"/>
                <w:sz w:val="18"/>
                <w:szCs w:val="18"/>
              </w:rPr>
            </w:pPr>
            <w:r w:rsidRPr="00DB5DFD">
              <w:rPr>
                <w:rFonts w:ascii="Verdana" w:hAnsi="Verdana" w:cs="Arial"/>
                <w:sz w:val="18"/>
                <w:szCs w:val="18"/>
              </w:rPr>
              <w:t>Diseño de la ERT</w:t>
            </w:r>
          </w:p>
        </w:tc>
        <w:tc>
          <w:tcPr>
            <w:tcW w:w="858" w:type="pct"/>
            <w:hideMark/>
          </w:tcPr>
          <w:p w:rsidRPr="00DB5DFD" w:rsidR="00DB5DFD" w:rsidP="00DB5DFD" w:rsidRDefault="00DB5DFD" w14:paraId="4E20B4A0" w14:textId="77777777">
            <w:pPr>
              <w:cnfStyle w:val="000000100000" w:firstRow="0" w:lastRow="0" w:firstColumn="0" w:lastColumn="0" w:oddVBand="0" w:evenVBand="0" w:oddHBand="1" w:evenHBand="0" w:firstRowFirstColumn="0" w:firstRowLastColumn="0" w:lastRowFirstColumn="0" w:lastRowLastColumn="0"/>
              <w:rPr>
                <w:rFonts w:ascii="Verdana" w:hAnsi="Verdana" w:cs="Arial"/>
                <w:sz w:val="18"/>
                <w:szCs w:val="18"/>
              </w:rPr>
            </w:pPr>
            <w:r w:rsidRPr="00DB5DFD">
              <w:rPr>
                <w:rFonts w:ascii="Verdana" w:hAnsi="Verdana" w:cs="Arial"/>
                <w:sz w:val="18"/>
                <w:szCs w:val="18"/>
              </w:rPr>
              <w:t>2023</w:t>
            </w:r>
          </w:p>
        </w:tc>
        <w:tc>
          <w:tcPr>
            <w:tcW w:w="1929" w:type="pct"/>
            <w:hideMark/>
          </w:tcPr>
          <w:p w:rsidRPr="00DB5DFD" w:rsidR="00DB5DFD" w:rsidP="00DB5DFD" w:rsidRDefault="00DB5DFD" w14:paraId="57BE3F3B" w14:textId="77777777">
            <w:pPr>
              <w:tabs>
                <w:tab w:val="left" w:pos="4337"/>
              </w:tabs>
              <w:ind w:right="284"/>
              <w:cnfStyle w:val="000000100000" w:firstRow="0" w:lastRow="0" w:firstColumn="0" w:lastColumn="0" w:oddVBand="0" w:evenVBand="0" w:oddHBand="1" w:evenHBand="0" w:firstRowFirstColumn="0" w:firstRowLastColumn="0" w:lastRowFirstColumn="0" w:lastRowLastColumn="0"/>
              <w:rPr>
                <w:rFonts w:ascii="Verdana" w:hAnsi="Verdana" w:cs="Arial"/>
                <w:sz w:val="18"/>
                <w:szCs w:val="18"/>
              </w:rPr>
            </w:pPr>
            <w:r w:rsidRPr="00DB5DFD">
              <w:rPr>
                <w:rFonts w:ascii="Verdana" w:hAnsi="Verdana" w:cs="Arial"/>
                <w:sz w:val="18"/>
                <w:szCs w:val="18"/>
              </w:rPr>
              <w:t>Definición de pilares, enfoques y lineamientos</w:t>
            </w:r>
          </w:p>
        </w:tc>
      </w:tr>
      <w:tr w:rsidRPr="00DB5DFD" w:rsidR="00DB5DFD" w:rsidTr="00DB5DFD" w14:paraId="79308298" w14:textId="77777777">
        <w:tc>
          <w:tcPr>
            <w:cnfStyle w:val="001000000000" w:firstRow="0" w:lastRow="0" w:firstColumn="1" w:lastColumn="0" w:oddVBand="0" w:evenVBand="0" w:oddHBand="0" w:evenHBand="0" w:firstRowFirstColumn="0" w:firstRowLastColumn="0" w:lastRowFirstColumn="0" w:lastRowLastColumn="0"/>
            <w:tcW w:w="2213" w:type="pct"/>
            <w:hideMark/>
          </w:tcPr>
          <w:p w:rsidRPr="00DB5DFD" w:rsidR="00DB5DFD" w:rsidP="00DB5DFD" w:rsidRDefault="00DB5DFD" w14:paraId="0676F835" w14:textId="77777777">
            <w:pPr>
              <w:jc w:val="both"/>
              <w:rPr>
                <w:rFonts w:ascii="Verdana" w:hAnsi="Verdana" w:cs="Arial"/>
                <w:sz w:val="18"/>
                <w:szCs w:val="18"/>
              </w:rPr>
            </w:pPr>
            <w:r w:rsidRPr="00DB5DFD">
              <w:rPr>
                <w:rFonts w:ascii="Verdana" w:hAnsi="Verdana" w:cs="Arial"/>
                <w:sz w:val="18"/>
                <w:szCs w:val="18"/>
              </w:rPr>
              <w:t>Prueba de la ERT mediante Diálogos</w:t>
            </w:r>
          </w:p>
        </w:tc>
        <w:tc>
          <w:tcPr>
            <w:tcW w:w="858" w:type="pct"/>
            <w:hideMark/>
          </w:tcPr>
          <w:p w:rsidRPr="00DB5DFD" w:rsidR="00DB5DFD" w:rsidP="00DB5DFD" w:rsidRDefault="00DB5DFD" w14:paraId="1D1CAF18" w14:textId="77777777">
            <w:pPr>
              <w:cnfStyle w:val="000000000000" w:firstRow="0" w:lastRow="0" w:firstColumn="0" w:lastColumn="0" w:oddVBand="0" w:evenVBand="0" w:oddHBand="0" w:evenHBand="0" w:firstRowFirstColumn="0" w:firstRowLastColumn="0" w:lastRowFirstColumn="0" w:lastRowLastColumn="0"/>
              <w:rPr>
                <w:rFonts w:ascii="Verdana" w:hAnsi="Verdana" w:cs="Arial"/>
                <w:sz w:val="18"/>
                <w:szCs w:val="18"/>
              </w:rPr>
            </w:pPr>
            <w:r w:rsidRPr="00DB5DFD">
              <w:rPr>
                <w:rFonts w:ascii="Verdana" w:hAnsi="Verdana" w:cs="Arial"/>
                <w:sz w:val="18"/>
                <w:szCs w:val="18"/>
              </w:rPr>
              <w:t>2023-2025</w:t>
            </w:r>
          </w:p>
        </w:tc>
        <w:tc>
          <w:tcPr>
            <w:tcW w:w="1929" w:type="pct"/>
            <w:hideMark/>
          </w:tcPr>
          <w:p w:rsidRPr="00DB5DFD" w:rsidR="00DB5DFD" w:rsidP="00DB5DFD" w:rsidRDefault="00DB5DFD" w14:paraId="7075FB24" w14:textId="77777777">
            <w:pPr>
              <w:tabs>
                <w:tab w:val="left" w:pos="4337"/>
              </w:tabs>
              <w:ind w:right="284"/>
              <w:cnfStyle w:val="000000000000" w:firstRow="0" w:lastRow="0" w:firstColumn="0" w:lastColumn="0" w:oddVBand="0" w:evenVBand="0" w:oddHBand="0" w:evenHBand="0" w:firstRowFirstColumn="0" w:firstRowLastColumn="0" w:lastRowFirstColumn="0" w:lastRowLastColumn="0"/>
              <w:rPr>
                <w:rFonts w:ascii="Verdana" w:hAnsi="Verdana" w:cs="Arial"/>
                <w:sz w:val="18"/>
                <w:szCs w:val="18"/>
              </w:rPr>
            </w:pPr>
            <w:r w:rsidRPr="00DB5DFD">
              <w:rPr>
                <w:rFonts w:ascii="Verdana" w:hAnsi="Verdana" w:cs="Arial"/>
                <w:sz w:val="18"/>
                <w:szCs w:val="18"/>
              </w:rPr>
              <w:t>121 eventos, 28.104 participantes, validación de la estrategia en territorio</w:t>
            </w:r>
          </w:p>
        </w:tc>
      </w:tr>
      <w:tr w:rsidRPr="00DB5DFD" w:rsidR="00DB5DFD" w:rsidTr="00DB5DFD" w14:paraId="5EF2847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13" w:type="pct"/>
            <w:hideMark/>
          </w:tcPr>
          <w:p w:rsidRPr="00DB5DFD" w:rsidR="00DB5DFD" w:rsidP="00DB5DFD" w:rsidRDefault="00DB5DFD" w14:paraId="550EFE6C" w14:textId="77777777">
            <w:pPr>
              <w:jc w:val="both"/>
              <w:rPr>
                <w:rFonts w:ascii="Verdana" w:hAnsi="Verdana" w:cs="Arial"/>
                <w:sz w:val="18"/>
                <w:szCs w:val="18"/>
              </w:rPr>
            </w:pPr>
            <w:r w:rsidRPr="00DB5DFD">
              <w:rPr>
                <w:rFonts w:ascii="Verdana" w:hAnsi="Verdana" w:cs="Arial"/>
                <w:sz w:val="18"/>
                <w:szCs w:val="18"/>
              </w:rPr>
              <w:t>Sistematización y diseño del Protocolo</w:t>
            </w:r>
          </w:p>
        </w:tc>
        <w:tc>
          <w:tcPr>
            <w:tcW w:w="858" w:type="pct"/>
            <w:hideMark/>
          </w:tcPr>
          <w:p w:rsidRPr="00DB5DFD" w:rsidR="00DB5DFD" w:rsidP="00DB5DFD" w:rsidRDefault="00DB5DFD" w14:paraId="3B436328" w14:textId="77777777">
            <w:pPr>
              <w:cnfStyle w:val="000000100000" w:firstRow="0" w:lastRow="0" w:firstColumn="0" w:lastColumn="0" w:oddVBand="0" w:evenVBand="0" w:oddHBand="1" w:evenHBand="0" w:firstRowFirstColumn="0" w:firstRowLastColumn="0" w:lastRowFirstColumn="0" w:lastRowLastColumn="0"/>
              <w:rPr>
                <w:rFonts w:ascii="Verdana" w:hAnsi="Verdana" w:cs="Arial"/>
                <w:sz w:val="18"/>
                <w:szCs w:val="18"/>
              </w:rPr>
            </w:pPr>
            <w:r w:rsidRPr="00DB5DFD">
              <w:rPr>
                <w:rFonts w:ascii="Verdana" w:hAnsi="Verdana" w:cs="Arial"/>
                <w:sz w:val="18"/>
                <w:szCs w:val="18"/>
              </w:rPr>
              <w:t>2025</w:t>
            </w:r>
          </w:p>
        </w:tc>
        <w:tc>
          <w:tcPr>
            <w:tcW w:w="1929" w:type="pct"/>
            <w:hideMark/>
          </w:tcPr>
          <w:p w:rsidRPr="00DB5DFD" w:rsidR="00DB5DFD" w:rsidP="00DB5DFD" w:rsidRDefault="00DB5DFD" w14:paraId="233FBAEB" w14:textId="77777777">
            <w:pPr>
              <w:tabs>
                <w:tab w:val="left" w:pos="4337"/>
              </w:tabs>
              <w:ind w:right="284"/>
              <w:cnfStyle w:val="000000100000" w:firstRow="0" w:lastRow="0" w:firstColumn="0" w:lastColumn="0" w:oddVBand="0" w:evenVBand="0" w:oddHBand="1" w:evenHBand="0" w:firstRowFirstColumn="0" w:firstRowLastColumn="0" w:lastRowFirstColumn="0" w:lastRowLastColumn="0"/>
              <w:rPr>
                <w:rFonts w:ascii="Verdana" w:hAnsi="Verdana" w:cs="Arial"/>
                <w:sz w:val="18"/>
                <w:szCs w:val="18"/>
              </w:rPr>
            </w:pPr>
            <w:r w:rsidRPr="00DB5DFD">
              <w:rPr>
                <w:rFonts w:ascii="Verdana" w:hAnsi="Verdana" w:cs="Arial"/>
                <w:sz w:val="18"/>
                <w:szCs w:val="18"/>
              </w:rPr>
              <w:t>Lecciones aprendidas sistematizadas en metodología de 5 fases</w:t>
            </w:r>
          </w:p>
        </w:tc>
      </w:tr>
      <w:tr w:rsidRPr="00DB5DFD" w:rsidR="00DB5DFD" w:rsidTr="00DB5DFD" w14:paraId="24C58E5C" w14:textId="77777777">
        <w:tc>
          <w:tcPr>
            <w:cnfStyle w:val="001000000000" w:firstRow="0" w:lastRow="0" w:firstColumn="1" w:lastColumn="0" w:oddVBand="0" w:evenVBand="0" w:oddHBand="0" w:evenHBand="0" w:firstRowFirstColumn="0" w:firstRowLastColumn="0" w:lastRowFirstColumn="0" w:lastRowLastColumn="0"/>
            <w:tcW w:w="2213" w:type="pct"/>
            <w:hideMark/>
          </w:tcPr>
          <w:p w:rsidRPr="00DB5DFD" w:rsidR="00DB5DFD" w:rsidP="00DB5DFD" w:rsidRDefault="00DB5DFD" w14:paraId="18D19551" w14:textId="77777777">
            <w:pPr>
              <w:jc w:val="both"/>
              <w:rPr>
                <w:rFonts w:ascii="Verdana" w:hAnsi="Verdana" w:cs="Arial"/>
                <w:b w:val="0"/>
                <w:bCs w:val="0"/>
                <w:sz w:val="18"/>
                <w:szCs w:val="18"/>
              </w:rPr>
            </w:pPr>
            <w:r w:rsidRPr="00DB5DFD">
              <w:rPr>
                <w:rFonts w:ascii="Verdana" w:hAnsi="Verdana" w:cs="Arial"/>
                <w:sz w:val="18"/>
                <w:szCs w:val="18"/>
              </w:rPr>
              <w:t>Consolidación e institucionalización</w:t>
            </w:r>
          </w:p>
          <w:p w:rsidRPr="00DB5DFD" w:rsidR="00DB5DFD" w:rsidP="00DB5DFD" w:rsidRDefault="00DB5DFD" w14:paraId="3B59F91A" w14:textId="77777777">
            <w:pPr>
              <w:jc w:val="both"/>
              <w:rPr>
                <w:rFonts w:ascii="Verdana" w:hAnsi="Verdana" w:cs="Arial"/>
                <w:sz w:val="18"/>
                <w:szCs w:val="18"/>
              </w:rPr>
            </w:pPr>
          </w:p>
        </w:tc>
        <w:tc>
          <w:tcPr>
            <w:tcW w:w="858" w:type="pct"/>
            <w:hideMark/>
          </w:tcPr>
          <w:p w:rsidRPr="00DB5DFD" w:rsidR="00DB5DFD" w:rsidP="00DB5DFD" w:rsidRDefault="00DB5DFD" w14:paraId="05B62886" w14:textId="77777777">
            <w:pPr>
              <w:cnfStyle w:val="000000000000" w:firstRow="0" w:lastRow="0" w:firstColumn="0" w:lastColumn="0" w:oddVBand="0" w:evenVBand="0" w:oddHBand="0" w:evenHBand="0" w:firstRowFirstColumn="0" w:firstRowLastColumn="0" w:lastRowFirstColumn="0" w:lastRowLastColumn="0"/>
              <w:rPr>
                <w:rFonts w:ascii="Verdana" w:hAnsi="Verdana" w:cs="Arial"/>
                <w:sz w:val="18"/>
                <w:szCs w:val="18"/>
              </w:rPr>
            </w:pPr>
            <w:r w:rsidRPr="00DB5DFD">
              <w:rPr>
                <w:rFonts w:ascii="Verdana" w:hAnsi="Verdana" w:cs="Arial"/>
                <w:sz w:val="18"/>
                <w:szCs w:val="18"/>
              </w:rPr>
              <w:t>2025-2026</w:t>
            </w:r>
          </w:p>
        </w:tc>
        <w:tc>
          <w:tcPr>
            <w:tcW w:w="1929" w:type="pct"/>
            <w:hideMark/>
          </w:tcPr>
          <w:p w:rsidRPr="00DB5DFD" w:rsidR="00DB5DFD" w:rsidP="00DB5DFD" w:rsidRDefault="00DB5DFD" w14:paraId="383D5A7F" w14:textId="77777777">
            <w:pPr>
              <w:tabs>
                <w:tab w:val="left" w:pos="4337"/>
              </w:tabs>
              <w:ind w:right="284"/>
              <w:cnfStyle w:val="000000000000" w:firstRow="0" w:lastRow="0" w:firstColumn="0" w:lastColumn="0" w:oddVBand="0" w:evenVBand="0" w:oddHBand="0" w:evenHBand="0" w:firstRowFirstColumn="0" w:firstRowLastColumn="0" w:lastRowFirstColumn="0" w:lastRowLastColumn="0"/>
              <w:rPr>
                <w:rFonts w:ascii="Verdana" w:hAnsi="Verdana" w:cs="Arial"/>
                <w:sz w:val="18"/>
                <w:szCs w:val="18"/>
              </w:rPr>
            </w:pPr>
            <w:r w:rsidRPr="00DB5DFD">
              <w:rPr>
                <w:rFonts w:ascii="Verdana" w:hAnsi="Verdana" w:cs="Arial"/>
                <w:sz w:val="18"/>
                <w:szCs w:val="18"/>
              </w:rPr>
              <w:t>Pilotaje del Protocolo en Minería e Hidrocarburos; articulación con Comunidades Energéticas, Secretaría General, Asociación Colombiana de Petróleo y Gas, Superintendencia de Servicios Públicos y borrador de Decreto ERT.</w:t>
            </w:r>
          </w:p>
        </w:tc>
      </w:tr>
    </w:tbl>
    <w:p w:rsidR="00DB5DFD" w:rsidP="180099B3" w:rsidRDefault="22E4E2C3" w14:paraId="49F31931" w14:textId="77777777">
      <w:pPr>
        <w:spacing w:after="0" w:line="360" w:lineRule="auto"/>
        <w:jc w:val="center"/>
        <w:rPr>
          <w:rFonts w:ascii="Verdana" w:hAnsi="Verdana"/>
          <w:sz w:val="18"/>
          <w:szCs w:val="18"/>
        </w:rPr>
      </w:pPr>
      <w:r w:rsidRPr="180099B3">
        <w:rPr>
          <w:rFonts w:ascii="Verdana" w:hAnsi="Verdana"/>
          <w:sz w:val="18"/>
          <w:szCs w:val="18"/>
        </w:rPr>
        <w:t>Fuente: Oficina de Asuntos Ambientales y Sociales - OAAS</w:t>
      </w:r>
    </w:p>
    <w:p w:rsidR="180099B3" w:rsidP="180099B3" w:rsidRDefault="180099B3" w14:paraId="0E1A485E" w14:textId="77777777">
      <w:pPr>
        <w:spacing w:after="0" w:line="360" w:lineRule="auto"/>
        <w:jc w:val="both"/>
        <w:rPr>
          <w:rFonts w:ascii="Verdana" w:hAnsi="Verdana"/>
          <w:b/>
          <w:bCs/>
          <w:sz w:val="24"/>
          <w:szCs w:val="24"/>
        </w:rPr>
      </w:pPr>
    </w:p>
    <w:p w:rsidRPr="00DB5DFD" w:rsidR="00DB5DFD" w:rsidP="006A0A13" w:rsidRDefault="42C6FD43" w14:paraId="2156F047" w14:textId="77777777">
      <w:pPr>
        <w:spacing w:after="0" w:line="360" w:lineRule="auto"/>
        <w:jc w:val="both"/>
        <w:rPr>
          <w:rFonts w:ascii="Verdana" w:hAnsi="Verdana"/>
          <w:b/>
          <w:bCs/>
          <w:sz w:val="24"/>
          <w:szCs w:val="24"/>
        </w:rPr>
      </w:pPr>
      <w:r w:rsidRPr="180099B3">
        <w:rPr>
          <w:rFonts w:ascii="Verdana" w:hAnsi="Verdana"/>
          <w:b/>
          <w:bCs/>
          <w:sz w:val="24"/>
          <w:szCs w:val="24"/>
        </w:rPr>
        <w:t>Democratización de la Energía</w:t>
      </w:r>
    </w:p>
    <w:p w:rsidR="180099B3" w:rsidP="006A0A13" w:rsidRDefault="180099B3" w14:paraId="1F4C9B21" w14:textId="77777777">
      <w:pPr>
        <w:spacing w:after="0" w:line="360" w:lineRule="auto"/>
        <w:jc w:val="both"/>
        <w:rPr>
          <w:rFonts w:ascii="Verdana" w:hAnsi="Verdana"/>
          <w:sz w:val="24"/>
          <w:szCs w:val="24"/>
        </w:rPr>
      </w:pPr>
    </w:p>
    <w:p w:rsidRPr="00DB5DFD" w:rsidR="00DB5DFD" w:rsidP="006A0A13" w:rsidRDefault="00DB5DFD" w14:paraId="58E7F177" w14:textId="77777777">
      <w:pPr>
        <w:spacing w:after="0" w:line="360" w:lineRule="auto"/>
        <w:jc w:val="both"/>
        <w:rPr>
          <w:rFonts w:ascii="Verdana" w:hAnsi="Verdana"/>
          <w:sz w:val="24"/>
          <w:szCs w:val="24"/>
        </w:rPr>
      </w:pPr>
      <w:r w:rsidRPr="00DB5DFD">
        <w:rPr>
          <w:rFonts w:ascii="Verdana" w:hAnsi="Verdana"/>
          <w:sz w:val="24"/>
          <w:szCs w:val="24"/>
        </w:rPr>
        <w:t>Se consolidó la democracia energética como enfoque estratégico para ampliar la participación, el control social y la apropiación comunitaria del sector energético, reconociendo la energía como un derecho habilitante de otros derechos humanos.</w:t>
      </w:r>
    </w:p>
    <w:p w:rsidR="00DB5DFD" w:rsidP="006A0A13" w:rsidRDefault="00DB5DFD" w14:paraId="55275013" w14:textId="77777777">
      <w:pPr>
        <w:spacing w:after="0" w:line="360" w:lineRule="auto"/>
        <w:jc w:val="both"/>
        <w:rPr>
          <w:rFonts w:ascii="Verdana" w:hAnsi="Verdana"/>
          <w:sz w:val="24"/>
          <w:szCs w:val="24"/>
        </w:rPr>
      </w:pPr>
    </w:p>
    <w:p w:rsidRPr="00DB5DFD" w:rsidR="00DB5DFD" w:rsidP="006A0A13" w:rsidRDefault="2409C70E" w14:paraId="57DA71D0" w14:textId="12102C8B">
      <w:pPr>
        <w:spacing w:after="0" w:line="360" w:lineRule="auto"/>
        <w:jc w:val="both"/>
        <w:rPr>
          <w:rFonts w:ascii="Verdana" w:hAnsi="Verdana"/>
          <w:sz w:val="24"/>
          <w:szCs w:val="24"/>
        </w:rPr>
      </w:pPr>
      <w:r w:rsidRPr="0FF05B1B">
        <w:rPr>
          <w:rFonts w:ascii="Verdana" w:hAnsi="Verdana"/>
          <w:sz w:val="24"/>
          <w:szCs w:val="24"/>
        </w:rPr>
        <w:t>Hito 1. Relacionamiento</w:t>
      </w:r>
      <w:r w:rsidRPr="0FF05B1B" w:rsidR="2FAFCA92">
        <w:rPr>
          <w:rFonts w:ascii="Verdana" w:hAnsi="Verdana"/>
          <w:sz w:val="24"/>
          <w:szCs w:val="24"/>
        </w:rPr>
        <w:t xml:space="preserve">: </w:t>
      </w:r>
      <w:r w:rsidRPr="0FF05B1B">
        <w:rPr>
          <w:rFonts w:ascii="Verdana" w:hAnsi="Verdana"/>
          <w:sz w:val="24"/>
          <w:szCs w:val="24"/>
        </w:rPr>
        <w:t>Se fortalecieron escenarios de diálogo entre comunidades, instituciones y sector energético para la construcción colectiva de decisiones sobre proyectos y servicios energéticos.</w:t>
      </w:r>
    </w:p>
    <w:p w:rsidR="00DB5DFD" w:rsidP="006A0A13" w:rsidRDefault="00DB5DFD" w14:paraId="724D1E16" w14:textId="77777777">
      <w:pPr>
        <w:spacing w:after="0" w:line="360" w:lineRule="auto"/>
        <w:jc w:val="both"/>
        <w:rPr>
          <w:rFonts w:ascii="Verdana" w:hAnsi="Verdana"/>
          <w:sz w:val="24"/>
          <w:szCs w:val="24"/>
        </w:rPr>
      </w:pPr>
    </w:p>
    <w:p w:rsidRPr="00DB5DFD" w:rsidR="00DB5DFD" w:rsidP="006A0A13" w:rsidRDefault="2409C70E" w14:paraId="6BAF91D6" w14:textId="6B058BD2">
      <w:pPr>
        <w:spacing w:after="0" w:line="360" w:lineRule="auto"/>
        <w:jc w:val="both"/>
        <w:rPr>
          <w:rFonts w:ascii="Verdana" w:hAnsi="Verdana"/>
          <w:sz w:val="24"/>
          <w:szCs w:val="24"/>
        </w:rPr>
      </w:pPr>
      <w:r w:rsidRPr="0FF05B1B">
        <w:rPr>
          <w:rFonts w:ascii="Verdana" w:hAnsi="Verdana"/>
          <w:sz w:val="24"/>
          <w:szCs w:val="24"/>
        </w:rPr>
        <w:t>Hito 2. Seguimiento</w:t>
      </w:r>
      <w:r w:rsidRPr="0FF05B1B" w:rsidR="278A63C7">
        <w:rPr>
          <w:rFonts w:ascii="Verdana" w:hAnsi="Verdana"/>
          <w:sz w:val="24"/>
          <w:szCs w:val="24"/>
        </w:rPr>
        <w:t xml:space="preserve">: </w:t>
      </w:r>
      <w:r w:rsidRPr="0FF05B1B">
        <w:rPr>
          <w:rFonts w:ascii="Verdana" w:hAnsi="Verdana"/>
          <w:sz w:val="24"/>
          <w:szCs w:val="24"/>
        </w:rPr>
        <w:t>Se promovió con las comunidades la creación de instancias ciudadanas para el seguimiento a la prestación del servicio y la vigilancia de la gestión pública energética en los territorios.</w:t>
      </w:r>
    </w:p>
    <w:p w:rsidR="00DB5DFD" w:rsidP="006A0A13" w:rsidRDefault="00DB5DFD" w14:paraId="497AAEFC" w14:textId="77777777">
      <w:pPr>
        <w:spacing w:after="0" w:line="360" w:lineRule="auto"/>
        <w:jc w:val="both"/>
        <w:rPr>
          <w:rFonts w:ascii="Verdana" w:hAnsi="Verdana"/>
          <w:sz w:val="24"/>
          <w:szCs w:val="24"/>
        </w:rPr>
      </w:pPr>
    </w:p>
    <w:p w:rsidRPr="00DB5DFD" w:rsidR="00DB5DFD" w:rsidP="006A0A13" w:rsidRDefault="2409C70E" w14:paraId="162AC7EA" w14:textId="3703914F">
      <w:pPr>
        <w:spacing w:after="0" w:line="360" w:lineRule="auto"/>
        <w:jc w:val="both"/>
        <w:rPr>
          <w:rFonts w:ascii="Verdana" w:hAnsi="Verdana"/>
          <w:sz w:val="24"/>
          <w:szCs w:val="24"/>
        </w:rPr>
      </w:pPr>
      <w:r w:rsidRPr="0FF05B1B">
        <w:rPr>
          <w:rFonts w:ascii="Verdana" w:hAnsi="Verdana"/>
          <w:sz w:val="24"/>
          <w:szCs w:val="24"/>
        </w:rPr>
        <w:t>Hito 3. ERT</w:t>
      </w:r>
      <w:r w:rsidRPr="0FF05B1B" w:rsidR="67405C25">
        <w:rPr>
          <w:rFonts w:ascii="Verdana" w:hAnsi="Verdana"/>
          <w:sz w:val="24"/>
          <w:szCs w:val="24"/>
        </w:rPr>
        <w:t xml:space="preserve">: </w:t>
      </w:r>
      <w:r w:rsidRPr="0FF05B1B">
        <w:rPr>
          <w:rFonts w:ascii="Verdana" w:hAnsi="Verdana"/>
          <w:sz w:val="24"/>
          <w:szCs w:val="24"/>
        </w:rPr>
        <w:t>Se puso en marcha la Estrategia de Relacionamiento Territorial y el Protocolo Preventivo de Conflictividades para anticipar tensiones socioambientales.</w:t>
      </w:r>
    </w:p>
    <w:p w:rsidR="00DB5DFD" w:rsidP="006A0A13" w:rsidRDefault="00DB5DFD" w14:paraId="02441EED" w14:textId="77777777">
      <w:pPr>
        <w:spacing w:after="0" w:line="360" w:lineRule="auto"/>
        <w:jc w:val="both"/>
        <w:rPr>
          <w:rFonts w:ascii="Verdana" w:hAnsi="Verdana"/>
          <w:sz w:val="24"/>
          <w:szCs w:val="24"/>
        </w:rPr>
      </w:pPr>
    </w:p>
    <w:p w:rsidRPr="00DB5DFD" w:rsidR="00DB5DFD" w:rsidP="006A0A13" w:rsidRDefault="2409C70E" w14:paraId="1652EF03" w14:textId="7596BC97">
      <w:pPr>
        <w:spacing w:after="0" w:line="360" w:lineRule="auto"/>
        <w:jc w:val="both"/>
        <w:rPr>
          <w:rFonts w:ascii="Verdana" w:hAnsi="Verdana"/>
          <w:sz w:val="24"/>
          <w:szCs w:val="24"/>
        </w:rPr>
      </w:pPr>
      <w:r w:rsidRPr="0FF05B1B">
        <w:rPr>
          <w:rFonts w:ascii="Verdana" w:hAnsi="Verdana"/>
          <w:sz w:val="24"/>
          <w:szCs w:val="24"/>
        </w:rPr>
        <w:t>Hito 4. Transparencia</w:t>
      </w:r>
      <w:r w:rsidRPr="0FF05B1B" w:rsidR="3C026513">
        <w:rPr>
          <w:rFonts w:ascii="Verdana" w:hAnsi="Verdana"/>
          <w:sz w:val="24"/>
          <w:szCs w:val="24"/>
        </w:rPr>
        <w:t xml:space="preserve">: </w:t>
      </w:r>
      <w:r w:rsidRPr="0FF05B1B">
        <w:rPr>
          <w:rFonts w:ascii="Verdana" w:hAnsi="Verdana"/>
          <w:sz w:val="24"/>
          <w:szCs w:val="24"/>
        </w:rPr>
        <w:t>Se promovió mayor transparencia en proyectos energéticos, fortaleciendo la capacidad de seguimiento ciudadano y la rendición de cuentas.</w:t>
      </w:r>
    </w:p>
    <w:p w:rsidR="00DB5DFD" w:rsidP="006A0A13" w:rsidRDefault="00DB5DFD" w14:paraId="06A80639" w14:textId="77777777">
      <w:pPr>
        <w:spacing w:after="0" w:line="360" w:lineRule="auto"/>
        <w:jc w:val="both"/>
        <w:rPr>
          <w:rFonts w:ascii="Verdana" w:hAnsi="Verdana"/>
          <w:sz w:val="24"/>
          <w:szCs w:val="24"/>
        </w:rPr>
      </w:pPr>
    </w:p>
    <w:p w:rsidR="00DB5DFD" w:rsidP="006A0A13" w:rsidRDefault="2409C70E" w14:paraId="59DA02FD" w14:textId="362B8954">
      <w:pPr>
        <w:spacing w:after="0" w:line="360" w:lineRule="auto"/>
        <w:jc w:val="both"/>
        <w:rPr>
          <w:rFonts w:ascii="Verdana" w:hAnsi="Verdana"/>
          <w:sz w:val="24"/>
          <w:szCs w:val="24"/>
        </w:rPr>
      </w:pPr>
      <w:r w:rsidRPr="0FF05B1B">
        <w:rPr>
          <w:rFonts w:ascii="Verdana" w:hAnsi="Verdana"/>
          <w:sz w:val="24"/>
          <w:szCs w:val="24"/>
        </w:rPr>
        <w:t>Hito 5. Inclusión</w:t>
      </w:r>
      <w:r w:rsidRPr="0FF05B1B" w:rsidR="5E22F30D">
        <w:rPr>
          <w:rFonts w:ascii="Verdana" w:hAnsi="Verdana"/>
          <w:sz w:val="24"/>
          <w:szCs w:val="24"/>
        </w:rPr>
        <w:t xml:space="preserve">: </w:t>
      </w:r>
      <w:r w:rsidRPr="0FF05B1B">
        <w:rPr>
          <w:rFonts w:ascii="Verdana" w:hAnsi="Verdana"/>
          <w:sz w:val="24"/>
          <w:szCs w:val="24"/>
        </w:rPr>
        <w:t>Se garantizó la participación de mujeres, jóvenes, comunidades étnicas, firmantes de paz, campesinos y población LGBTIQ+, fortaleciendo la inclusión en la toma de decisiones.</w:t>
      </w:r>
    </w:p>
    <w:p w:rsidR="00B75940" w:rsidP="006A0A13" w:rsidRDefault="00B75940" w14:paraId="1BB19907" w14:textId="77777777">
      <w:pPr>
        <w:spacing w:after="0" w:line="360" w:lineRule="auto"/>
        <w:jc w:val="both"/>
        <w:rPr>
          <w:rFonts w:ascii="Verdana" w:hAnsi="Verdana"/>
          <w:sz w:val="24"/>
          <w:szCs w:val="24"/>
        </w:rPr>
      </w:pPr>
    </w:p>
    <w:p w:rsidRPr="00B75940" w:rsidR="00B75940" w:rsidP="00B75940" w:rsidRDefault="1E3627E9" w14:paraId="0748515A" w14:textId="77777777">
      <w:pPr>
        <w:spacing w:after="0" w:line="240" w:lineRule="auto"/>
        <w:jc w:val="center"/>
        <w:rPr>
          <w:rFonts w:ascii="Verdana" w:hAnsi="Verdana" w:eastAsia="Verdana" w:cs="Arial"/>
          <w:sz w:val="18"/>
          <w:szCs w:val="18"/>
        </w:rPr>
      </w:pPr>
      <w:r w:rsidRPr="180099B3">
        <w:rPr>
          <w:rFonts w:ascii="Verdana" w:hAnsi="Verdana" w:eastAsia="Times New Roman" w:cs="Arial"/>
          <w:color w:val="000000" w:themeColor="text1"/>
          <w:sz w:val="18"/>
          <w:szCs w:val="18"/>
        </w:rPr>
        <w:t>Tabla No</w:t>
      </w:r>
      <w:r w:rsidRPr="180099B3" w:rsidR="76E6A458">
        <w:rPr>
          <w:rFonts w:ascii="Verdana" w:hAnsi="Verdana" w:eastAsia="Times New Roman" w:cs="Arial"/>
          <w:color w:val="000000" w:themeColor="text1"/>
          <w:sz w:val="18"/>
          <w:szCs w:val="18"/>
        </w:rPr>
        <w:t>. 61.</w:t>
      </w:r>
      <w:r w:rsidRPr="180099B3">
        <w:rPr>
          <w:rFonts w:ascii="Verdana" w:hAnsi="Verdana" w:eastAsia="Times New Roman" w:cs="Arial"/>
          <w:color w:val="000000" w:themeColor="text1"/>
          <w:sz w:val="18"/>
          <w:szCs w:val="18"/>
        </w:rPr>
        <w:t xml:space="preserve"> Resumen de Espacios Gestionados 2022-2026</w:t>
      </w:r>
    </w:p>
    <w:tbl>
      <w:tblPr>
        <w:tblStyle w:val="Tablaconcuadrcula4-nfasis6"/>
        <w:tblW w:w="9209"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ook w:val="04A0" w:firstRow="1" w:lastRow="0" w:firstColumn="1" w:lastColumn="0" w:noHBand="0" w:noVBand="1"/>
      </w:tblPr>
      <w:tblGrid>
        <w:gridCol w:w="2682"/>
        <w:gridCol w:w="1143"/>
        <w:gridCol w:w="5384"/>
      </w:tblGrid>
      <w:tr w:rsidRPr="00B75940" w:rsidR="00B75940" w:rsidTr="180099B3" w14:paraId="02ED81B4"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tcBorders>
              <w:top w:val="none" w:color="auto" w:sz="0" w:space="0"/>
              <w:left w:val="none" w:color="auto" w:sz="0" w:space="0"/>
              <w:bottom w:val="none" w:color="auto" w:sz="0" w:space="0"/>
              <w:right w:val="none" w:color="auto" w:sz="0" w:space="0"/>
            </w:tcBorders>
            <w:shd w:val="clear" w:color="auto" w:fill="A6A6A6" w:themeFill="background1" w:themeFillShade="A6"/>
            <w:hideMark/>
          </w:tcPr>
          <w:p w:rsidRPr="00B75940" w:rsidR="00B75940" w:rsidRDefault="00B75940" w14:paraId="7C6598D2" w14:textId="77777777">
            <w:pPr>
              <w:jc w:val="center"/>
              <w:rPr>
                <w:rFonts w:ascii="Verdana" w:hAnsi="Verdana" w:eastAsia="Times New Roman" w:cs="Arial"/>
                <w:b w:val="0"/>
                <w:bCs w:val="0"/>
                <w:color w:val="000000" w:themeColor="text1"/>
                <w:sz w:val="18"/>
                <w:szCs w:val="18"/>
              </w:rPr>
            </w:pPr>
            <w:r w:rsidRPr="00B75940">
              <w:rPr>
                <w:rFonts w:ascii="Verdana" w:hAnsi="Verdana" w:eastAsia="Times New Roman" w:cs="Arial"/>
                <w:color w:val="000000" w:themeColor="text1"/>
                <w:sz w:val="18"/>
                <w:szCs w:val="18"/>
              </w:rPr>
              <w:t>Tipo de espacio gestionado</w:t>
            </w:r>
          </w:p>
        </w:tc>
        <w:tc>
          <w:tcPr>
            <w:tcW w:w="1114" w:type="dxa"/>
            <w:tcBorders>
              <w:top w:val="none" w:color="auto" w:sz="0" w:space="0"/>
              <w:left w:val="none" w:color="auto" w:sz="0" w:space="0"/>
              <w:bottom w:val="none" w:color="auto" w:sz="0" w:space="0"/>
              <w:right w:val="none" w:color="auto" w:sz="0" w:space="0"/>
            </w:tcBorders>
            <w:shd w:val="clear" w:color="auto" w:fill="A6A6A6" w:themeFill="background1" w:themeFillShade="A6"/>
            <w:hideMark/>
          </w:tcPr>
          <w:p w:rsidRPr="00B75940" w:rsidR="00B75940" w:rsidRDefault="00B75940" w14:paraId="60A4BA28" w14:textId="77777777">
            <w:pPr>
              <w:jc w:val="center"/>
              <w:cnfStyle w:val="100000000000" w:firstRow="1" w:lastRow="0" w:firstColumn="0" w:lastColumn="0" w:oddVBand="0" w:evenVBand="0" w:oddHBand="0" w:evenHBand="0" w:firstRowFirstColumn="0" w:firstRowLastColumn="0" w:lastRowFirstColumn="0" w:lastRowLastColumn="0"/>
              <w:rPr>
                <w:rFonts w:ascii="Verdana" w:hAnsi="Verdana" w:eastAsia="Times New Roman" w:cs="Arial"/>
                <w:b w:val="0"/>
                <w:bCs w:val="0"/>
                <w:color w:val="000000" w:themeColor="text1"/>
                <w:sz w:val="18"/>
                <w:szCs w:val="18"/>
              </w:rPr>
            </w:pPr>
            <w:r w:rsidRPr="00B75940">
              <w:rPr>
                <w:rFonts w:ascii="Verdana" w:hAnsi="Verdana" w:eastAsia="Times New Roman" w:cs="Arial"/>
                <w:color w:val="000000" w:themeColor="text1"/>
                <w:sz w:val="18"/>
                <w:szCs w:val="18"/>
              </w:rPr>
              <w:t>Cantidad realizada</w:t>
            </w:r>
          </w:p>
        </w:tc>
        <w:tc>
          <w:tcPr>
            <w:tcW w:w="5406" w:type="dxa"/>
            <w:tcBorders>
              <w:top w:val="none" w:color="auto" w:sz="0" w:space="0"/>
              <w:left w:val="none" w:color="auto" w:sz="0" w:space="0"/>
              <w:bottom w:val="none" w:color="auto" w:sz="0" w:space="0"/>
              <w:right w:val="none" w:color="auto" w:sz="0" w:space="0"/>
            </w:tcBorders>
            <w:shd w:val="clear" w:color="auto" w:fill="A6A6A6" w:themeFill="background1" w:themeFillShade="A6"/>
            <w:hideMark/>
          </w:tcPr>
          <w:p w:rsidRPr="00B75940" w:rsidR="00B75940" w:rsidRDefault="00B75940" w14:paraId="2A8672C4" w14:textId="77777777">
            <w:pPr>
              <w:jc w:val="center"/>
              <w:cnfStyle w:val="100000000000" w:firstRow="1" w:lastRow="0" w:firstColumn="0" w:lastColumn="0" w:oddVBand="0" w:evenVBand="0" w:oddHBand="0" w:evenHBand="0" w:firstRowFirstColumn="0" w:firstRowLastColumn="0" w:lastRowFirstColumn="0" w:lastRowLastColumn="0"/>
              <w:rPr>
                <w:rFonts w:ascii="Verdana" w:hAnsi="Verdana" w:eastAsia="Times New Roman" w:cs="Arial"/>
                <w:b w:val="0"/>
                <w:bCs w:val="0"/>
                <w:color w:val="000000" w:themeColor="text1"/>
                <w:sz w:val="18"/>
                <w:szCs w:val="18"/>
              </w:rPr>
            </w:pPr>
            <w:r w:rsidRPr="00B75940">
              <w:rPr>
                <w:rFonts w:ascii="Verdana" w:hAnsi="Verdana" w:eastAsia="Times New Roman" w:cs="Arial"/>
                <w:color w:val="000000" w:themeColor="text1"/>
                <w:sz w:val="18"/>
                <w:szCs w:val="18"/>
              </w:rPr>
              <w:t>Breve contexto</w:t>
            </w:r>
          </w:p>
        </w:tc>
      </w:tr>
      <w:tr w:rsidRPr="00B75940" w:rsidR="00B75940" w:rsidTr="180099B3" w14:paraId="0DAED0A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shd w:val="clear" w:color="auto" w:fill="auto"/>
            <w:hideMark/>
          </w:tcPr>
          <w:p w:rsidRPr="00B75940" w:rsidR="00B75940" w:rsidRDefault="00B75940" w14:paraId="6C958837" w14:textId="77777777">
            <w:pPr>
              <w:jc w:val="both"/>
              <w:rPr>
                <w:rFonts w:ascii="Verdana" w:hAnsi="Verdana" w:eastAsia="Times New Roman" w:cs="Arial"/>
                <w:color w:val="000000" w:themeColor="text1"/>
                <w:sz w:val="18"/>
                <w:szCs w:val="18"/>
              </w:rPr>
            </w:pPr>
            <w:r w:rsidRPr="00B75940">
              <w:rPr>
                <w:rFonts w:ascii="Verdana" w:hAnsi="Verdana" w:eastAsia="Times New Roman" w:cs="Arial"/>
                <w:color w:val="000000" w:themeColor="text1"/>
                <w:sz w:val="18"/>
                <w:szCs w:val="18"/>
              </w:rPr>
              <w:t>Encuentros masivos ciudadanos iniciales</w:t>
            </w:r>
          </w:p>
        </w:tc>
        <w:tc>
          <w:tcPr>
            <w:tcW w:w="1114" w:type="dxa"/>
            <w:shd w:val="clear" w:color="auto" w:fill="auto"/>
            <w:hideMark/>
          </w:tcPr>
          <w:p w:rsidRPr="00B75940" w:rsidR="00B75940" w:rsidRDefault="00B75940" w14:paraId="3F979E2B" w14:textId="77777777">
            <w:pPr>
              <w:jc w:val="center"/>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color w:val="000000" w:themeColor="text1"/>
                <w:sz w:val="18"/>
                <w:szCs w:val="18"/>
              </w:rPr>
            </w:pPr>
            <w:r w:rsidRPr="00B75940">
              <w:rPr>
                <w:rFonts w:ascii="Verdana" w:hAnsi="Verdana" w:eastAsia="Times New Roman" w:cs="Arial"/>
                <w:color w:val="000000" w:themeColor="text1"/>
                <w:sz w:val="18"/>
                <w:szCs w:val="18"/>
              </w:rPr>
              <w:t>4</w:t>
            </w:r>
          </w:p>
        </w:tc>
        <w:tc>
          <w:tcPr>
            <w:tcW w:w="5406" w:type="dxa"/>
            <w:shd w:val="clear" w:color="auto" w:fill="auto"/>
            <w:hideMark/>
          </w:tcPr>
          <w:p w:rsidRPr="00B75940" w:rsidR="00B75940" w:rsidRDefault="00B75940" w14:paraId="369BAFAA" w14:textId="77777777">
            <w:pPr>
              <w:jc w:val="both"/>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color w:val="000000" w:themeColor="text1"/>
                <w:sz w:val="18"/>
                <w:szCs w:val="18"/>
              </w:rPr>
            </w:pPr>
            <w:r w:rsidRPr="00B75940">
              <w:rPr>
                <w:rFonts w:ascii="Verdana" w:hAnsi="Verdana" w:eastAsia="Times New Roman" w:cs="Arial"/>
                <w:color w:val="000000" w:themeColor="text1"/>
                <w:sz w:val="18"/>
                <w:szCs w:val="18"/>
              </w:rPr>
              <w:t xml:space="preserve">Se realizaron en Bogotá, Santa Marta, Barranquilla y Cali entre finales de 2023 e inicios 2024. Fueron la base </w:t>
            </w:r>
            <w:r w:rsidRPr="00B75940">
              <w:rPr>
                <w:rFonts w:ascii="Verdana" w:hAnsi="Verdana" w:eastAsia="Times New Roman" w:cs="Arial"/>
                <w:color w:val="000000" w:themeColor="text1"/>
                <w:sz w:val="18"/>
                <w:szCs w:val="18"/>
              </w:rPr>
              <w:t xml:space="preserve">política y metodológica para ampliar la estrategia territorial de Democracia Energética. </w:t>
            </w:r>
          </w:p>
        </w:tc>
      </w:tr>
      <w:tr w:rsidRPr="00B75940" w:rsidR="00B75940" w:rsidTr="180099B3" w14:paraId="0C6FA17F" w14:textId="77777777">
        <w:tc>
          <w:tcPr>
            <w:cnfStyle w:val="001000000000" w:firstRow="0" w:lastRow="0" w:firstColumn="1" w:lastColumn="0" w:oddVBand="0" w:evenVBand="0" w:oddHBand="0" w:evenHBand="0" w:firstRowFirstColumn="0" w:firstRowLastColumn="0" w:lastRowFirstColumn="0" w:lastRowLastColumn="0"/>
            <w:tcW w:w="2689" w:type="dxa"/>
            <w:hideMark/>
          </w:tcPr>
          <w:p w:rsidRPr="00B75940" w:rsidR="00B75940" w:rsidRDefault="00B75940" w14:paraId="06871326" w14:textId="77777777">
            <w:pPr>
              <w:jc w:val="both"/>
              <w:rPr>
                <w:rFonts w:ascii="Verdana" w:hAnsi="Verdana" w:eastAsia="Times New Roman" w:cs="Arial"/>
                <w:color w:val="000000" w:themeColor="text1"/>
                <w:sz w:val="18"/>
                <w:szCs w:val="18"/>
              </w:rPr>
            </w:pPr>
            <w:r w:rsidRPr="00B75940">
              <w:rPr>
                <w:rFonts w:ascii="Verdana" w:hAnsi="Verdana" w:eastAsia="Times New Roman" w:cs="Arial"/>
                <w:color w:val="000000" w:themeColor="text1"/>
                <w:sz w:val="18"/>
                <w:szCs w:val="18"/>
              </w:rPr>
              <w:t>Diálogos con comunidades que transforman/ Asambleas Populares</w:t>
            </w:r>
          </w:p>
        </w:tc>
        <w:tc>
          <w:tcPr>
            <w:tcW w:w="1114" w:type="dxa"/>
            <w:hideMark/>
          </w:tcPr>
          <w:p w:rsidRPr="00B75940" w:rsidR="00B75940" w:rsidRDefault="00B75940" w14:paraId="06F65E0B" w14:textId="77777777">
            <w:pPr>
              <w:jc w:val="center"/>
              <w:cnfStyle w:val="000000000000" w:firstRow="0" w:lastRow="0" w:firstColumn="0" w:lastColumn="0" w:oddVBand="0" w:evenVBand="0" w:oddHBand="0" w:evenHBand="0" w:firstRowFirstColumn="0" w:firstRowLastColumn="0" w:lastRowFirstColumn="0" w:lastRowLastColumn="0"/>
              <w:rPr>
                <w:rFonts w:ascii="Verdana" w:hAnsi="Verdana" w:eastAsia="Times New Roman" w:cs="Arial"/>
                <w:color w:val="000000" w:themeColor="text1"/>
                <w:sz w:val="18"/>
                <w:szCs w:val="18"/>
              </w:rPr>
            </w:pPr>
            <w:r w:rsidRPr="00B75940">
              <w:rPr>
                <w:rFonts w:ascii="Verdana" w:hAnsi="Verdana" w:eastAsia="Times New Roman" w:cs="Arial"/>
                <w:color w:val="000000" w:themeColor="text1"/>
                <w:sz w:val="18"/>
                <w:szCs w:val="18"/>
              </w:rPr>
              <w:t>121</w:t>
            </w:r>
          </w:p>
        </w:tc>
        <w:tc>
          <w:tcPr>
            <w:tcW w:w="5406" w:type="dxa"/>
            <w:hideMark/>
          </w:tcPr>
          <w:p w:rsidRPr="00B75940" w:rsidR="00B75940" w:rsidRDefault="00B75940" w14:paraId="3482792E" w14:textId="77777777">
            <w:pPr>
              <w:jc w:val="both"/>
              <w:cnfStyle w:val="000000000000" w:firstRow="0" w:lastRow="0" w:firstColumn="0" w:lastColumn="0" w:oddVBand="0" w:evenVBand="0" w:oddHBand="0" w:evenHBand="0" w:firstRowFirstColumn="0" w:firstRowLastColumn="0" w:lastRowFirstColumn="0" w:lastRowLastColumn="0"/>
              <w:rPr>
                <w:rFonts w:ascii="Verdana" w:hAnsi="Verdana" w:eastAsia="Times New Roman" w:cs="Arial"/>
                <w:color w:val="000000" w:themeColor="text1"/>
                <w:sz w:val="18"/>
                <w:szCs w:val="18"/>
              </w:rPr>
            </w:pPr>
            <w:r w:rsidRPr="00B75940">
              <w:rPr>
                <w:rFonts w:ascii="Verdana" w:hAnsi="Verdana" w:eastAsia="Times New Roman" w:cs="Arial"/>
                <w:color w:val="000000" w:themeColor="text1"/>
                <w:sz w:val="18"/>
                <w:szCs w:val="18"/>
              </w:rPr>
              <w:t>Espacios de diálogo directo entre comunidades y Estado. Permitieron en la primera etapa canalizar preocupaciones sobre justicia tarifaria, pobreza energética, transición energética justa, modificación de la Ley 142 y 143 de 1994 y organización comunitaria.</w:t>
            </w:r>
            <w:r w:rsidRPr="00B75940">
              <w:rPr>
                <w:rFonts w:ascii="Verdana" w:hAnsi="Verdana" w:cs="Arial"/>
                <w:sz w:val="18"/>
                <w:szCs w:val="18"/>
              </w:rPr>
              <w:t xml:space="preserve"> Con aproximadamente 28.104 participantes. </w:t>
            </w:r>
          </w:p>
        </w:tc>
      </w:tr>
      <w:tr w:rsidRPr="00B75940" w:rsidR="00B75940" w:rsidTr="180099B3" w14:paraId="6B78DFF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shd w:val="clear" w:color="auto" w:fill="auto"/>
            <w:hideMark/>
          </w:tcPr>
          <w:p w:rsidRPr="00B75940" w:rsidR="00B75940" w:rsidRDefault="00B75940" w14:paraId="31933910" w14:textId="77777777">
            <w:pPr>
              <w:jc w:val="both"/>
              <w:rPr>
                <w:rFonts w:ascii="Verdana" w:hAnsi="Verdana" w:eastAsia="Times New Roman" w:cs="Arial"/>
                <w:color w:val="000000" w:themeColor="text1"/>
                <w:sz w:val="18"/>
                <w:szCs w:val="18"/>
              </w:rPr>
            </w:pPr>
            <w:r w:rsidRPr="00B75940">
              <w:rPr>
                <w:rFonts w:ascii="Verdana" w:hAnsi="Verdana" w:eastAsia="Times New Roman" w:cs="Arial"/>
                <w:color w:val="000000" w:themeColor="text1"/>
                <w:sz w:val="18"/>
                <w:szCs w:val="18"/>
              </w:rPr>
              <w:t>Cumbres Populares</w:t>
            </w:r>
          </w:p>
        </w:tc>
        <w:tc>
          <w:tcPr>
            <w:tcW w:w="1114" w:type="dxa"/>
            <w:shd w:val="clear" w:color="auto" w:fill="auto"/>
            <w:hideMark/>
          </w:tcPr>
          <w:p w:rsidRPr="00B75940" w:rsidR="00B75940" w:rsidRDefault="00B75940" w14:paraId="7800EFEE" w14:textId="77777777">
            <w:pPr>
              <w:jc w:val="center"/>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color w:val="000000" w:themeColor="text1"/>
                <w:sz w:val="18"/>
                <w:szCs w:val="18"/>
              </w:rPr>
            </w:pPr>
            <w:r w:rsidRPr="00B75940">
              <w:rPr>
                <w:rFonts w:ascii="Verdana" w:hAnsi="Verdana" w:eastAsia="Times New Roman" w:cs="Arial"/>
                <w:color w:val="000000" w:themeColor="text1"/>
                <w:sz w:val="18"/>
                <w:szCs w:val="18"/>
              </w:rPr>
              <w:t>7</w:t>
            </w:r>
          </w:p>
        </w:tc>
        <w:tc>
          <w:tcPr>
            <w:tcW w:w="5406" w:type="dxa"/>
            <w:shd w:val="clear" w:color="auto" w:fill="auto"/>
            <w:hideMark/>
          </w:tcPr>
          <w:p w:rsidRPr="00B75940" w:rsidR="00B75940" w:rsidRDefault="00B75940" w14:paraId="5701647C" w14:textId="77777777">
            <w:pPr>
              <w:jc w:val="both"/>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color w:val="000000" w:themeColor="text1"/>
                <w:sz w:val="18"/>
                <w:szCs w:val="18"/>
              </w:rPr>
            </w:pPr>
            <w:r w:rsidRPr="00B75940">
              <w:rPr>
                <w:rFonts w:ascii="Verdana" w:hAnsi="Verdana" w:eastAsia="Times New Roman" w:cs="Arial"/>
                <w:color w:val="000000" w:themeColor="text1"/>
                <w:sz w:val="18"/>
                <w:szCs w:val="18"/>
              </w:rPr>
              <w:t xml:space="preserve">Escenarios de mayor profundidad organizativa, sectorial, cultural o regional. Sirvieron para articular agendas territoriales y visibilizar propuestas de comunidades, incluyendo pueblos indígenas, comunidades negras y procesos sociales organizados. </w:t>
            </w:r>
          </w:p>
        </w:tc>
      </w:tr>
      <w:tr w:rsidRPr="00B75940" w:rsidR="00B75940" w:rsidTr="180099B3" w14:paraId="7287FDF9" w14:textId="77777777">
        <w:tc>
          <w:tcPr>
            <w:cnfStyle w:val="001000000000" w:firstRow="0" w:lastRow="0" w:firstColumn="1" w:lastColumn="0" w:oddVBand="0" w:evenVBand="0" w:oddHBand="0" w:evenHBand="0" w:firstRowFirstColumn="0" w:firstRowLastColumn="0" w:lastRowFirstColumn="0" w:lastRowLastColumn="0"/>
            <w:tcW w:w="2689" w:type="dxa"/>
            <w:hideMark/>
          </w:tcPr>
          <w:p w:rsidRPr="00B75940" w:rsidR="00B75940" w:rsidRDefault="00B75940" w14:paraId="17349DF6" w14:textId="77777777">
            <w:pPr>
              <w:jc w:val="both"/>
              <w:rPr>
                <w:rFonts w:ascii="Verdana" w:hAnsi="Verdana" w:eastAsia="Times New Roman" w:cs="Arial"/>
                <w:color w:val="000000" w:themeColor="text1"/>
                <w:sz w:val="18"/>
                <w:szCs w:val="18"/>
              </w:rPr>
            </w:pPr>
            <w:r w:rsidRPr="00B75940">
              <w:rPr>
                <w:rFonts w:ascii="Verdana" w:hAnsi="Verdana" w:eastAsia="Times New Roman" w:cs="Arial"/>
                <w:color w:val="000000" w:themeColor="text1"/>
                <w:sz w:val="18"/>
                <w:szCs w:val="18"/>
              </w:rPr>
              <w:t xml:space="preserve">Diálogos territoriales, grupos de impulso y talleres </w:t>
            </w:r>
          </w:p>
        </w:tc>
        <w:tc>
          <w:tcPr>
            <w:tcW w:w="1114" w:type="dxa"/>
            <w:hideMark/>
          </w:tcPr>
          <w:p w:rsidRPr="00B75940" w:rsidR="00B75940" w:rsidRDefault="00B75940" w14:paraId="589CA5D5" w14:textId="77777777">
            <w:pPr>
              <w:jc w:val="center"/>
              <w:cnfStyle w:val="000000000000" w:firstRow="0" w:lastRow="0" w:firstColumn="0" w:lastColumn="0" w:oddVBand="0" w:evenVBand="0" w:oddHBand="0" w:evenHBand="0" w:firstRowFirstColumn="0" w:firstRowLastColumn="0" w:lastRowFirstColumn="0" w:lastRowLastColumn="0"/>
              <w:rPr>
                <w:rFonts w:ascii="Verdana" w:hAnsi="Verdana" w:eastAsia="Times New Roman" w:cs="Arial"/>
                <w:color w:val="000000" w:themeColor="text1"/>
                <w:sz w:val="18"/>
                <w:szCs w:val="18"/>
              </w:rPr>
            </w:pPr>
            <w:r w:rsidRPr="00B75940">
              <w:rPr>
                <w:rFonts w:ascii="Verdana" w:hAnsi="Verdana" w:eastAsia="Times New Roman" w:cs="Arial"/>
                <w:color w:val="000000" w:themeColor="text1"/>
                <w:sz w:val="18"/>
                <w:szCs w:val="18"/>
              </w:rPr>
              <w:t>48</w:t>
            </w:r>
          </w:p>
        </w:tc>
        <w:tc>
          <w:tcPr>
            <w:tcW w:w="5406" w:type="dxa"/>
            <w:hideMark/>
          </w:tcPr>
          <w:p w:rsidRPr="00B75940" w:rsidR="00B75940" w:rsidRDefault="00B75940" w14:paraId="0C92B074" w14:textId="77777777">
            <w:pPr>
              <w:jc w:val="both"/>
              <w:cnfStyle w:val="000000000000" w:firstRow="0" w:lastRow="0" w:firstColumn="0" w:lastColumn="0" w:oddVBand="0" w:evenVBand="0" w:oddHBand="0" w:evenHBand="0" w:firstRowFirstColumn="0" w:firstRowLastColumn="0" w:lastRowFirstColumn="0" w:lastRowLastColumn="0"/>
              <w:rPr>
                <w:rFonts w:ascii="Verdana" w:hAnsi="Verdana" w:eastAsia="Times New Roman" w:cs="Arial"/>
                <w:color w:val="000000" w:themeColor="text1"/>
                <w:sz w:val="18"/>
                <w:szCs w:val="18"/>
              </w:rPr>
            </w:pPr>
            <w:r w:rsidRPr="00B75940">
              <w:rPr>
                <w:rFonts w:ascii="Verdana" w:hAnsi="Verdana" w:eastAsia="Times New Roman" w:cs="Arial"/>
                <w:color w:val="000000" w:themeColor="text1"/>
                <w:sz w:val="18"/>
                <w:szCs w:val="18"/>
              </w:rPr>
              <w:t>Identificar necesidades de información y formación de los actores y grupos de interés lo cual permita generar confianza, y organizar “Diálogo con comunidades que transforman” para anticiparse a posibles conflictos en los territorios</w:t>
            </w:r>
          </w:p>
        </w:tc>
      </w:tr>
      <w:tr w:rsidRPr="00B75940" w:rsidR="00B75940" w:rsidTr="180099B3" w14:paraId="0A4DA70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shd w:val="clear" w:color="auto" w:fill="auto"/>
            <w:hideMark/>
          </w:tcPr>
          <w:p w:rsidRPr="00B75940" w:rsidR="00B75940" w:rsidRDefault="00B75940" w14:paraId="66271D42" w14:textId="77777777">
            <w:pPr>
              <w:jc w:val="both"/>
              <w:rPr>
                <w:rFonts w:ascii="Verdana" w:hAnsi="Verdana" w:eastAsia="Times New Roman" w:cs="Arial"/>
                <w:color w:val="000000" w:themeColor="text1"/>
                <w:sz w:val="18"/>
                <w:szCs w:val="18"/>
              </w:rPr>
            </w:pPr>
            <w:r w:rsidRPr="00B75940">
              <w:rPr>
                <w:rFonts w:ascii="Verdana" w:hAnsi="Verdana" w:eastAsia="Times New Roman" w:cs="Arial"/>
                <w:color w:val="000000" w:themeColor="text1"/>
                <w:sz w:val="18"/>
                <w:szCs w:val="18"/>
              </w:rPr>
              <w:t>Encuentro Nacional de Democracia Energética / liderazgos territoriales</w:t>
            </w:r>
          </w:p>
        </w:tc>
        <w:tc>
          <w:tcPr>
            <w:tcW w:w="1114" w:type="dxa"/>
            <w:shd w:val="clear" w:color="auto" w:fill="auto"/>
            <w:hideMark/>
          </w:tcPr>
          <w:p w:rsidRPr="00B75940" w:rsidR="00B75940" w:rsidRDefault="00B75940" w14:paraId="059A6B16" w14:textId="77777777">
            <w:pPr>
              <w:jc w:val="center"/>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color w:val="000000" w:themeColor="text1"/>
                <w:sz w:val="18"/>
                <w:szCs w:val="18"/>
              </w:rPr>
            </w:pPr>
            <w:r w:rsidRPr="00B75940">
              <w:rPr>
                <w:rFonts w:ascii="Verdana" w:hAnsi="Verdana" w:eastAsia="Times New Roman" w:cs="Arial"/>
                <w:color w:val="000000" w:themeColor="text1"/>
                <w:sz w:val="18"/>
                <w:szCs w:val="18"/>
              </w:rPr>
              <w:t>2</w:t>
            </w:r>
          </w:p>
        </w:tc>
        <w:tc>
          <w:tcPr>
            <w:tcW w:w="5406" w:type="dxa"/>
            <w:shd w:val="clear" w:color="auto" w:fill="auto"/>
            <w:hideMark/>
          </w:tcPr>
          <w:p w:rsidRPr="00B75940" w:rsidR="00B75940" w:rsidRDefault="00B75940" w14:paraId="100AD302" w14:textId="77777777">
            <w:pPr>
              <w:jc w:val="both"/>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color w:val="000000" w:themeColor="text1"/>
                <w:sz w:val="18"/>
                <w:szCs w:val="18"/>
              </w:rPr>
            </w:pPr>
            <w:r w:rsidRPr="00B75940">
              <w:rPr>
                <w:rFonts w:ascii="Verdana" w:hAnsi="Verdana" w:eastAsia="Times New Roman" w:cs="Arial"/>
                <w:color w:val="000000" w:themeColor="text1"/>
                <w:sz w:val="18"/>
                <w:szCs w:val="18"/>
              </w:rPr>
              <w:t xml:space="preserve">Espacio de articulación nacional entre representantes de los diferentes comités de participación y control social de democracia energética. Permitió conectar problemáticas locales con una agenda nacional de movilización e incidencia en energía. </w:t>
            </w:r>
          </w:p>
        </w:tc>
      </w:tr>
      <w:tr w:rsidRPr="00B75940" w:rsidR="00B75940" w:rsidTr="180099B3" w14:paraId="1B3E0D6A" w14:textId="77777777">
        <w:tc>
          <w:tcPr>
            <w:cnfStyle w:val="001000000000" w:firstRow="0" w:lastRow="0" w:firstColumn="1" w:lastColumn="0" w:oddVBand="0" w:evenVBand="0" w:oddHBand="0" w:evenHBand="0" w:firstRowFirstColumn="0" w:firstRowLastColumn="0" w:lastRowFirstColumn="0" w:lastRowLastColumn="0"/>
            <w:tcW w:w="2689" w:type="dxa"/>
            <w:hideMark/>
          </w:tcPr>
          <w:p w:rsidRPr="00B75940" w:rsidR="00B75940" w:rsidRDefault="00B75940" w14:paraId="600E87D2" w14:textId="77777777">
            <w:pPr>
              <w:jc w:val="both"/>
              <w:rPr>
                <w:rFonts w:ascii="Verdana" w:hAnsi="Verdana" w:eastAsia="Times New Roman" w:cs="Arial"/>
                <w:color w:val="000000" w:themeColor="text1"/>
                <w:sz w:val="18"/>
                <w:szCs w:val="18"/>
              </w:rPr>
            </w:pPr>
            <w:r w:rsidRPr="00B75940">
              <w:rPr>
                <w:rFonts w:ascii="Verdana" w:hAnsi="Verdana" w:eastAsia="Times New Roman" w:cs="Arial"/>
                <w:color w:val="000000" w:themeColor="text1"/>
                <w:sz w:val="18"/>
                <w:szCs w:val="18"/>
              </w:rPr>
              <w:t>Comités de Participación y Control Social —CPCS— activos</w:t>
            </w:r>
          </w:p>
        </w:tc>
        <w:tc>
          <w:tcPr>
            <w:tcW w:w="1114" w:type="dxa"/>
            <w:hideMark/>
          </w:tcPr>
          <w:p w:rsidRPr="00B75940" w:rsidR="00B75940" w:rsidRDefault="00B75940" w14:paraId="287D64EC" w14:textId="77777777">
            <w:pPr>
              <w:jc w:val="center"/>
              <w:cnfStyle w:val="000000000000" w:firstRow="0" w:lastRow="0" w:firstColumn="0" w:lastColumn="0" w:oddVBand="0" w:evenVBand="0" w:oddHBand="0" w:evenHBand="0" w:firstRowFirstColumn="0" w:firstRowLastColumn="0" w:lastRowFirstColumn="0" w:lastRowLastColumn="0"/>
              <w:rPr>
                <w:rFonts w:ascii="Verdana" w:hAnsi="Verdana" w:eastAsia="Times New Roman" w:cs="Arial"/>
                <w:color w:val="000000" w:themeColor="text1"/>
                <w:sz w:val="18"/>
                <w:szCs w:val="18"/>
              </w:rPr>
            </w:pPr>
            <w:r w:rsidRPr="00B75940">
              <w:rPr>
                <w:rFonts w:ascii="Verdana" w:hAnsi="Verdana" w:eastAsia="Times New Roman" w:cs="Arial"/>
                <w:color w:val="000000" w:themeColor="text1"/>
                <w:sz w:val="18"/>
                <w:szCs w:val="18"/>
              </w:rPr>
              <w:t>64</w:t>
            </w:r>
          </w:p>
        </w:tc>
        <w:tc>
          <w:tcPr>
            <w:tcW w:w="5406" w:type="dxa"/>
            <w:hideMark/>
          </w:tcPr>
          <w:p w:rsidRPr="00B75940" w:rsidR="00B75940" w:rsidRDefault="00B75940" w14:paraId="6D957F35" w14:textId="77777777">
            <w:pPr>
              <w:jc w:val="both"/>
              <w:cnfStyle w:val="000000000000" w:firstRow="0" w:lastRow="0" w:firstColumn="0" w:lastColumn="0" w:oddVBand="0" w:evenVBand="0" w:oddHBand="0" w:evenHBand="0" w:firstRowFirstColumn="0" w:firstRowLastColumn="0" w:lastRowFirstColumn="0" w:lastRowLastColumn="0"/>
              <w:rPr>
                <w:rFonts w:ascii="Verdana" w:hAnsi="Verdana" w:eastAsia="Times New Roman" w:cs="Arial"/>
                <w:color w:val="000000" w:themeColor="text1"/>
                <w:sz w:val="18"/>
                <w:szCs w:val="18"/>
              </w:rPr>
            </w:pPr>
            <w:r w:rsidRPr="00B75940">
              <w:rPr>
                <w:rStyle w:val="A8"/>
                <w:rFonts w:ascii="Verdana" w:hAnsi="Verdana" w:cs="Arial"/>
              </w:rPr>
              <w:t xml:space="preserve">Fortalecer los comités ciudadanos de participación y control y social a partir de acciones formativas, preventivas y de fortalecimiento para el control social. </w:t>
            </w:r>
            <w:r w:rsidRPr="00B75940">
              <w:rPr>
                <w:rFonts w:ascii="Verdana" w:hAnsi="Verdana" w:eastAsia="Times New Roman" w:cs="Arial"/>
                <w:color w:val="000000" w:themeColor="text1"/>
                <w:sz w:val="18"/>
                <w:szCs w:val="18"/>
              </w:rPr>
              <w:t>Estructuras organizativas comunitarias creadas para dar continuidad al proceso desde la participación y el apropiamiento social, a partir de acciones formativas, preventivas y de fortalecimiento para el control social.</w:t>
            </w:r>
            <w:r w:rsidRPr="00B75940">
              <w:rPr>
                <w:rStyle w:val="A8"/>
                <w:rFonts w:ascii="Verdana" w:hAnsi="Verdana" w:cs="Arial"/>
              </w:rPr>
              <w:t xml:space="preserve"> </w:t>
            </w:r>
            <w:r w:rsidRPr="00B75940">
              <w:rPr>
                <w:rFonts w:ascii="Verdana" w:hAnsi="Verdana" w:eastAsia="Times New Roman" w:cs="Arial"/>
                <w:color w:val="000000" w:themeColor="text1"/>
                <w:sz w:val="18"/>
                <w:szCs w:val="18"/>
              </w:rPr>
              <w:t xml:space="preserve">62 CPCS en democracia energética y 2 CPCS en minería, promoviendo agendas territoriales dependiendo el subsector (minería, energía e hidrocarburos). </w:t>
            </w:r>
          </w:p>
        </w:tc>
      </w:tr>
      <w:tr w:rsidRPr="00B75940" w:rsidR="00B75940" w:rsidTr="180099B3" w14:paraId="2D9B50B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shd w:val="clear" w:color="auto" w:fill="auto"/>
            <w:hideMark/>
          </w:tcPr>
          <w:p w:rsidRPr="00B75940" w:rsidR="00B75940" w:rsidRDefault="00B75940" w14:paraId="36956A69" w14:textId="77777777">
            <w:pPr>
              <w:jc w:val="both"/>
              <w:rPr>
                <w:rFonts w:ascii="Verdana" w:hAnsi="Verdana" w:eastAsia="Times New Roman" w:cs="Arial"/>
                <w:color w:val="000000" w:themeColor="text1"/>
                <w:sz w:val="18"/>
                <w:szCs w:val="18"/>
              </w:rPr>
            </w:pPr>
            <w:r w:rsidRPr="00B75940">
              <w:rPr>
                <w:rFonts w:ascii="Verdana" w:hAnsi="Verdana" w:eastAsia="Times New Roman" w:cs="Arial"/>
                <w:color w:val="000000" w:themeColor="text1"/>
                <w:sz w:val="18"/>
                <w:szCs w:val="18"/>
              </w:rPr>
              <w:t>Planes de Acción formulados con CPCS</w:t>
            </w:r>
          </w:p>
        </w:tc>
        <w:tc>
          <w:tcPr>
            <w:tcW w:w="1114" w:type="dxa"/>
            <w:shd w:val="clear" w:color="auto" w:fill="auto"/>
            <w:hideMark/>
          </w:tcPr>
          <w:p w:rsidRPr="00B75940" w:rsidR="00B75940" w:rsidRDefault="00B75940" w14:paraId="1D1FFBE3" w14:textId="77777777">
            <w:pPr>
              <w:jc w:val="center"/>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color w:val="000000" w:themeColor="text1"/>
                <w:sz w:val="18"/>
                <w:szCs w:val="18"/>
              </w:rPr>
            </w:pPr>
            <w:r w:rsidRPr="00B75940">
              <w:rPr>
                <w:rFonts w:ascii="Verdana" w:hAnsi="Verdana" w:eastAsia="Times New Roman" w:cs="Arial"/>
                <w:color w:val="000000" w:themeColor="text1"/>
                <w:sz w:val="18"/>
                <w:szCs w:val="18"/>
              </w:rPr>
              <w:t>41</w:t>
            </w:r>
          </w:p>
        </w:tc>
        <w:tc>
          <w:tcPr>
            <w:tcW w:w="5406" w:type="dxa"/>
            <w:shd w:val="clear" w:color="auto" w:fill="auto"/>
            <w:hideMark/>
          </w:tcPr>
          <w:p w:rsidRPr="00B75940" w:rsidR="00B75940" w:rsidRDefault="00B75940" w14:paraId="6F0F00B7" w14:textId="77777777">
            <w:pPr>
              <w:jc w:val="both"/>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color w:val="000000" w:themeColor="text1"/>
                <w:sz w:val="18"/>
                <w:szCs w:val="18"/>
              </w:rPr>
            </w:pPr>
            <w:r w:rsidRPr="00B75940">
              <w:rPr>
                <w:rFonts w:ascii="Verdana" w:hAnsi="Verdana" w:eastAsia="Times New Roman" w:cs="Arial"/>
                <w:color w:val="000000" w:themeColor="text1"/>
                <w:sz w:val="18"/>
                <w:szCs w:val="18"/>
              </w:rPr>
              <w:t xml:space="preserve">Fase de consolidación desarrollada entre noviembre de 2025 y abril de 2026.  30 municipios, 9 departamentos y más de 700 ciudadanos organizados, con énfasis en formalizar rutas de trabajo comunitario. </w:t>
            </w:r>
          </w:p>
        </w:tc>
      </w:tr>
    </w:tbl>
    <w:p w:rsidR="7785012C" w:rsidP="180099B3" w:rsidRDefault="5D400FAF" w14:paraId="3A7517A3" w14:textId="77777777">
      <w:pPr>
        <w:spacing w:after="0" w:line="360" w:lineRule="auto"/>
        <w:jc w:val="center"/>
        <w:rPr>
          <w:rFonts w:ascii="Verdana" w:hAnsi="Verdana"/>
          <w:sz w:val="18"/>
          <w:szCs w:val="18"/>
        </w:rPr>
      </w:pPr>
      <w:r w:rsidRPr="0FF05B1B">
        <w:rPr>
          <w:rFonts w:ascii="Verdana" w:hAnsi="Verdana"/>
          <w:sz w:val="18"/>
          <w:szCs w:val="18"/>
        </w:rPr>
        <w:t>Fuente: Oficina de Asuntos Ambientales y Sociales - OAAS</w:t>
      </w:r>
    </w:p>
    <w:p w:rsidR="180099B3" w:rsidP="006A0A13" w:rsidRDefault="180099B3" w14:paraId="18914657" w14:textId="77777777">
      <w:pPr>
        <w:spacing w:after="0" w:line="360" w:lineRule="auto"/>
        <w:jc w:val="both"/>
        <w:rPr>
          <w:rFonts w:ascii="Verdana" w:hAnsi="Verdana"/>
          <w:b/>
          <w:bCs/>
          <w:sz w:val="24"/>
          <w:szCs w:val="24"/>
        </w:rPr>
      </w:pPr>
    </w:p>
    <w:p w:rsidR="00B75940" w:rsidP="006A0A13" w:rsidRDefault="32907844" w14:paraId="184449A8" w14:textId="77777777">
      <w:pPr>
        <w:spacing w:after="0" w:line="360" w:lineRule="auto"/>
        <w:jc w:val="both"/>
        <w:rPr>
          <w:rFonts w:ascii="Verdana" w:hAnsi="Verdana"/>
          <w:b/>
          <w:bCs/>
          <w:sz w:val="24"/>
          <w:szCs w:val="24"/>
        </w:rPr>
      </w:pPr>
      <w:r w:rsidRPr="0FF05B1B">
        <w:rPr>
          <w:rFonts w:ascii="Verdana" w:hAnsi="Verdana"/>
          <w:b/>
          <w:bCs/>
          <w:sz w:val="24"/>
          <w:szCs w:val="24"/>
        </w:rPr>
        <w:t xml:space="preserve">Atención a Conflictos Sociales por el Derecho a la Energía </w:t>
      </w:r>
    </w:p>
    <w:p w:rsidR="0FF05B1B" w:rsidP="006A0A13" w:rsidRDefault="0FF05B1B" w14:paraId="375F6E4F" w14:textId="4B7E1AD9">
      <w:pPr>
        <w:spacing w:after="0" w:line="360" w:lineRule="auto"/>
        <w:jc w:val="both"/>
        <w:rPr>
          <w:rFonts w:ascii="Verdana" w:hAnsi="Verdana"/>
          <w:sz w:val="24"/>
          <w:szCs w:val="24"/>
        </w:rPr>
      </w:pPr>
    </w:p>
    <w:p w:rsidR="00B75940" w:rsidP="006A0A13" w:rsidRDefault="00B75940" w14:paraId="0ECA618A" w14:textId="77777777">
      <w:pPr>
        <w:spacing w:after="0" w:line="360" w:lineRule="auto"/>
        <w:jc w:val="both"/>
        <w:rPr>
          <w:rFonts w:ascii="Verdana" w:hAnsi="Verdana"/>
          <w:sz w:val="24"/>
          <w:szCs w:val="24"/>
        </w:rPr>
      </w:pPr>
      <w:r w:rsidRPr="00B75940">
        <w:rPr>
          <w:rFonts w:ascii="Verdana" w:hAnsi="Verdana"/>
          <w:sz w:val="24"/>
          <w:szCs w:val="24"/>
        </w:rPr>
        <w:t>La estrategia de la OAAS fortaleció el diálogo social, la confianza territorial y la articulación institucional, promoviendo la resolución pacífica de los conflictos y la mejora del relacionamiento entre comunidades, empresas y Estado en el sector energético.</w:t>
      </w:r>
    </w:p>
    <w:p w:rsidRPr="00B75940" w:rsidR="00B75940" w:rsidP="006A0A13" w:rsidRDefault="00B75940" w14:paraId="050CA4C2" w14:textId="77777777">
      <w:pPr>
        <w:spacing w:after="0" w:line="360" w:lineRule="auto"/>
        <w:jc w:val="both"/>
        <w:rPr>
          <w:rFonts w:ascii="Verdana" w:hAnsi="Verdana"/>
          <w:sz w:val="24"/>
          <w:szCs w:val="24"/>
        </w:rPr>
      </w:pPr>
    </w:p>
    <w:p w:rsidRPr="00B75940" w:rsidR="00B75940" w:rsidP="006A0A13" w:rsidRDefault="498057D3" w14:paraId="52C82C64" w14:textId="417CDE49">
      <w:pPr>
        <w:spacing w:after="0" w:line="360" w:lineRule="auto"/>
        <w:jc w:val="both"/>
        <w:rPr>
          <w:rFonts w:ascii="Verdana" w:hAnsi="Verdana"/>
          <w:sz w:val="24"/>
          <w:szCs w:val="24"/>
        </w:rPr>
      </w:pPr>
      <w:r w:rsidRPr="0FF05B1B">
        <w:rPr>
          <w:rFonts w:ascii="Verdana" w:hAnsi="Verdana"/>
          <w:sz w:val="24"/>
          <w:szCs w:val="24"/>
        </w:rPr>
        <w:t>Hito 1. Mesas Técnica</w:t>
      </w:r>
      <w:r w:rsidRPr="0FF05B1B" w:rsidR="56ACA52F">
        <w:rPr>
          <w:rFonts w:ascii="Verdana" w:hAnsi="Verdana"/>
          <w:sz w:val="24"/>
          <w:szCs w:val="24"/>
        </w:rPr>
        <w:t xml:space="preserve">s: </w:t>
      </w:r>
      <w:r w:rsidRPr="0FF05B1B">
        <w:rPr>
          <w:rFonts w:ascii="Verdana" w:hAnsi="Verdana"/>
          <w:sz w:val="24"/>
          <w:szCs w:val="24"/>
        </w:rPr>
        <w:t xml:space="preserve">Se consolidaron mesas técnicas, sociales e interinstitucionales en los territorios, promoviendo la participación de </w:t>
      </w:r>
      <w:r w:rsidRPr="0FF05B1B">
        <w:rPr>
          <w:rFonts w:ascii="Verdana" w:hAnsi="Verdana"/>
          <w:sz w:val="24"/>
          <w:szCs w:val="24"/>
        </w:rPr>
        <w:t>comunidades, autoridades locales y actores del sector energético en la toma de decisiones.</w:t>
      </w:r>
    </w:p>
    <w:p w:rsidR="00B75940" w:rsidP="006A0A13" w:rsidRDefault="00B75940" w14:paraId="645BE546" w14:textId="77777777">
      <w:pPr>
        <w:spacing w:after="0" w:line="360" w:lineRule="auto"/>
        <w:jc w:val="both"/>
        <w:rPr>
          <w:rFonts w:ascii="Verdana" w:hAnsi="Verdana"/>
          <w:sz w:val="24"/>
          <w:szCs w:val="24"/>
        </w:rPr>
      </w:pPr>
    </w:p>
    <w:p w:rsidRPr="00B75940" w:rsidR="00B75940" w:rsidP="006A0A13" w:rsidRDefault="498057D3" w14:paraId="694EC9C1" w14:textId="45376EB8">
      <w:pPr>
        <w:spacing w:after="0" w:line="360" w:lineRule="auto"/>
        <w:jc w:val="both"/>
        <w:rPr>
          <w:rFonts w:ascii="Verdana" w:hAnsi="Verdana"/>
          <w:sz w:val="24"/>
          <w:szCs w:val="24"/>
        </w:rPr>
      </w:pPr>
      <w:r w:rsidRPr="0FF05B1B">
        <w:rPr>
          <w:rFonts w:ascii="Verdana" w:hAnsi="Verdana"/>
          <w:sz w:val="24"/>
          <w:szCs w:val="24"/>
        </w:rPr>
        <w:t>Hito 2. Seguimiento</w:t>
      </w:r>
      <w:r w:rsidRPr="0FF05B1B" w:rsidR="71957E93">
        <w:rPr>
          <w:rFonts w:ascii="Verdana" w:hAnsi="Verdana"/>
          <w:sz w:val="24"/>
          <w:szCs w:val="24"/>
        </w:rPr>
        <w:t xml:space="preserve">: </w:t>
      </w:r>
      <w:r w:rsidRPr="0FF05B1B">
        <w:rPr>
          <w:rFonts w:ascii="Verdana" w:hAnsi="Verdana"/>
          <w:sz w:val="24"/>
          <w:szCs w:val="24"/>
        </w:rPr>
        <w:t>Se implementaron matrices de seguimiento, sistemas de información y herramientas metodológicas para verificar avances, cumplimiento de acuerdos y trazabilidad de compromisos en los territorios.</w:t>
      </w:r>
    </w:p>
    <w:p w:rsidR="00B75940" w:rsidP="006A0A13" w:rsidRDefault="00B75940" w14:paraId="0E9ED226" w14:textId="77777777">
      <w:pPr>
        <w:spacing w:after="0" w:line="360" w:lineRule="auto"/>
        <w:jc w:val="both"/>
        <w:rPr>
          <w:rFonts w:ascii="Verdana" w:hAnsi="Verdana"/>
          <w:sz w:val="24"/>
          <w:szCs w:val="24"/>
        </w:rPr>
      </w:pPr>
    </w:p>
    <w:p w:rsidRPr="00B75940" w:rsidR="00B75940" w:rsidP="006A0A13" w:rsidRDefault="498057D3" w14:paraId="16CBBFF5" w14:textId="71B0830F">
      <w:pPr>
        <w:spacing w:after="0" w:line="360" w:lineRule="auto"/>
        <w:jc w:val="both"/>
        <w:rPr>
          <w:rFonts w:ascii="Verdana" w:hAnsi="Verdana"/>
          <w:sz w:val="24"/>
          <w:szCs w:val="24"/>
        </w:rPr>
      </w:pPr>
      <w:r w:rsidRPr="0FF05B1B">
        <w:rPr>
          <w:rFonts w:ascii="Verdana" w:hAnsi="Verdana"/>
          <w:sz w:val="24"/>
          <w:szCs w:val="24"/>
          <w:lang w:val="pt-PT"/>
        </w:rPr>
        <w:t>Hito 3. Gestión Zonas No Interconectadas (ZNI)</w:t>
      </w:r>
      <w:r w:rsidRPr="0FF05B1B" w:rsidR="7C189A38">
        <w:rPr>
          <w:rFonts w:ascii="Verdana" w:hAnsi="Verdana"/>
          <w:sz w:val="24"/>
          <w:szCs w:val="24"/>
          <w:lang w:val="pt-PT"/>
        </w:rPr>
        <w:t xml:space="preserve">: </w:t>
      </w:r>
      <w:r w:rsidRPr="0FF05B1B">
        <w:rPr>
          <w:rFonts w:ascii="Verdana" w:hAnsi="Verdana"/>
          <w:sz w:val="24"/>
          <w:szCs w:val="24"/>
        </w:rPr>
        <w:t>Se adelantaron acciones de coordinación institucional, asistencia técnica y seguimiento social en Zonas No Interconectadas (ZNI), priorizando comunidades rurales, dispersas y vulnerables.</w:t>
      </w:r>
    </w:p>
    <w:p w:rsidR="00B75940" w:rsidP="006A0A13" w:rsidRDefault="00B75940" w14:paraId="218FE5E9" w14:textId="77777777">
      <w:pPr>
        <w:spacing w:after="0" w:line="360" w:lineRule="auto"/>
        <w:jc w:val="both"/>
        <w:rPr>
          <w:rFonts w:ascii="Verdana" w:hAnsi="Verdana"/>
          <w:sz w:val="24"/>
          <w:szCs w:val="24"/>
        </w:rPr>
      </w:pPr>
    </w:p>
    <w:p w:rsidRPr="00B75940" w:rsidR="00B75940" w:rsidP="006A0A13" w:rsidRDefault="498057D3" w14:paraId="7DE089CD" w14:textId="7D708937">
      <w:pPr>
        <w:spacing w:after="0" w:line="360" w:lineRule="auto"/>
        <w:jc w:val="both"/>
        <w:rPr>
          <w:rFonts w:ascii="Verdana" w:hAnsi="Verdana"/>
          <w:sz w:val="24"/>
          <w:szCs w:val="24"/>
        </w:rPr>
      </w:pPr>
      <w:r w:rsidRPr="0FF05B1B">
        <w:rPr>
          <w:rFonts w:ascii="Verdana" w:hAnsi="Verdana"/>
          <w:sz w:val="24"/>
          <w:szCs w:val="24"/>
        </w:rPr>
        <w:t>Hito 4. Inclusión de la Población</w:t>
      </w:r>
      <w:r w:rsidRPr="0FF05B1B" w:rsidR="18EA734B">
        <w:rPr>
          <w:rFonts w:ascii="Verdana" w:hAnsi="Verdana"/>
          <w:sz w:val="24"/>
          <w:szCs w:val="24"/>
        </w:rPr>
        <w:t xml:space="preserve">: </w:t>
      </w:r>
      <w:r w:rsidRPr="0FF05B1B">
        <w:rPr>
          <w:rFonts w:ascii="Verdana" w:hAnsi="Verdana"/>
          <w:sz w:val="24"/>
          <w:szCs w:val="24"/>
        </w:rPr>
        <w:t>Se promovieron mecanismos de vigilancia comunitaria, acceso a información pública y acompañamiento a procesos de incidencia ciudadana en proyectos energéticos.</w:t>
      </w:r>
    </w:p>
    <w:p w:rsidR="00B75940" w:rsidP="006A0A13" w:rsidRDefault="00B75940" w14:paraId="2A13791B" w14:textId="77777777">
      <w:pPr>
        <w:spacing w:after="0" w:line="360" w:lineRule="auto"/>
        <w:jc w:val="both"/>
        <w:rPr>
          <w:rFonts w:ascii="Verdana" w:hAnsi="Verdana"/>
          <w:sz w:val="24"/>
          <w:szCs w:val="24"/>
        </w:rPr>
      </w:pPr>
    </w:p>
    <w:p w:rsidRPr="00B75940" w:rsidR="00B75940" w:rsidP="006A0A13" w:rsidRDefault="498057D3" w14:paraId="213C771E" w14:textId="32EE0CCB">
      <w:pPr>
        <w:spacing w:after="0" w:line="360" w:lineRule="auto"/>
        <w:jc w:val="both"/>
        <w:rPr>
          <w:rFonts w:ascii="Verdana" w:hAnsi="Verdana"/>
          <w:sz w:val="24"/>
          <w:szCs w:val="24"/>
        </w:rPr>
      </w:pPr>
      <w:r w:rsidRPr="0FF05B1B">
        <w:rPr>
          <w:rFonts w:ascii="Verdana" w:hAnsi="Verdana"/>
          <w:sz w:val="24"/>
          <w:szCs w:val="24"/>
        </w:rPr>
        <w:t>Hito 5. Acceso a la Información</w:t>
      </w:r>
      <w:r w:rsidRPr="0FF05B1B" w:rsidR="4692C7F9">
        <w:rPr>
          <w:rFonts w:ascii="Verdana" w:hAnsi="Verdana"/>
          <w:sz w:val="24"/>
          <w:szCs w:val="24"/>
        </w:rPr>
        <w:t xml:space="preserve">: </w:t>
      </w:r>
      <w:r w:rsidRPr="0FF05B1B">
        <w:rPr>
          <w:rFonts w:ascii="Verdana" w:hAnsi="Verdana"/>
          <w:sz w:val="24"/>
          <w:szCs w:val="24"/>
        </w:rPr>
        <w:t>Se desarrollaron tableros de control, infografías, sistemas de análisis y productos de información para la toma de decisiones basadas en evidencia en los territorios.</w:t>
      </w:r>
    </w:p>
    <w:p w:rsidR="00B75940" w:rsidP="006A0A13" w:rsidRDefault="00B75940" w14:paraId="27B28F65" w14:textId="77777777">
      <w:pPr>
        <w:spacing w:after="0" w:line="360" w:lineRule="auto"/>
        <w:jc w:val="both"/>
        <w:rPr>
          <w:rFonts w:ascii="Verdana" w:hAnsi="Verdana"/>
          <w:sz w:val="24"/>
          <w:szCs w:val="24"/>
        </w:rPr>
      </w:pPr>
    </w:p>
    <w:p w:rsidRPr="00B75940" w:rsidR="00B75940" w:rsidP="006A0A13" w:rsidRDefault="00B75940" w14:paraId="0833D2D6" w14:textId="77777777">
      <w:pPr>
        <w:spacing w:after="0" w:line="360" w:lineRule="auto"/>
        <w:jc w:val="both"/>
        <w:rPr>
          <w:rFonts w:ascii="Verdana" w:hAnsi="Verdana"/>
          <w:sz w:val="24"/>
          <w:szCs w:val="24"/>
        </w:rPr>
      </w:pPr>
      <w:r w:rsidRPr="00B75940">
        <w:rPr>
          <w:rFonts w:ascii="Verdana" w:hAnsi="Verdana"/>
          <w:sz w:val="24"/>
          <w:szCs w:val="24"/>
        </w:rPr>
        <w:t>Aproximadamente 249.000 personas en regiones como Mitú, Sahagún, Suárez, Guavio y el Litoral del San Juan, incluyendo comunidades étnicas, rurales, autoridades locales y usuarios del servicio de energía fueron impactadas por la gestión de la Oficina.</w:t>
      </w:r>
    </w:p>
    <w:p w:rsidR="00B75940" w:rsidP="006A0A13" w:rsidRDefault="00B75940" w14:paraId="472C179C" w14:textId="77777777">
      <w:pPr>
        <w:spacing w:after="0" w:line="360" w:lineRule="auto"/>
        <w:jc w:val="both"/>
        <w:rPr>
          <w:rFonts w:ascii="Verdana" w:hAnsi="Verdana"/>
          <w:sz w:val="24"/>
          <w:szCs w:val="24"/>
        </w:rPr>
      </w:pPr>
    </w:p>
    <w:p w:rsidR="00DB5DFD" w:rsidP="006A0A13" w:rsidRDefault="00B75940" w14:paraId="01929A89" w14:textId="77777777">
      <w:pPr>
        <w:spacing w:after="0" w:line="360" w:lineRule="auto"/>
        <w:jc w:val="both"/>
        <w:rPr>
          <w:rFonts w:ascii="Verdana" w:hAnsi="Verdana"/>
          <w:sz w:val="24"/>
          <w:szCs w:val="24"/>
        </w:rPr>
      </w:pPr>
      <w:r w:rsidRPr="00B75940">
        <w:rPr>
          <w:rFonts w:ascii="Verdana" w:hAnsi="Verdana"/>
          <w:sz w:val="24"/>
          <w:szCs w:val="24"/>
        </w:rPr>
        <w:t>En el marco de la Estrategia de Relacionamiento Territorial, se gestionaron las siguientes actividades en el sector de energía:</w:t>
      </w:r>
    </w:p>
    <w:p w:rsidR="00017216" w:rsidP="006A0A13" w:rsidRDefault="00017216" w14:paraId="703F2B98" w14:textId="77777777">
      <w:pPr>
        <w:spacing w:after="0" w:line="360" w:lineRule="auto"/>
        <w:jc w:val="both"/>
        <w:rPr>
          <w:rFonts w:ascii="Verdana" w:hAnsi="Verdana"/>
          <w:sz w:val="24"/>
          <w:szCs w:val="24"/>
        </w:rPr>
      </w:pPr>
    </w:p>
    <w:p w:rsidRPr="00B75940" w:rsidR="00B75940" w:rsidP="00B75940" w:rsidRDefault="1E3627E9" w14:paraId="42785E68" w14:textId="77777777">
      <w:pPr>
        <w:spacing w:after="0" w:line="240" w:lineRule="auto"/>
        <w:jc w:val="center"/>
        <w:rPr>
          <w:rFonts w:ascii="Verdana" w:hAnsi="Verdana" w:eastAsia="Times New Roman" w:cs="Arial"/>
          <w:sz w:val="18"/>
          <w:szCs w:val="18"/>
        </w:rPr>
      </w:pPr>
      <w:r w:rsidRPr="180099B3">
        <w:rPr>
          <w:rFonts w:ascii="Verdana" w:hAnsi="Verdana" w:eastAsia="Times New Roman" w:cs="Arial"/>
          <w:sz w:val="18"/>
          <w:szCs w:val="18"/>
        </w:rPr>
        <w:t>Tabla No.</w:t>
      </w:r>
      <w:r w:rsidRPr="180099B3" w:rsidR="103B25B4">
        <w:rPr>
          <w:rFonts w:ascii="Verdana" w:hAnsi="Verdana" w:eastAsia="Times New Roman" w:cs="Arial"/>
          <w:sz w:val="18"/>
          <w:szCs w:val="18"/>
        </w:rPr>
        <w:t xml:space="preserve"> 62</w:t>
      </w:r>
      <w:r w:rsidRPr="180099B3">
        <w:rPr>
          <w:rFonts w:ascii="Verdana" w:hAnsi="Verdana" w:eastAsia="Times New Roman" w:cs="Arial"/>
          <w:sz w:val="18"/>
          <w:szCs w:val="18"/>
        </w:rPr>
        <w:t>. Conflictos Atendidos en Energía</w:t>
      </w:r>
    </w:p>
    <w:tbl>
      <w:tblPr>
        <w:tblStyle w:val="Tablaconcuadrcula4-nfasis6"/>
        <w:tblW w:w="5000" w:type="pct"/>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ook w:val="04A0" w:firstRow="1" w:lastRow="0" w:firstColumn="1" w:lastColumn="0" w:noHBand="0" w:noVBand="1"/>
      </w:tblPr>
      <w:tblGrid>
        <w:gridCol w:w="1226"/>
        <w:gridCol w:w="1824"/>
        <w:gridCol w:w="1404"/>
        <w:gridCol w:w="1448"/>
        <w:gridCol w:w="2926"/>
      </w:tblGrid>
      <w:tr w:rsidRPr="00B75940" w:rsidR="00B75940" w:rsidTr="180099B3" w14:paraId="5EC0B7DB"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4" w:type="pct"/>
            <w:tcBorders>
              <w:top w:val="none" w:color="auto" w:sz="0" w:space="0"/>
              <w:left w:val="none" w:color="auto" w:sz="0" w:space="0"/>
              <w:bottom w:val="none" w:color="auto" w:sz="0" w:space="0"/>
              <w:right w:val="none" w:color="auto" w:sz="0" w:space="0"/>
            </w:tcBorders>
            <w:shd w:val="clear" w:color="auto" w:fill="A6A6A6" w:themeFill="background1" w:themeFillShade="A6"/>
            <w:vAlign w:val="center"/>
            <w:hideMark/>
          </w:tcPr>
          <w:p w:rsidRPr="00B75940" w:rsidR="00B75940" w:rsidP="00B75940" w:rsidRDefault="00B75940" w14:paraId="1ECA8849" w14:textId="77777777">
            <w:pPr>
              <w:jc w:val="center"/>
              <w:rPr>
                <w:rFonts w:ascii="Verdana" w:hAnsi="Verdana" w:eastAsia="Times New Roman" w:cs="Arial"/>
                <w:b w:val="0"/>
                <w:bCs w:val="0"/>
                <w:color w:val="auto"/>
                <w:sz w:val="18"/>
                <w:szCs w:val="18"/>
                <w:lang w:val="es-CO"/>
              </w:rPr>
            </w:pPr>
            <w:r w:rsidRPr="00B75940">
              <w:rPr>
                <w:rFonts w:ascii="Verdana" w:hAnsi="Verdana" w:eastAsia="Times New Roman" w:cs="Arial"/>
                <w:color w:val="auto"/>
                <w:sz w:val="18"/>
                <w:szCs w:val="18"/>
                <w:lang w:val="es-CO"/>
              </w:rPr>
              <w:t>Subsector</w:t>
            </w:r>
          </w:p>
        </w:tc>
        <w:tc>
          <w:tcPr>
            <w:tcW w:w="1033" w:type="pct"/>
            <w:tcBorders>
              <w:top w:val="none" w:color="auto" w:sz="0" w:space="0"/>
              <w:left w:val="none" w:color="auto" w:sz="0" w:space="0"/>
              <w:bottom w:val="none" w:color="auto" w:sz="0" w:space="0"/>
              <w:right w:val="none" w:color="auto" w:sz="0" w:space="0"/>
            </w:tcBorders>
            <w:shd w:val="clear" w:color="auto" w:fill="A6A6A6" w:themeFill="background1" w:themeFillShade="A6"/>
            <w:vAlign w:val="center"/>
            <w:hideMark/>
          </w:tcPr>
          <w:p w:rsidRPr="00B75940" w:rsidR="00B75940" w:rsidP="00B75940" w:rsidRDefault="00B75940" w14:paraId="5ADB1D74" w14:textId="77777777">
            <w:pPr>
              <w:jc w:val="center"/>
              <w:cnfStyle w:val="100000000000" w:firstRow="1" w:lastRow="0" w:firstColumn="0" w:lastColumn="0" w:oddVBand="0" w:evenVBand="0" w:oddHBand="0" w:evenHBand="0" w:firstRowFirstColumn="0" w:firstRowLastColumn="0" w:lastRowFirstColumn="0" w:lastRowLastColumn="0"/>
              <w:rPr>
                <w:rFonts w:ascii="Verdana" w:hAnsi="Verdana" w:eastAsia="Times New Roman" w:cs="Arial"/>
                <w:b w:val="0"/>
                <w:bCs w:val="0"/>
                <w:color w:val="auto"/>
                <w:sz w:val="18"/>
                <w:szCs w:val="18"/>
                <w:lang w:val="es-CO"/>
              </w:rPr>
            </w:pPr>
            <w:r w:rsidRPr="00B75940">
              <w:rPr>
                <w:rFonts w:ascii="Verdana" w:hAnsi="Verdana" w:eastAsia="Times New Roman" w:cs="Arial"/>
                <w:color w:val="auto"/>
                <w:sz w:val="18"/>
                <w:szCs w:val="18"/>
                <w:lang w:val="es-CO"/>
              </w:rPr>
              <w:t>Conflictividades atendidas</w:t>
            </w:r>
          </w:p>
        </w:tc>
        <w:tc>
          <w:tcPr>
            <w:tcW w:w="796" w:type="pct"/>
            <w:tcBorders>
              <w:top w:val="none" w:color="auto" w:sz="0" w:space="0"/>
              <w:left w:val="none" w:color="auto" w:sz="0" w:space="0"/>
              <w:bottom w:val="none" w:color="auto" w:sz="0" w:space="0"/>
              <w:right w:val="none" w:color="auto" w:sz="0" w:space="0"/>
            </w:tcBorders>
            <w:shd w:val="clear" w:color="auto" w:fill="A6A6A6" w:themeFill="background1" w:themeFillShade="A6"/>
            <w:vAlign w:val="center"/>
            <w:hideMark/>
          </w:tcPr>
          <w:p w:rsidRPr="00B75940" w:rsidR="00B75940" w:rsidP="00B75940" w:rsidRDefault="00B75940" w14:paraId="2305C92D" w14:textId="77777777">
            <w:pPr>
              <w:jc w:val="center"/>
              <w:cnfStyle w:val="100000000000" w:firstRow="1" w:lastRow="0" w:firstColumn="0" w:lastColumn="0" w:oddVBand="0" w:evenVBand="0" w:oddHBand="0" w:evenHBand="0" w:firstRowFirstColumn="0" w:firstRowLastColumn="0" w:lastRowFirstColumn="0" w:lastRowLastColumn="0"/>
              <w:rPr>
                <w:rFonts w:ascii="Verdana" w:hAnsi="Verdana" w:eastAsia="Times New Roman" w:cs="Arial"/>
                <w:b w:val="0"/>
                <w:bCs w:val="0"/>
                <w:color w:val="auto"/>
                <w:sz w:val="18"/>
                <w:szCs w:val="18"/>
                <w:lang w:val="es-CO"/>
              </w:rPr>
            </w:pPr>
            <w:r w:rsidRPr="00B75940">
              <w:rPr>
                <w:rFonts w:ascii="Verdana" w:hAnsi="Verdana" w:eastAsia="Times New Roman" w:cs="Arial"/>
                <w:color w:val="auto"/>
                <w:sz w:val="18"/>
                <w:szCs w:val="18"/>
                <w:lang w:val="es-CO"/>
              </w:rPr>
              <w:t>Alertas tempranas atendidas</w:t>
            </w:r>
          </w:p>
        </w:tc>
        <w:tc>
          <w:tcPr>
            <w:tcW w:w="820" w:type="pct"/>
            <w:tcBorders>
              <w:top w:val="none" w:color="auto" w:sz="0" w:space="0"/>
              <w:left w:val="none" w:color="auto" w:sz="0" w:space="0"/>
              <w:bottom w:val="none" w:color="auto" w:sz="0" w:space="0"/>
              <w:right w:val="none" w:color="auto" w:sz="0" w:space="0"/>
            </w:tcBorders>
            <w:shd w:val="clear" w:color="auto" w:fill="A6A6A6" w:themeFill="background1" w:themeFillShade="A6"/>
            <w:vAlign w:val="center"/>
            <w:hideMark/>
          </w:tcPr>
          <w:p w:rsidRPr="00B75940" w:rsidR="00B75940" w:rsidP="00B75940" w:rsidRDefault="00B75940" w14:paraId="30039B9D" w14:textId="77777777">
            <w:pPr>
              <w:jc w:val="center"/>
              <w:cnfStyle w:val="100000000000" w:firstRow="1" w:lastRow="0" w:firstColumn="0" w:lastColumn="0" w:oddVBand="0" w:evenVBand="0" w:oddHBand="0" w:evenHBand="0" w:firstRowFirstColumn="0" w:firstRowLastColumn="0" w:lastRowFirstColumn="0" w:lastRowLastColumn="0"/>
              <w:rPr>
                <w:rFonts w:ascii="Verdana" w:hAnsi="Verdana" w:eastAsia="Times New Roman" w:cs="Arial"/>
                <w:b w:val="0"/>
                <w:bCs w:val="0"/>
                <w:color w:val="auto"/>
                <w:sz w:val="18"/>
                <w:szCs w:val="18"/>
                <w:lang w:val="es-CO"/>
              </w:rPr>
            </w:pPr>
            <w:r w:rsidRPr="00B75940">
              <w:rPr>
                <w:rFonts w:ascii="Verdana" w:hAnsi="Verdana" w:eastAsia="Times New Roman" w:cs="Arial"/>
                <w:color w:val="auto"/>
                <w:sz w:val="18"/>
                <w:szCs w:val="18"/>
                <w:lang w:val="es-CO"/>
              </w:rPr>
              <w:t>Total espacios / registros atendidos</w:t>
            </w:r>
          </w:p>
        </w:tc>
        <w:tc>
          <w:tcPr>
            <w:tcW w:w="1657" w:type="pct"/>
            <w:tcBorders>
              <w:top w:val="none" w:color="auto" w:sz="0" w:space="0"/>
              <w:left w:val="none" w:color="auto" w:sz="0" w:space="0"/>
              <w:bottom w:val="none" w:color="auto" w:sz="0" w:space="0"/>
              <w:right w:val="none" w:color="auto" w:sz="0" w:space="0"/>
            </w:tcBorders>
            <w:shd w:val="clear" w:color="auto" w:fill="A6A6A6" w:themeFill="background1" w:themeFillShade="A6"/>
            <w:vAlign w:val="center"/>
            <w:hideMark/>
          </w:tcPr>
          <w:p w:rsidRPr="00B75940" w:rsidR="00B75940" w:rsidP="00B75940" w:rsidRDefault="00B75940" w14:paraId="1575AED4" w14:textId="77777777">
            <w:pPr>
              <w:jc w:val="center"/>
              <w:cnfStyle w:val="100000000000" w:firstRow="1" w:lastRow="0" w:firstColumn="0" w:lastColumn="0" w:oddVBand="0" w:evenVBand="0" w:oddHBand="0" w:evenHBand="0" w:firstRowFirstColumn="0" w:firstRowLastColumn="0" w:lastRowFirstColumn="0" w:lastRowLastColumn="0"/>
              <w:rPr>
                <w:rFonts w:ascii="Verdana" w:hAnsi="Verdana" w:eastAsia="Times New Roman" w:cs="Arial"/>
                <w:b w:val="0"/>
                <w:bCs w:val="0"/>
                <w:color w:val="auto"/>
                <w:sz w:val="18"/>
                <w:szCs w:val="18"/>
                <w:lang w:val="es-CO"/>
              </w:rPr>
            </w:pPr>
            <w:r w:rsidRPr="00B75940">
              <w:rPr>
                <w:rFonts w:ascii="Verdana" w:hAnsi="Verdana" w:eastAsia="Times New Roman" w:cs="Arial"/>
                <w:color w:val="auto"/>
                <w:sz w:val="18"/>
                <w:szCs w:val="18"/>
                <w:lang w:val="es-CO"/>
              </w:rPr>
              <w:t>Contexto principal</w:t>
            </w:r>
          </w:p>
        </w:tc>
      </w:tr>
      <w:tr w:rsidRPr="00B75940" w:rsidR="00B75940" w:rsidTr="180099B3" w14:paraId="1148AFC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4" w:type="pct"/>
            <w:shd w:val="clear" w:color="auto" w:fill="auto"/>
            <w:hideMark/>
          </w:tcPr>
          <w:p w:rsidRPr="00B75940" w:rsidR="00B75940" w:rsidP="00B75940" w:rsidRDefault="00B75940" w14:paraId="225A3948" w14:textId="77777777">
            <w:pPr>
              <w:jc w:val="both"/>
              <w:rPr>
                <w:rFonts w:ascii="Verdana" w:hAnsi="Verdana" w:eastAsia="Times New Roman" w:cs="Arial"/>
                <w:sz w:val="18"/>
                <w:szCs w:val="18"/>
                <w:lang w:val="es-CO"/>
              </w:rPr>
            </w:pPr>
            <w:r w:rsidRPr="00B75940">
              <w:rPr>
                <w:rFonts w:ascii="Verdana" w:hAnsi="Verdana" w:eastAsia="Times New Roman" w:cs="Arial"/>
                <w:sz w:val="18"/>
                <w:szCs w:val="18"/>
                <w:lang w:val="es-CO"/>
              </w:rPr>
              <w:t>Energía</w:t>
            </w:r>
          </w:p>
        </w:tc>
        <w:tc>
          <w:tcPr>
            <w:tcW w:w="1033" w:type="pct"/>
            <w:shd w:val="clear" w:color="auto" w:fill="auto"/>
            <w:hideMark/>
          </w:tcPr>
          <w:p w:rsidRPr="00B75940" w:rsidR="00B75940" w:rsidP="00B75940" w:rsidRDefault="00B75940" w14:paraId="7A544822" w14:textId="77777777">
            <w:pPr>
              <w:jc w:val="center"/>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B75940">
              <w:rPr>
                <w:rFonts w:ascii="Verdana" w:hAnsi="Verdana" w:eastAsia="Times New Roman" w:cs="Arial"/>
                <w:b/>
                <w:bCs/>
                <w:sz w:val="18"/>
                <w:szCs w:val="18"/>
                <w:lang w:val="es-CO"/>
              </w:rPr>
              <w:t>76</w:t>
            </w:r>
          </w:p>
        </w:tc>
        <w:tc>
          <w:tcPr>
            <w:tcW w:w="796" w:type="pct"/>
            <w:shd w:val="clear" w:color="auto" w:fill="auto"/>
            <w:hideMark/>
          </w:tcPr>
          <w:p w:rsidRPr="00B75940" w:rsidR="00B75940" w:rsidP="00B75940" w:rsidRDefault="00B75940" w14:paraId="0E603D69" w14:textId="77777777">
            <w:pPr>
              <w:jc w:val="center"/>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B75940">
              <w:rPr>
                <w:rFonts w:ascii="Verdana" w:hAnsi="Verdana" w:eastAsia="Times New Roman" w:cs="Arial"/>
                <w:b/>
                <w:bCs/>
                <w:sz w:val="18"/>
                <w:szCs w:val="18"/>
                <w:lang w:val="es-CO"/>
              </w:rPr>
              <w:t>30</w:t>
            </w:r>
          </w:p>
        </w:tc>
        <w:tc>
          <w:tcPr>
            <w:tcW w:w="820" w:type="pct"/>
            <w:shd w:val="clear" w:color="auto" w:fill="auto"/>
            <w:hideMark/>
          </w:tcPr>
          <w:p w:rsidRPr="00B75940" w:rsidR="00B75940" w:rsidP="00B75940" w:rsidRDefault="00B75940" w14:paraId="1D209EC4" w14:textId="77777777">
            <w:pPr>
              <w:jc w:val="center"/>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B75940">
              <w:rPr>
                <w:rFonts w:ascii="Verdana" w:hAnsi="Verdana" w:eastAsia="Times New Roman" w:cs="Arial"/>
                <w:b/>
                <w:bCs/>
                <w:sz w:val="18"/>
                <w:szCs w:val="18"/>
                <w:lang w:val="es-CO"/>
              </w:rPr>
              <w:t>106</w:t>
            </w:r>
          </w:p>
        </w:tc>
        <w:tc>
          <w:tcPr>
            <w:tcW w:w="1657" w:type="pct"/>
            <w:shd w:val="clear" w:color="auto" w:fill="auto"/>
            <w:hideMark/>
          </w:tcPr>
          <w:p w:rsidRPr="00B75940" w:rsidR="00B75940" w:rsidP="00B75940" w:rsidRDefault="00B75940" w14:paraId="077792D5" w14:textId="77777777">
            <w:pPr>
              <w:jc w:val="both"/>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B75940">
              <w:rPr>
                <w:rFonts w:ascii="Verdana" w:hAnsi="Verdana" w:eastAsia="Times New Roman" w:cs="Arial"/>
                <w:sz w:val="18"/>
                <w:szCs w:val="18"/>
                <w:lang w:val="es-CO"/>
              </w:rPr>
              <w:t>La mayor concentración está en La Guajira, especialmente en Uribia y Maicao, seguida de Cundinamarca y Antioquia. El contexto está relacionado con proyectos de generación y transmisión, tensiones con comunidades, consulta previa, derechos étnicos, calidad del servicio, tarifas, bloqueos y necesidades de diálogo con empresas e instituciones.</w:t>
            </w:r>
          </w:p>
        </w:tc>
      </w:tr>
    </w:tbl>
    <w:p w:rsidRPr="00B75940" w:rsidR="00DB5DFD" w:rsidP="180099B3" w:rsidRDefault="73BFDB9A" w14:paraId="2C8B1F55" w14:textId="77777777">
      <w:pPr>
        <w:spacing w:after="0" w:line="360" w:lineRule="auto"/>
        <w:jc w:val="center"/>
        <w:rPr>
          <w:rFonts w:ascii="Verdana" w:hAnsi="Verdana"/>
          <w:sz w:val="18"/>
          <w:szCs w:val="18"/>
        </w:rPr>
      </w:pPr>
      <w:r w:rsidRPr="180099B3">
        <w:rPr>
          <w:rFonts w:ascii="Verdana" w:hAnsi="Verdana"/>
          <w:sz w:val="18"/>
          <w:szCs w:val="18"/>
        </w:rPr>
        <w:t>Fuente: Oficina de Asuntos Ambientales y Sociales - OAAS</w:t>
      </w:r>
    </w:p>
    <w:p w:rsidRPr="00B75940" w:rsidR="00DB5DFD" w:rsidP="00B75940" w:rsidRDefault="00DB5DFD" w14:paraId="703DDDC3" w14:textId="77777777">
      <w:pPr>
        <w:spacing w:after="0" w:line="360" w:lineRule="auto"/>
        <w:jc w:val="both"/>
        <w:rPr>
          <w:rFonts w:ascii="Verdana" w:hAnsi="Verdana"/>
          <w:sz w:val="24"/>
          <w:szCs w:val="24"/>
        </w:rPr>
      </w:pPr>
    </w:p>
    <w:p w:rsidRPr="00B75940" w:rsidR="00B75940" w:rsidP="00B75940" w:rsidRDefault="00B75940" w14:paraId="10717289" w14:textId="77777777">
      <w:pPr>
        <w:spacing w:after="0" w:line="240" w:lineRule="auto"/>
        <w:jc w:val="both"/>
        <w:rPr>
          <w:rFonts w:ascii="Verdana" w:hAnsi="Verdana"/>
          <w:sz w:val="24"/>
          <w:szCs w:val="24"/>
        </w:rPr>
      </w:pPr>
      <w:r w:rsidRPr="00B75940">
        <w:rPr>
          <w:rFonts w:ascii="Verdana" w:hAnsi="Verdana"/>
          <w:sz w:val="24"/>
          <w:szCs w:val="24"/>
        </w:rPr>
        <w:t xml:space="preserve">De manera adicional, se han gestionado diferentes espacios de diálogo social en el sector energético:  </w:t>
      </w:r>
    </w:p>
    <w:p w:rsidR="00B75940" w:rsidP="00B75940" w:rsidRDefault="00B75940" w14:paraId="6B43AC70" w14:textId="77777777">
      <w:pPr>
        <w:spacing w:after="0" w:line="240" w:lineRule="auto"/>
        <w:jc w:val="both"/>
        <w:rPr>
          <w:rFonts w:ascii="Verdana" w:hAnsi="Verdana"/>
          <w:sz w:val="24"/>
          <w:szCs w:val="24"/>
        </w:rPr>
      </w:pPr>
    </w:p>
    <w:p w:rsidRPr="00B75940" w:rsidR="00B75940" w:rsidP="00B75940" w:rsidRDefault="1E3627E9" w14:paraId="1E3B2725" w14:textId="77777777">
      <w:pPr>
        <w:spacing w:after="0" w:line="240" w:lineRule="auto"/>
        <w:jc w:val="center"/>
        <w:rPr>
          <w:rFonts w:ascii="Verdana" w:hAnsi="Verdana" w:eastAsia="Verdana" w:cs="Arial"/>
          <w:sz w:val="18"/>
          <w:szCs w:val="18"/>
        </w:rPr>
      </w:pPr>
      <w:r w:rsidRPr="180099B3">
        <w:rPr>
          <w:rFonts w:ascii="Verdana" w:hAnsi="Verdana" w:eastAsia="Times New Roman" w:cs="Arial"/>
          <w:sz w:val="18"/>
          <w:szCs w:val="18"/>
        </w:rPr>
        <w:t>Tabla No.</w:t>
      </w:r>
      <w:r w:rsidRPr="180099B3" w:rsidR="67E9D0F1">
        <w:rPr>
          <w:rFonts w:ascii="Verdana" w:hAnsi="Verdana" w:eastAsia="Times New Roman" w:cs="Arial"/>
          <w:sz w:val="18"/>
          <w:szCs w:val="18"/>
        </w:rPr>
        <w:t xml:space="preserve"> 63</w:t>
      </w:r>
      <w:r w:rsidRPr="180099B3">
        <w:rPr>
          <w:rFonts w:ascii="Verdana" w:hAnsi="Verdana" w:eastAsia="Times New Roman" w:cs="Arial"/>
          <w:sz w:val="18"/>
          <w:szCs w:val="18"/>
        </w:rPr>
        <w:t>. Procesos de Diálogo en el Sector Energía.</w:t>
      </w:r>
    </w:p>
    <w:tbl>
      <w:tblPr>
        <w:tblStyle w:val="Tablaconcuadrcula4-nfasis6"/>
        <w:tblW w:w="5000" w:type="pct"/>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ook w:val="04A0" w:firstRow="1" w:lastRow="0" w:firstColumn="1" w:lastColumn="0" w:noHBand="0" w:noVBand="1"/>
      </w:tblPr>
      <w:tblGrid>
        <w:gridCol w:w="1226"/>
        <w:gridCol w:w="1518"/>
        <w:gridCol w:w="840"/>
        <w:gridCol w:w="1462"/>
        <w:gridCol w:w="1592"/>
        <w:gridCol w:w="933"/>
        <w:gridCol w:w="1257"/>
      </w:tblGrid>
      <w:tr w:rsidRPr="00B75940" w:rsidR="00B75940" w:rsidTr="180099B3" w14:paraId="50C473FF"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9" w:type="pct"/>
            <w:tcBorders>
              <w:top w:val="none" w:color="auto" w:sz="0" w:space="0"/>
              <w:left w:val="none" w:color="auto" w:sz="0" w:space="0"/>
              <w:bottom w:val="none" w:color="auto" w:sz="0" w:space="0"/>
              <w:right w:val="none" w:color="auto" w:sz="0" w:space="0"/>
            </w:tcBorders>
            <w:shd w:val="clear" w:color="auto" w:fill="A6A6A6" w:themeFill="background1" w:themeFillShade="A6"/>
            <w:hideMark/>
          </w:tcPr>
          <w:p w:rsidRPr="00B75940" w:rsidR="00B75940" w:rsidP="00B75940" w:rsidRDefault="00B75940" w14:paraId="5E5983FE" w14:textId="77777777">
            <w:pPr>
              <w:jc w:val="center"/>
              <w:rPr>
                <w:rFonts w:ascii="Verdana" w:hAnsi="Verdana" w:eastAsia="Times New Roman" w:cs="Arial"/>
                <w:b w:val="0"/>
                <w:bCs w:val="0"/>
                <w:color w:val="auto"/>
                <w:sz w:val="18"/>
                <w:szCs w:val="18"/>
                <w:lang w:val="es-CO"/>
              </w:rPr>
            </w:pPr>
            <w:r w:rsidRPr="00B75940">
              <w:rPr>
                <w:rFonts w:ascii="Verdana" w:hAnsi="Verdana" w:eastAsia="Times New Roman" w:cs="Arial"/>
                <w:color w:val="auto"/>
                <w:sz w:val="18"/>
                <w:szCs w:val="18"/>
                <w:lang w:val="es-CO"/>
              </w:rPr>
              <w:t>Subsector</w:t>
            </w:r>
          </w:p>
        </w:tc>
        <w:tc>
          <w:tcPr>
            <w:tcW w:w="955" w:type="pct"/>
            <w:tcBorders>
              <w:top w:val="none" w:color="auto" w:sz="0" w:space="0"/>
              <w:left w:val="none" w:color="auto" w:sz="0" w:space="0"/>
              <w:bottom w:val="none" w:color="auto" w:sz="0" w:space="0"/>
              <w:right w:val="none" w:color="auto" w:sz="0" w:space="0"/>
            </w:tcBorders>
            <w:shd w:val="clear" w:color="auto" w:fill="A6A6A6" w:themeFill="background1" w:themeFillShade="A6"/>
            <w:hideMark/>
          </w:tcPr>
          <w:p w:rsidRPr="00B75940" w:rsidR="00B75940" w:rsidP="00B75940" w:rsidRDefault="00B75940" w14:paraId="2B29810A" w14:textId="77777777">
            <w:pPr>
              <w:jc w:val="center"/>
              <w:cnfStyle w:val="100000000000" w:firstRow="1" w:lastRow="0" w:firstColumn="0" w:lastColumn="0" w:oddVBand="0" w:evenVBand="0" w:oddHBand="0" w:evenHBand="0" w:firstRowFirstColumn="0" w:firstRowLastColumn="0" w:lastRowFirstColumn="0" w:lastRowLastColumn="0"/>
              <w:rPr>
                <w:rFonts w:ascii="Verdana" w:hAnsi="Verdana" w:eastAsia="Times New Roman" w:cs="Arial"/>
                <w:b w:val="0"/>
                <w:bCs w:val="0"/>
                <w:color w:val="auto"/>
                <w:sz w:val="18"/>
                <w:szCs w:val="18"/>
                <w:lang w:val="es-CO"/>
              </w:rPr>
            </w:pPr>
            <w:r w:rsidRPr="00B75940">
              <w:rPr>
                <w:rFonts w:ascii="Verdana" w:hAnsi="Verdana" w:eastAsia="Times New Roman" w:cs="Arial"/>
                <w:color w:val="auto"/>
                <w:sz w:val="18"/>
                <w:szCs w:val="18"/>
                <w:lang w:val="es-CO"/>
              </w:rPr>
              <w:t>Espacios de Diálogo Social</w:t>
            </w:r>
          </w:p>
        </w:tc>
        <w:tc>
          <w:tcPr>
            <w:tcW w:w="395" w:type="pct"/>
            <w:tcBorders>
              <w:top w:val="none" w:color="auto" w:sz="0" w:space="0"/>
              <w:left w:val="none" w:color="auto" w:sz="0" w:space="0"/>
              <w:bottom w:val="none" w:color="auto" w:sz="0" w:space="0"/>
              <w:right w:val="none" w:color="auto" w:sz="0" w:space="0"/>
            </w:tcBorders>
            <w:shd w:val="clear" w:color="auto" w:fill="A6A6A6" w:themeFill="background1" w:themeFillShade="A6"/>
            <w:hideMark/>
          </w:tcPr>
          <w:p w:rsidRPr="00B75940" w:rsidR="00B75940" w:rsidP="00B75940" w:rsidRDefault="00B75940" w14:paraId="72482755" w14:textId="77777777">
            <w:pPr>
              <w:jc w:val="center"/>
              <w:cnfStyle w:val="100000000000" w:firstRow="1" w:lastRow="0" w:firstColumn="0" w:lastColumn="0" w:oddVBand="0" w:evenVBand="0" w:oddHBand="0" w:evenHBand="0" w:firstRowFirstColumn="0" w:firstRowLastColumn="0" w:lastRowFirstColumn="0" w:lastRowLastColumn="0"/>
              <w:rPr>
                <w:rFonts w:ascii="Verdana" w:hAnsi="Verdana" w:eastAsia="Times New Roman" w:cs="Arial"/>
                <w:b w:val="0"/>
                <w:bCs w:val="0"/>
                <w:color w:val="auto"/>
                <w:sz w:val="18"/>
                <w:szCs w:val="18"/>
                <w:lang w:val="es-CO"/>
              </w:rPr>
            </w:pPr>
            <w:r w:rsidRPr="00B75940">
              <w:rPr>
                <w:rFonts w:ascii="Verdana" w:hAnsi="Verdana" w:eastAsia="Times New Roman" w:cs="Arial"/>
                <w:color w:val="auto"/>
                <w:sz w:val="18"/>
                <w:szCs w:val="18"/>
                <w:lang w:val="es-CO"/>
              </w:rPr>
              <w:t>Mesas</w:t>
            </w:r>
          </w:p>
        </w:tc>
        <w:tc>
          <w:tcPr>
            <w:tcW w:w="923" w:type="pct"/>
            <w:tcBorders>
              <w:top w:val="none" w:color="auto" w:sz="0" w:space="0"/>
              <w:left w:val="none" w:color="auto" w:sz="0" w:space="0"/>
              <w:bottom w:val="none" w:color="auto" w:sz="0" w:space="0"/>
              <w:right w:val="none" w:color="auto" w:sz="0" w:space="0"/>
            </w:tcBorders>
            <w:shd w:val="clear" w:color="auto" w:fill="A6A6A6" w:themeFill="background1" w:themeFillShade="A6"/>
            <w:hideMark/>
          </w:tcPr>
          <w:p w:rsidRPr="00B75940" w:rsidR="00B75940" w:rsidP="00B75940" w:rsidRDefault="00B75940" w14:paraId="5519EBC0" w14:textId="77777777">
            <w:pPr>
              <w:jc w:val="center"/>
              <w:cnfStyle w:val="100000000000" w:firstRow="1" w:lastRow="0" w:firstColumn="0" w:lastColumn="0" w:oddVBand="0" w:evenVBand="0" w:oddHBand="0" w:evenHBand="0" w:firstRowFirstColumn="0" w:firstRowLastColumn="0" w:lastRowFirstColumn="0" w:lastRowLastColumn="0"/>
              <w:rPr>
                <w:rFonts w:ascii="Verdana" w:hAnsi="Verdana" w:eastAsia="Times New Roman" w:cs="Arial"/>
                <w:b w:val="0"/>
                <w:bCs w:val="0"/>
                <w:color w:val="auto"/>
                <w:sz w:val="18"/>
                <w:szCs w:val="18"/>
                <w:lang w:val="es-CO"/>
              </w:rPr>
            </w:pPr>
            <w:r w:rsidRPr="00B75940">
              <w:rPr>
                <w:rFonts w:ascii="Verdana" w:hAnsi="Verdana" w:eastAsia="Times New Roman" w:cs="Arial"/>
                <w:color w:val="auto"/>
                <w:sz w:val="18"/>
                <w:szCs w:val="18"/>
                <w:lang w:val="es-CO"/>
              </w:rPr>
              <w:t>Espacios base atendidos</w:t>
            </w:r>
          </w:p>
        </w:tc>
        <w:tc>
          <w:tcPr>
            <w:tcW w:w="929" w:type="pct"/>
            <w:tcBorders>
              <w:top w:val="none" w:color="auto" w:sz="0" w:space="0"/>
              <w:left w:val="none" w:color="auto" w:sz="0" w:space="0"/>
              <w:bottom w:val="none" w:color="auto" w:sz="0" w:space="0"/>
              <w:right w:val="none" w:color="auto" w:sz="0" w:space="0"/>
            </w:tcBorders>
            <w:shd w:val="clear" w:color="auto" w:fill="A6A6A6" w:themeFill="background1" w:themeFillShade="A6"/>
            <w:hideMark/>
          </w:tcPr>
          <w:p w:rsidRPr="00B75940" w:rsidR="00B75940" w:rsidP="00B75940" w:rsidRDefault="00B75940" w14:paraId="5E7618F6" w14:textId="77777777">
            <w:pPr>
              <w:jc w:val="center"/>
              <w:cnfStyle w:val="100000000000" w:firstRow="1" w:lastRow="0" w:firstColumn="0" w:lastColumn="0" w:oddVBand="0" w:evenVBand="0" w:oddHBand="0" w:evenHBand="0" w:firstRowFirstColumn="0" w:firstRowLastColumn="0" w:lastRowFirstColumn="0" w:lastRowLastColumn="0"/>
              <w:rPr>
                <w:rFonts w:ascii="Verdana" w:hAnsi="Verdana" w:eastAsia="Times New Roman" w:cs="Arial"/>
                <w:b w:val="0"/>
                <w:bCs w:val="0"/>
                <w:color w:val="auto"/>
                <w:sz w:val="18"/>
                <w:szCs w:val="18"/>
                <w:lang w:val="es-CO"/>
              </w:rPr>
            </w:pPr>
            <w:r w:rsidRPr="00B75940">
              <w:rPr>
                <w:rFonts w:ascii="Verdana" w:hAnsi="Verdana" w:eastAsia="Times New Roman" w:cs="Arial"/>
                <w:color w:val="auto"/>
                <w:sz w:val="18"/>
                <w:szCs w:val="18"/>
                <w:lang w:val="es-CO"/>
              </w:rPr>
              <w:t>Seguimientos a mesas</w:t>
            </w:r>
          </w:p>
        </w:tc>
        <w:tc>
          <w:tcPr>
            <w:tcW w:w="686" w:type="pct"/>
            <w:tcBorders>
              <w:top w:val="none" w:color="auto" w:sz="0" w:space="0"/>
              <w:left w:val="none" w:color="auto" w:sz="0" w:space="0"/>
              <w:bottom w:val="none" w:color="auto" w:sz="0" w:space="0"/>
              <w:right w:val="none" w:color="auto" w:sz="0" w:space="0"/>
            </w:tcBorders>
            <w:shd w:val="clear" w:color="auto" w:fill="A6A6A6" w:themeFill="background1" w:themeFillShade="A6"/>
            <w:hideMark/>
          </w:tcPr>
          <w:p w:rsidRPr="00B75940" w:rsidR="00B75940" w:rsidP="00B75940" w:rsidRDefault="00B75940" w14:paraId="73A88B00" w14:textId="77777777">
            <w:pPr>
              <w:jc w:val="center"/>
              <w:cnfStyle w:val="100000000000" w:firstRow="1" w:lastRow="0" w:firstColumn="0" w:lastColumn="0" w:oddVBand="0" w:evenVBand="0" w:oddHBand="0" w:evenHBand="0" w:firstRowFirstColumn="0" w:firstRowLastColumn="0" w:lastRowFirstColumn="0" w:lastRowLastColumn="0"/>
              <w:rPr>
                <w:rFonts w:ascii="Verdana" w:hAnsi="Verdana" w:eastAsia="Times New Roman" w:cs="Arial"/>
                <w:b w:val="0"/>
                <w:bCs w:val="0"/>
                <w:color w:val="auto"/>
                <w:sz w:val="18"/>
                <w:szCs w:val="18"/>
                <w:lang w:val="es-CO"/>
              </w:rPr>
            </w:pPr>
            <w:r w:rsidRPr="00B75940">
              <w:rPr>
                <w:rFonts w:ascii="Verdana" w:hAnsi="Verdana" w:eastAsia="Times New Roman" w:cs="Arial"/>
                <w:color w:val="auto"/>
                <w:sz w:val="18"/>
                <w:szCs w:val="18"/>
                <w:lang w:val="es-CO"/>
              </w:rPr>
              <w:t>Cierres de mesas</w:t>
            </w:r>
          </w:p>
        </w:tc>
        <w:tc>
          <w:tcPr>
            <w:tcW w:w="554" w:type="pct"/>
            <w:tcBorders>
              <w:top w:val="none" w:color="auto" w:sz="0" w:space="0"/>
              <w:left w:val="none" w:color="auto" w:sz="0" w:space="0"/>
              <w:bottom w:val="none" w:color="auto" w:sz="0" w:space="0"/>
              <w:right w:val="none" w:color="auto" w:sz="0" w:space="0"/>
            </w:tcBorders>
            <w:shd w:val="clear" w:color="auto" w:fill="A6A6A6" w:themeFill="background1" w:themeFillShade="A6"/>
            <w:hideMark/>
          </w:tcPr>
          <w:p w:rsidRPr="00B75940" w:rsidR="00B75940" w:rsidP="00B75940" w:rsidRDefault="00B75940" w14:paraId="23E985F3" w14:textId="77777777">
            <w:pPr>
              <w:jc w:val="center"/>
              <w:cnfStyle w:val="100000000000" w:firstRow="1" w:lastRow="0" w:firstColumn="0" w:lastColumn="0" w:oddVBand="0" w:evenVBand="0" w:oddHBand="0" w:evenHBand="0" w:firstRowFirstColumn="0" w:firstRowLastColumn="0" w:lastRowFirstColumn="0" w:lastRowLastColumn="0"/>
              <w:rPr>
                <w:rFonts w:ascii="Verdana" w:hAnsi="Verdana" w:eastAsia="Times New Roman" w:cs="Arial"/>
                <w:b w:val="0"/>
                <w:bCs w:val="0"/>
                <w:color w:val="auto"/>
                <w:sz w:val="18"/>
                <w:szCs w:val="18"/>
                <w:lang w:val="es-CO"/>
              </w:rPr>
            </w:pPr>
            <w:r w:rsidRPr="00B75940">
              <w:rPr>
                <w:rFonts w:ascii="Verdana" w:hAnsi="Verdana" w:eastAsia="Times New Roman" w:cs="Arial"/>
                <w:color w:val="auto"/>
                <w:sz w:val="18"/>
                <w:szCs w:val="18"/>
                <w:lang w:val="es-CO"/>
              </w:rPr>
              <w:t>Gestión total registrada</w:t>
            </w:r>
          </w:p>
        </w:tc>
      </w:tr>
      <w:tr w:rsidRPr="00B75940" w:rsidR="00B75940" w:rsidTr="180099B3" w14:paraId="0089F98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9" w:type="pct"/>
            <w:shd w:val="clear" w:color="auto" w:fill="auto"/>
            <w:hideMark/>
          </w:tcPr>
          <w:p w:rsidRPr="00B75940" w:rsidR="00B75940" w:rsidP="00B75940" w:rsidRDefault="00B75940" w14:paraId="1BA2EABC" w14:textId="77777777">
            <w:pPr>
              <w:jc w:val="both"/>
              <w:rPr>
                <w:rFonts w:ascii="Verdana" w:hAnsi="Verdana" w:eastAsia="Times New Roman" w:cs="Arial"/>
                <w:sz w:val="18"/>
                <w:szCs w:val="18"/>
                <w:lang w:val="es-CO"/>
              </w:rPr>
            </w:pPr>
            <w:r w:rsidRPr="00B75940">
              <w:rPr>
                <w:rFonts w:ascii="Verdana" w:hAnsi="Verdana" w:eastAsia="Times New Roman" w:cs="Arial"/>
                <w:sz w:val="18"/>
                <w:szCs w:val="18"/>
                <w:lang w:val="es-CO"/>
              </w:rPr>
              <w:t>Energía</w:t>
            </w:r>
          </w:p>
        </w:tc>
        <w:tc>
          <w:tcPr>
            <w:tcW w:w="955" w:type="pct"/>
            <w:shd w:val="clear" w:color="auto" w:fill="auto"/>
            <w:hideMark/>
          </w:tcPr>
          <w:p w:rsidRPr="00B75940" w:rsidR="00B75940" w:rsidP="00B75940" w:rsidRDefault="00B75940" w14:paraId="5413F3C1" w14:textId="77777777">
            <w:pPr>
              <w:jc w:val="center"/>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B75940">
              <w:rPr>
                <w:rFonts w:ascii="Verdana" w:hAnsi="Verdana" w:eastAsia="Times New Roman" w:cs="Arial"/>
                <w:sz w:val="18"/>
                <w:szCs w:val="18"/>
                <w:lang w:val="es-CO"/>
              </w:rPr>
              <w:t>148</w:t>
            </w:r>
          </w:p>
        </w:tc>
        <w:tc>
          <w:tcPr>
            <w:tcW w:w="395" w:type="pct"/>
            <w:shd w:val="clear" w:color="auto" w:fill="auto"/>
            <w:hideMark/>
          </w:tcPr>
          <w:p w:rsidRPr="00B75940" w:rsidR="00B75940" w:rsidP="00B75940" w:rsidRDefault="00B75940" w14:paraId="1C7B1B91" w14:textId="77777777">
            <w:pPr>
              <w:jc w:val="center"/>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B75940">
              <w:rPr>
                <w:rFonts w:ascii="Verdana" w:hAnsi="Verdana" w:eastAsia="Times New Roman" w:cs="Arial"/>
                <w:sz w:val="18"/>
                <w:szCs w:val="18"/>
                <w:lang w:val="es-CO"/>
              </w:rPr>
              <w:t>44</w:t>
            </w:r>
          </w:p>
        </w:tc>
        <w:tc>
          <w:tcPr>
            <w:tcW w:w="923" w:type="pct"/>
            <w:shd w:val="clear" w:color="auto" w:fill="auto"/>
            <w:hideMark/>
          </w:tcPr>
          <w:p w:rsidRPr="00B75940" w:rsidR="00B75940" w:rsidP="00B75940" w:rsidRDefault="00B75940" w14:paraId="39DD4518" w14:textId="77777777">
            <w:pPr>
              <w:jc w:val="center"/>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B75940">
              <w:rPr>
                <w:rFonts w:ascii="Verdana" w:hAnsi="Verdana" w:eastAsia="Times New Roman" w:cs="Arial"/>
                <w:b/>
                <w:bCs/>
                <w:sz w:val="18"/>
                <w:szCs w:val="18"/>
                <w:lang w:val="es-CO"/>
              </w:rPr>
              <w:t>192</w:t>
            </w:r>
          </w:p>
        </w:tc>
        <w:tc>
          <w:tcPr>
            <w:tcW w:w="929" w:type="pct"/>
            <w:shd w:val="clear" w:color="auto" w:fill="auto"/>
            <w:hideMark/>
          </w:tcPr>
          <w:p w:rsidRPr="00B75940" w:rsidR="00B75940" w:rsidP="00B75940" w:rsidRDefault="00B75940" w14:paraId="78B08521" w14:textId="77777777">
            <w:pPr>
              <w:jc w:val="center"/>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B75940">
              <w:rPr>
                <w:rFonts w:ascii="Verdana" w:hAnsi="Verdana" w:eastAsia="Times New Roman" w:cs="Arial"/>
                <w:sz w:val="18"/>
                <w:szCs w:val="18"/>
                <w:lang w:val="es-CO"/>
              </w:rPr>
              <w:t>21</w:t>
            </w:r>
          </w:p>
        </w:tc>
        <w:tc>
          <w:tcPr>
            <w:tcW w:w="686" w:type="pct"/>
            <w:shd w:val="clear" w:color="auto" w:fill="auto"/>
            <w:hideMark/>
          </w:tcPr>
          <w:p w:rsidRPr="00B75940" w:rsidR="00B75940" w:rsidP="00B75940" w:rsidRDefault="00B75940" w14:paraId="26F033E8" w14:textId="77777777">
            <w:pPr>
              <w:jc w:val="center"/>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B75940">
              <w:rPr>
                <w:rFonts w:ascii="Verdana" w:hAnsi="Verdana" w:eastAsia="Times New Roman" w:cs="Arial"/>
                <w:sz w:val="18"/>
                <w:szCs w:val="18"/>
                <w:lang w:val="es-CO"/>
              </w:rPr>
              <w:t>2</w:t>
            </w:r>
          </w:p>
        </w:tc>
        <w:tc>
          <w:tcPr>
            <w:tcW w:w="554" w:type="pct"/>
            <w:shd w:val="clear" w:color="auto" w:fill="auto"/>
            <w:hideMark/>
          </w:tcPr>
          <w:p w:rsidRPr="00B75940" w:rsidR="00B75940" w:rsidP="00B75940" w:rsidRDefault="00B75940" w14:paraId="68041AEE" w14:textId="77777777">
            <w:pPr>
              <w:jc w:val="center"/>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B75940">
              <w:rPr>
                <w:rFonts w:ascii="Verdana" w:hAnsi="Verdana" w:eastAsia="Times New Roman" w:cs="Arial"/>
                <w:b/>
                <w:bCs/>
                <w:sz w:val="18"/>
                <w:szCs w:val="18"/>
                <w:lang w:val="es-CO"/>
              </w:rPr>
              <w:t>215</w:t>
            </w:r>
          </w:p>
        </w:tc>
      </w:tr>
    </w:tbl>
    <w:p w:rsidR="00B75940" w:rsidP="180099B3" w:rsidRDefault="1B98DC9D" w14:paraId="48365415" w14:textId="77777777">
      <w:pPr>
        <w:spacing w:after="0" w:line="360" w:lineRule="auto"/>
        <w:jc w:val="center"/>
        <w:rPr>
          <w:rFonts w:ascii="Verdana" w:hAnsi="Verdana"/>
          <w:sz w:val="18"/>
          <w:szCs w:val="18"/>
        </w:rPr>
      </w:pPr>
      <w:r w:rsidRPr="0FF05B1B">
        <w:rPr>
          <w:rFonts w:ascii="Verdana" w:hAnsi="Verdana"/>
          <w:sz w:val="18"/>
          <w:szCs w:val="18"/>
        </w:rPr>
        <w:t>Fuente: Oficina de Asuntos Ambientales y Sociales - OAAS</w:t>
      </w:r>
    </w:p>
    <w:p w:rsidR="180099B3" w:rsidP="006A0A13" w:rsidRDefault="180099B3" w14:paraId="4883DB6E" w14:textId="77777777">
      <w:pPr>
        <w:spacing w:after="0" w:line="360" w:lineRule="auto"/>
        <w:jc w:val="both"/>
        <w:rPr>
          <w:rFonts w:ascii="Verdana" w:hAnsi="Verdana"/>
          <w:b/>
          <w:bCs/>
          <w:sz w:val="24"/>
          <w:szCs w:val="24"/>
        </w:rPr>
      </w:pPr>
    </w:p>
    <w:p w:rsidRPr="00BD4E19" w:rsidR="00BD4E19" w:rsidP="006A0A13" w:rsidRDefault="00BD4E19" w14:paraId="0585E7E0" w14:textId="77777777">
      <w:pPr>
        <w:spacing w:after="0" w:line="360" w:lineRule="auto"/>
        <w:jc w:val="both"/>
        <w:rPr>
          <w:rFonts w:ascii="Verdana" w:hAnsi="Verdana"/>
          <w:b/>
          <w:bCs/>
          <w:sz w:val="24"/>
          <w:szCs w:val="24"/>
        </w:rPr>
      </w:pPr>
      <w:r w:rsidRPr="00BD4E19">
        <w:rPr>
          <w:rFonts w:ascii="Verdana" w:hAnsi="Verdana"/>
          <w:b/>
          <w:bCs/>
          <w:sz w:val="24"/>
          <w:szCs w:val="24"/>
        </w:rPr>
        <w:t>Atención A Conflictos Sociales en Minería</w:t>
      </w:r>
    </w:p>
    <w:p w:rsidR="00BD4E19" w:rsidP="006A0A13" w:rsidRDefault="00BD4E19" w14:paraId="7D1D38D7" w14:textId="77777777">
      <w:pPr>
        <w:spacing w:after="0" w:line="360" w:lineRule="auto"/>
        <w:jc w:val="both"/>
        <w:rPr>
          <w:rFonts w:ascii="Verdana" w:hAnsi="Verdana"/>
          <w:sz w:val="24"/>
          <w:szCs w:val="24"/>
        </w:rPr>
      </w:pPr>
    </w:p>
    <w:p w:rsidRPr="00BD4E19" w:rsidR="00BD4E19" w:rsidP="006A0A13" w:rsidRDefault="00BD4E19" w14:paraId="651A8059" w14:textId="77777777">
      <w:pPr>
        <w:spacing w:after="0" w:line="360" w:lineRule="auto"/>
        <w:jc w:val="both"/>
        <w:rPr>
          <w:rFonts w:ascii="Verdana" w:hAnsi="Verdana"/>
          <w:sz w:val="24"/>
          <w:szCs w:val="24"/>
        </w:rPr>
      </w:pPr>
      <w:r w:rsidRPr="00BD4E19">
        <w:rPr>
          <w:rFonts w:ascii="Verdana" w:hAnsi="Verdana"/>
          <w:sz w:val="24"/>
          <w:szCs w:val="24"/>
        </w:rPr>
        <w:t>Se fortaleció la gestión de conflictividades socioambientales en el sector minero mediante el diálogo, la formalización y la construcción de acuerdos territoriales.</w:t>
      </w:r>
    </w:p>
    <w:p w:rsidR="00BD4E19" w:rsidP="006A0A13" w:rsidRDefault="00BD4E19" w14:paraId="44BAB411" w14:textId="77777777">
      <w:pPr>
        <w:spacing w:after="0" w:line="360" w:lineRule="auto"/>
        <w:jc w:val="both"/>
        <w:rPr>
          <w:rFonts w:ascii="Verdana" w:hAnsi="Verdana"/>
          <w:sz w:val="24"/>
          <w:szCs w:val="24"/>
        </w:rPr>
      </w:pPr>
    </w:p>
    <w:p w:rsidRPr="00BD4E19" w:rsidR="00BD4E19" w:rsidP="006A0A13" w:rsidRDefault="5A358311" w14:paraId="539ADDBC" w14:textId="3298904C">
      <w:pPr>
        <w:spacing w:after="0" w:line="360" w:lineRule="auto"/>
        <w:jc w:val="both"/>
        <w:rPr>
          <w:rFonts w:ascii="Verdana" w:hAnsi="Verdana"/>
          <w:sz w:val="24"/>
          <w:szCs w:val="24"/>
        </w:rPr>
      </w:pPr>
      <w:r w:rsidRPr="0FF05B1B">
        <w:rPr>
          <w:rFonts w:ascii="Verdana" w:hAnsi="Verdana"/>
          <w:sz w:val="24"/>
          <w:szCs w:val="24"/>
        </w:rPr>
        <w:t>Hito 1. Coordinación Institucional</w:t>
      </w:r>
      <w:r w:rsidRPr="0FF05B1B" w:rsidR="1F5AEE0D">
        <w:rPr>
          <w:rFonts w:ascii="Verdana" w:hAnsi="Verdana"/>
          <w:sz w:val="24"/>
          <w:szCs w:val="24"/>
        </w:rPr>
        <w:t xml:space="preserve">: </w:t>
      </w:r>
      <w:r w:rsidRPr="0FF05B1B">
        <w:rPr>
          <w:rFonts w:ascii="Verdana" w:hAnsi="Verdana"/>
          <w:sz w:val="24"/>
          <w:szCs w:val="24"/>
        </w:rPr>
        <w:t>Gracias a múltiples ejercicios de coordinación institucional se consolidó el trabajo conjunto para la atención de conflictos en territorios mineros.</w:t>
      </w:r>
    </w:p>
    <w:p w:rsidR="00BD4E19" w:rsidP="006A0A13" w:rsidRDefault="00BD4E19" w14:paraId="77395700" w14:textId="77777777">
      <w:pPr>
        <w:spacing w:after="0" w:line="360" w:lineRule="auto"/>
        <w:jc w:val="both"/>
        <w:rPr>
          <w:rFonts w:ascii="Verdana" w:hAnsi="Verdana"/>
          <w:sz w:val="24"/>
          <w:szCs w:val="24"/>
        </w:rPr>
      </w:pPr>
    </w:p>
    <w:p w:rsidRPr="00BD4E19" w:rsidR="00BD4E19" w:rsidP="006A0A13" w:rsidRDefault="5A358311" w14:paraId="363EF4F3" w14:textId="1F1AF910">
      <w:pPr>
        <w:spacing w:after="0" w:line="360" w:lineRule="auto"/>
        <w:jc w:val="both"/>
        <w:rPr>
          <w:rFonts w:ascii="Verdana" w:hAnsi="Verdana"/>
          <w:sz w:val="24"/>
          <w:szCs w:val="24"/>
        </w:rPr>
      </w:pPr>
      <w:r w:rsidRPr="0FF05B1B">
        <w:rPr>
          <w:rFonts w:ascii="Verdana" w:hAnsi="Verdana"/>
          <w:sz w:val="24"/>
          <w:szCs w:val="24"/>
          <w:lang w:val="pt-PT"/>
        </w:rPr>
        <w:t>Hito 2. Mesas de Diálogo Territorial</w:t>
      </w:r>
      <w:r w:rsidRPr="0FF05B1B" w:rsidR="3B3731EE">
        <w:rPr>
          <w:rFonts w:ascii="Verdana" w:hAnsi="Verdana"/>
          <w:sz w:val="24"/>
          <w:szCs w:val="24"/>
          <w:lang w:val="pt-PT"/>
        </w:rPr>
        <w:t xml:space="preserve">: </w:t>
      </w:r>
      <w:r w:rsidRPr="0FF05B1B">
        <w:rPr>
          <w:rFonts w:ascii="Verdana" w:hAnsi="Verdana"/>
          <w:sz w:val="24"/>
          <w:szCs w:val="24"/>
        </w:rPr>
        <w:t>Se desarrollaron procesos en regiones como Bajo Cauca, Marmato, Catatumbo y Santurbán.</w:t>
      </w:r>
    </w:p>
    <w:p w:rsidRPr="00BD4E19" w:rsidR="00BD4E19" w:rsidP="006A0A13" w:rsidRDefault="00BD4E19" w14:paraId="2847E486" w14:textId="77777777">
      <w:pPr>
        <w:spacing w:after="0" w:line="360" w:lineRule="auto"/>
        <w:jc w:val="both"/>
        <w:rPr>
          <w:rFonts w:ascii="Verdana" w:hAnsi="Verdana"/>
          <w:sz w:val="24"/>
          <w:szCs w:val="24"/>
        </w:rPr>
      </w:pPr>
    </w:p>
    <w:p w:rsidRPr="00BD4E19" w:rsidR="00BD4E19" w:rsidP="006A0A13" w:rsidRDefault="5A358311" w14:paraId="23D617AE" w14:textId="2E4C6100">
      <w:pPr>
        <w:spacing w:after="0" w:line="360" w:lineRule="auto"/>
        <w:jc w:val="both"/>
        <w:rPr>
          <w:rFonts w:ascii="Verdana" w:hAnsi="Verdana"/>
          <w:sz w:val="24"/>
          <w:szCs w:val="24"/>
        </w:rPr>
      </w:pPr>
      <w:r w:rsidRPr="0FF05B1B">
        <w:rPr>
          <w:rFonts w:ascii="Verdana" w:hAnsi="Verdana"/>
          <w:sz w:val="24"/>
          <w:szCs w:val="24"/>
        </w:rPr>
        <w:t>Hito 3. Instrumentos de Política Minera</w:t>
      </w:r>
      <w:r w:rsidRPr="0FF05B1B" w:rsidR="430BC7B0">
        <w:rPr>
          <w:rFonts w:ascii="Verdana" w:hAnsi="Verdana"/>
          <w:sz w:val="24"/>
          <w:szCs w:val="24"/>
        </w:rPr>
        <w:t xml:space="preserve">: </w:t>
      </w:r>
      <w:r w:rsidRPr="0FF05B1B">
        <w:rPr>
          <w:rFonts w:ascii="Verdana" w:hAnsi="Verdana"/>
          <w:sz w:val="24"/>
          <w:szCs w:val="24"/>
        </w:rPr>
        <w:t>La OAAS contribuyó al avance de la nueva ley Minera, los distritos Mineros para la Vida y la Paz y procesos de formalización.</w:t>
      </w:r>
    </w:p>
    <w:p w:rsidR="00BD4E19" w:rsidP="006A0A13" w:rsidRDefault="00BD4E19" w14:paraId="67572A74" w14:textId="77777777">
      <w:pPr>
        <w:spacing w:after="0" w:line="360" w:lineRule="auto"/>
        <w:jc w:val="both"/>
        <w:rPr>
          <w:rFonts w:ascii="Verdana" w:hAnsi="Verdana"/>
          <w:sz w:val="24"/>
          <w:szCs w:val="24"/>
        </w:rPr>
      </w:pPr>
    </w:p>
    <w:p w:rsidRPr="00BD4E19" w:rsidR="00BD4E19" w:rsidP="006A0A13" w:rsidRDefault="22541B14" w14:paraId="16047F7B" w14:textId="77777777">
      <w:pPr>
        <w:spacing w:after="0" w:line="360" w:lineRule="auto"/>
        <w:jc w:val="both"/>
        <w:rPr>
          <w:rFonts w:ascii="Verdana" w:hAnsi="Verdana"/>
          <w:sz w:val="24"/>
          <w:szCs w:val="24"/>
        </w:rPr>
      </w:pPr>
      <w:r w:rsidRPr="180099B3">
        <w:rPr>
          <w:rFonts w:ascii="Verdana" w:hAnsi="Verdana"/>
          <w:sz w:val="24"/>
          <w:szCs w:val="24"/>
        </w:rPr>
        <w:t>Entre 2022 y 2026 se transformó la gestión de los conflictos socioambientales en zonas mineras gracias al permanente ejercicio del diálogo social, la coordinación con el Viceministerio de Minas y la Dirección de Formalización Minera y acompañamiento a iniciativas de transición justa, formalización y reconversión productiva en territorios priorizados.</w:t>
      </w:r>
    </w:p>
    <w:p w:rsidR="180099B3" w:rsidP="006A0A13" w:rsidRDefault="180099B3" w14:paraId="459B5545" w14:textId="77777777">
      <w:pPr>
        <w:spacing w:after="0" w:line="360" w:lineRule="auto"/>
        <w:jc w:val="both"/>
        <w:rPr>
          <w:rFonts w:ascii="Verdana" w:hAnsi="Verdana"/>
          <w:sz w:val="24"/>
          <w:szCs w:val="24"/>
        </w:rPr>
      </w:pPr>
    </w:p>
    <w:p w:rsidR="00BD4E19" w:rsidP="006A0A13" w:rsidRDefault="00BD4E19" w14:paraId="73230BC2" w14:textId="77777777">
      <w:pPr>
        <w:spacing w:after="0" w:line="360" w:lineRule="auto"/>
        <w:jc w:val="both"/>
        <w:rPr>
          <w:rFonts w:ascii="Verdana" w:hAnsi="Verdana"/>
          <w:sz w:val="24"/>
          <w:szCs w:val="24"/>
        </w:rPr>
      </w:pPr>
      <w:r w:rsidRPr="00BD4E19">
        <w:rPr>
          <w:rFonts w:ascii="Verdana" w:hAnsi="Verdana"/>
          <w:sz w:val="24"/>
          <w:szCs w:val="24"/>
        </w:rPr>
        <w:t>En el marco de la Estrategia de Relacionamiento Territorial, se gestionaron las siguientes actividades en el sector Minero:</w:t>
      </w:r>
    </w:p>
    <w:p w:rsidRPr="00BD4E19" w:rsidR="00BD4E19" w:rsidP="006A0A13" w:rsidRDefault="00BD4E19" w14:paraId="22870D8F" w14:textId="77777777">
      <w:pPr>
        <w:spacing w:after="0" w:line="360" w:lineRule="auto"/>
        <w:jc w:val="both"/>
        <w:rPr>
          <w:rFonts w:ascii="Verdana" w:hAnsi="Verdana"/>
          <w:sz w:val="24"/>
          <w:szCs w:val="24"/>
        </w:rPr>
      </w:pPr>
    </w:p>
    <w:p w:rsidRPr="00BD4E19" w:rsidR="00BD4E19" w:rsidP="00BD4E19" w:rsidRDefault="22541B14" w14:paraId="321FF8FF" w14:textId="77777777">
      <w:pPr>
        <w:spacing w:after="0" w:line="240" w:lineRule="auto"/>
        <w:jc w:val="center"/>
        <w:rPr>
          <w:rFonts w:ascii="Verdana" w:hAnsi="Verdana" w:eastAsia="Times New Roman" w:cs="Arial"/>
          <w:sz w:val="18"/>
          <w:szCs w:val="18"/>
        </w:rPr>
      </w:pPr>
      <w:r w:rsidRPr="180099B3">
        <w:rPr>
          <w:rFonts w:ascii="Verdana" w:hAnsi="Verdana" w:eastAsia="Times New Roman" w:cs="Arial"/>
          <w:sz w:val="18"/>
          <w:szCs w:val="18"/>
        </w:rPr>
        <w:t>Tabla No.</w:t>
      </w:r>
      <w:r w:rsidRPr="180099B3" w:rsidR="5BB6E71C">
        <w:rPr>
          <w:rFonts w:ascii="Verdana" w:hAnsi="Verdana" w:eastAsia="Times New Roman" w:cs="Arial"/>
          <w:sz w:val="18"/>
          <w:szCs w:val="18"/>
        </w:rPr>
        <w:t xml:space="preserve"> 64</w:t>
      </w:r>
      <w:r w:rsidRPr="180099B3">
        <w:rPr>
          <w:rFonts w:ascii="Verdana" w:hAnsi="Verdana" w:eastAsia="Times New Roman" w:cs="Arial"/>
          <w:sz w:val="18"/>
          <w:szCs w:val="18"/>
        </w:rPr>
        <w:t>. Conflictos Atendidos en Minería.</w:t>
      </w:r>
    </w:p>
    <w:tbl>
      <w:tblPr>
        <w:tblStyle w:val="Tablaconcuadrcula4-nfasis6"/>
        <w:tblW w:w="5000" w:type="pct"/>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ook w:val="04A0" w:firstRow="1" w:lastRow="0" w:firstColumn="1" w:lastColumn="0" w:noHBand="0" w:noVBand="1"/>
      </w:tblPr>
      <w:tblGrid>
        <w:gridCol w:w="1119"/>
        <w:gridCol w:w="1782"/>
        <w:gridCol w:w="1248"/>
        <w:gridCol w:w="1437"/>
        <w:gridCol w:w="3242"/>
      </w:tblGrid>
      <w:tr w:rsidRPr="00BD4E19" w:rsidR="00BD4E19" w:rsidTr="180099B3" w14:paraId="721B2BE8"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33" w:type="pct"/>
            <w:tcBorders>
              <w:top w:val="none" w:color="auto" w:sz="0" w:space="0"/>
              <w:left w:val="none" w:color="auto" w:sz="0" w:space="0"/>
              <w:bottom w:val="none" w:color="auto" w:sz="0" w:space="0"/>
              <w:right w:val="none" w:color="auto" w:sz="0" w:space="0"/>
            </w:tcBorders>
            <w:shd w:val="clear" w:color="auto" w:fill="A6A6A6" w:themeFill="background1" w:themeFillShade="A6"/>
            <w:vAlign w:val="center"/>
            <w:hideMark/>
          </w:tcPr>
          <w:p w:rsidRPr="00BD4E19" w:rsidR="00BD4E19" w:rsidRDefault="00BD4E19" w14:paraId="0FA02482" w14:textId="77777777">
            <w:pPr>
              <w:jc w:val="center"/>
              <w:rPr>
                <w:rFonts w:ascii="Verdana" w:hAnsi="Verdana" w:eastAsia="Times New Roman" w:cs="Arial"/>
                <w:b w:val="0"/>
                <w:bCs w:val="0"/>
                <w:color w:val="auto"/>
                <w:sz w:val="18"/>
                <w:szCs w:val="18"/>
                <w:lang w:val="es-CO"/>
              </w:rPr>
            </w:pPr>
            <w:r w:rsidRPr="00BD4E19">
              <w:rPr>
                <w:rFonts w:ascii="Verdana" w:hAnsi="Verdana" w:eastAsia="Times New Roman" w:cs="Arial"/>
                <w:b w:val="0"/>
                <w:bCs w:val="0"/>
                <w:color w:val="auto"/>
                <w:sz w:val="18"/>
                <w:szCs w:val="18"/>
                <w:lang w:val="es-CO"/>
              </w:rPr>
              <w:t>Subsector</w:t>
            </w:r>
          </w:p>
        </w:tc>
        <w:tc>
          <w:tcPr>
            <w:tcW w:w="1009" w:type="pct"/>
            <w:tcBorders>
              <w:top w:val="none" w:color="auto" w:sz="0" w:space="0"/>
              <w:left w:val="none" w:color="auto" w:sz="0" w:space="0"/>
              <w:bottom w:val="none" w:color="auto" w:sz="0" w:space="0"/>
              <w:right w:val="none" w:color="auto" w:sz="0" w:space="0"/>
            </w:tcBorders>
            <w:shd w:val="clear" w:color="auto" w:fill="A6A6A6" w:themeFill="background1" w:themeFillShade="A6"/>
            <w:vAlign w:val="center"/>
            <w:hideMark/>
          </w:tcPr>
          <w:p w:rsidRPr="00BD4E19" w:rsidR="00BD4E19" w:rsidRDefault="00BD4E19" w14:paraId="0DA548DA" w14:textId="77777777">
            <w:pPr>
              <w:jc w:val="center"/>
              <w:cnfStyle w:val="100000000000" w:firstRow="1" w:lastRow="0" w:firstColumn="0" w:lastColumn="0" w:oddVBand="0" w:evenVBand="0" w:oddHBand="0" w:evenHBand="0" w:firstRowFirstColumn="0" w:firstRowLastColumn="0" w:lastRowFirstColumn="0" w:lastRowLastColumn="0"/>
              <w:rPr>
                <w:rFonts w:ascii="Verdana" w:hAnsi="Verdana" w:eastAsia="Times New Roman" w:cs="Arial"/>
                <w:b w:val="0"/>
                <w:bCs w:val="0"/>
                <w:color w:val="auto"/>
                <w:sz w:val="18"/>
                <w:szCs w:val="18"/>
                <w:lang w:val="es-CO"/>
              </w:rPr>
            </w:pPr>
            <w:r w:rsidRPr="00BD4E19">
              <w:rPr>
                <w:rFonts w:ascii="Verdana" w:hAnsi="Verdana" w:eastAsia="Times New Roman" w:cs="Arial"/>
                <w:b w:val="0"/>
                <w:bCs w:val="0"/>
                <w:color w:val="auto"/>
                <w:sz w:val="18"/>
                <w:szCs w:val="18"/>
                <w:lang w:val="es-CO"/>
              </w:rPr>
              <w:t>Conflictividades atendidas</w:t>
            </w:r>
          </w:p>
        </w:tc>
        <w:tc>
          <w:tcPr>
            <w:tcW w:w="707" w:type="pct"/>
            <w:tcBorders>
              <w:top w:val="none" w:color="auto" w:sz="0" w:space="0"/>
              <w:left w:val="none" w:color="auto" w:sz="0" w:space="0"/>
              <w:bottom w:val="none" w:color="auto" w:sz="0" w:space="0"/>
              <w:right w:val="none" w:color="auto" w:sz="0" w:space="0"/>
            </w:tcBorders>
            <w:shd w:val="clear" w:color="auto" w:fill="A6A6A6" w:themeFill="background1" w:themeFillShade="A6"/>
            <w:vAlign w:val="center"/>
            <w:hideMark/>
          </w:tcPr>
          <w:p w:rsidRPr="00BD4E19" w:rsidR="00BD4E19" w:rsidRDefault="00BD4E19" w14:paraId="18E87A76" w14:textId="77777777">
            <w:pPr>
              <w:jc w:val="center"/>
              <w:cnfStyle w:val="100000000000" w:firstRow="1" w:lastRow="0" w:firstColumn="0" w:lastColumn="0" w:oddVBand="0" w:evenVBand="0" w:oddHBand="0" w:evenHBand="0" w:firstRowFirstColumn="0" w:firstRowLastColumn="0" w:lastRowFirstColumn="0" w:lastRowLastColumn="0"/>
              <w:rPr>
                <w:rFonts w:ascii="Verdana" w:hAnsi="Verdana" w:eastAsia="Times New Roman" w:cs="Arial"/>
                <w:b w:val="0"/>
                <w:bCs w:val="0"/>
                <w:color w:val="auto"/>
                <w:sz w:val="18"/>
                <w:szCs w:val="18"/>
                <w:lang w:val="es-CO"/>
              </w:rPr>
            </w:pPr>
            <w:r w:rsidRPr="00BD4E19">
              <w:rPr>
                <w:rFonts w:ascii="Verdana" w:hAnsi="Verdana" w:eastAsia="Times New Roman" w:cs="Arial"/>
                <w:b w:val="0"/>
                <w:bCs w:val="0"/>
                <w:color w:val="auto"/>
                <w:sz w:val="18"/>
                <w:szCs w:val="18"/>
                <w:lang w:val="es-CO"/>
              </w:rPr>
              <w:t>Alertas tempranas atendidas</w:t>
            </w:r>
          </w:p>
        </w:tc>
        <w:tc>
          <w:tcPr>
            <w:tcW w:w="814" w:type="pct"/>
            <w:tcBorders>
              <w:top w:val="none" w:color="auto" w:sz="0" w:space="0"/>
              <w:left w:val="none" w:color="auto" w:sz="0" w:space="0"/>
              <w:bottom w:val="none" w:color="auto" w:sz="0" w:space="0"/>
              <w:right w:val="none" w:color="auto" w:sz="0" w:space="0"/>
            </w:tcBorders>
            <w:shd w:val="clear" w:color="auto" w:fill="A6A6A6" w:themeFill="background1" w:themeFillShade="A6"/>
            <w:vAlign w:val="center"/>
            <w:hideMark/>
          </w:tcPr>
          <w:p w:rsidRPr="00BD4E19" w:rsidR="00BD4E19" w:rsidRDefault="00BD4E19" w14:paraId="29AEBB3D" w14:textId="77777777">
            <w:pPr>
              <w:jc w:val="center"/>
              <w:cnfStyle w:val="100000000000" w:firstRow="1" w:lastRow="0" w:firstColumn="0" w:lastColumn="0" w:oddVBand="0" w:evenVBand="0" w:oddHBand="0" w:evenHBand="0" w:firstRowFirstColumn="0" w:firstRowLastColumn="0" w:lastRowFirstColumn="0" w:lastRowLastColumn="0"/>
              <w:rPr>
                <w:rFonts w:ascii="Verdana" w:hAnsi="Verdana" w:eastAsia="Times New Roman" w:cs="Arial"/>
                <w:b w:val="0"/>
                <w:bCs w:val="0"/>
                <w:color w:val="auto"/>
                <w:sz w:val="18"/>
                <w:szCs w:val="18"/>
                <w:lang w:val="es-CO"/>
              </w:rPr>
            </w:pPr>
            <w:r w:rsidRPr="00BD4E19">
              <w:rPr>
                <w:rFonts w:ascii="Verdana" w:hAnsi="Verdana" w:eastAsia="Times New Roman" w:cs="Arial"/>
                <w:b w:val="0"/>
                <w:bCs w:val="0"/>
                <w:color w:val="auto"/>
                <w:sz w:val="18"/>
                <w:szCs w:val="18"/>
                <w:lang w:val="es-CO"/>
              </w:rPr>
              <w:t>Total espacios / registros atendidos</w:t>
            </w:r>
          </w:p>
        </w:tc>
        <w:tc>
          <w:tcPr>
            <w:tcW w:w="1836" w:type="pct"/>
            <w:tcBorders>
              <w:top w:val="none" w:color="auto" w:sz="0" w:space="0"/>
              <w:left w:val="none" w:color="auto" w:sz="0" w:space="0"/>
              <w:bottom w:val="none" w:color="auto" w:sz="0" w:space="0"/>
              <w:right w:val="none" w:color="auto" w:sz="0" w:space="0"/>
            </w:tcBorders>
            <w:shd w:val="clear" w:color="auto" w:fill="A6A6A6" w:themeFill="background1" w:themeFillShade="A6"/>
            <w:vAlign w:val="center"/>
            <w:hideMark/>
          </w:tcPr>
          <w:p w:rsidRPr="00BD4E19" w:rsidR="00BD4E19" w:rsidRDefault="00BD4E19" w14:paraId="2F51D9BE" w14:textId="77777777">
            <w:pPr>
              <w:jc w:val="center"/>
              <w:cnfStyle w:val="100000000000" w:firstRow="1" w:lastRow="0" w:firstColumn="0" w:lastColumn="0" w:oddVBand="0" w:evenVBand="0" w:oddHBand="0" w:evenHBand="0" w:firstRowFirstColumn="0" w:firstRowLastColumn="0" w:lastRowFirstColumn="0" w:lastRowLastColumn="0"/>
              <w:rPr>
                <w:rFonts w:ascii="Verdana" w:hAnsi="Verdana" w:eastAsia="Times New Roman" w:cs="Arial"/>
                <w:b w:val="0"/>
                <w:bCs w:val="0"/>
                <w:color w:val="auto"/>
                <w:sz w:val="18"/>
                <w:szCs w:val="18"/>
                <w:lang w:val="es-CO"/>
              </w:rPr>
            </w:pPr>
            <w:r w:rsidRPr="00BD4E19">
              <w:rPr>
                <w:rFonts w:ascii="Verdana" w:hAnsi="Verdana" w:eastAsia="Times New Roman" w:cs="Arial"/>
                <w:b w:val="0"/>
                <w:bCs w:val="0"/>
                <w:color w:val="auto"/>
                <w:sz w:val="18"/>
                <w:szCs w:val="18"/>
                <w:lang w:val="es-CO"/>
              </w:rPr>
              <w:t>Contexto principal</w:t>
            </w:r>
          </w:p>
        </w:tc>
      </w:tr>
      <w:tr w:rsidRPr="00BD4E19" w:rsidR="00BD4E19" w:rsidTr="180099B3" w14:paraId="290F052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33" w:type="pct"/>
            <w:shd w:val="clear" w:color="auto" w:fill="FFFFFF" w:themeFill="background1"/>
            <w:vAlign w:val="center"/>
            <w:hideMark/>
          </w:tcPr>
          <w:p w:rsidRPr="00BD4E19" w:rsidR="00BD4E19" w:rsidRDefault="00BD4E19" w14:paraId="177053FA" w14:textId="77777777">
            <w:pPr>
              <w:jc w:val="both"/>
              <w:rPr>
                <w:rFonts w:ascii="Verdana" w:hAnsi="Verdana" w:eastAsia="Times New Roman" w:cs="Arial"/>
                <w:b w:val="0"/>
                <w:bCs w:val="0"/>
                <w:sz w:val="18"/>
                <w:szCs w:val="18"/>
                <w:lang w:val="es-CO"/>
              </w:rPr>
            </w:pPr>
            <w:r w:rsidRPr="00BD4E19">
              <w:rPr>
                <w:rFonts w:ascii="Verdana" w:hAnsi="Verdana" w:eastAsia="Times New Roman" w:cs="Arial"/>
                <w:b w:val="0"/>
                <w:bCs w:val="0"/>
                <w:sz w:val="18"/>
                <w:szCs w:val="18"/>
                <w:lang w:val="es-CO"/>
              </w:rPr>
              <w:t>Minería</w:t>
            </w:r>
          </w:p>
        </w:tc>
        <w:tc>
          <w:tcPr>
            <w:tcW w:w="1009" w:type="pct"/>
            <w:shd w:val="clear" w:color="auto" w:fill="FFFFFF" w:themeFill="background1"/>
            <w:vAlign w:val="center"/>
            <w:hideMark/>
          </w:tcPr>
          <w:p w:rsidRPr="00BD4E19" w:rsidR="00BD4E19" w:rsidRDefault="00BD4E19" w14:paraId="4B52587D" w14:textId="77777777">
            <w:pPr>
              <w:jc w:val="center"/>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BD4E19">
              <w:rPr>
                <w:rFonts w:ascii="Verdana" w:hAnsi="Verdana" w:eastAsia="Times New Roman" w:cs="Arial"/>
                <w:sz w:val="18"/>
                <w:szCs w:val="18"/>
                <w:lang w:val="es-CO"/>
              </w:rPr>
              <w:t>37</w:t>
            </w:r>
          </w:p>
        </w:tc>
        <w:tc>
          <w:tcPr>
            <w:tcW w:w="707" w:type="pct"/>
            <w:shd w:val="clear" w:color="auto" w:fill="FFFFFF" w:themeFill="background1"/>
            <w:vAlign w:val="center"/>
            <w:hideMark/>
          </w:tcPr>
          <w:p w:rsidRPr="00BD4E19" w:rsidR="00BD4E19" w:rsidRDefault="00BD4E19" w14:paraId="311995DE" w14:textId="77777777">
            <w:pPr>
              <w:jc w:val="center"/>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BD4E19">
              <w:rPr>
                <w:rFonts w:ascii="Verdana" w:hAnsi="Verdana" w:eastAsia="Times New Roman" w:cs="Arial"/>
                <w:sz w:val="18"/>
                <w:szCs w:val="18"/>
                <w:lang w:val="es-CO"/>
              </w:rPr>
              <w:t>17</w:t>
            </w:r>
          </w:p>
        </w:tc>
        <w:tc>
          <w:tcPr>
            <w:tcW w:w="814" w:type="pct"/>
            <w:shd w:val="clear" w:color="auto" w:fill="FFFFFF" w:themeFill="background1"/>
            <w:vAlign w:val="center"/>
            <w:hideMark/>
          </w:tcPr>
          <w:p w:rsidRPr="00BD4E19" w:rsidR="00BD4E19" w:rsidRDefault="00BD4E19" w14:paraId="3D97330D" w14:textId="77777777">
            <w:pPr>
              <w:jc w:val="center"/>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BD4E19">
              <w:rPr>
                <w:rFonts w:ascii="Verdana" w:hAnsi="Verdana" w:eastAsia="Times New Roman" w:cs="Arial"/>
                <w:sz w:val="18"/>
                <w:szCs w:val="18"/>
                <w:lang w:val="es-CO"/>
              </w:rPr>
              <w:t>54</w:t>
            </w:r>
          </w:p>
        </w:tc>
        <w:tc>
          <w:tcPr>
            <w:tcW w:w="1836" w:type="pct"/>
            <w:shd w:val="clear" w:color="auto" w:fill="FFFFFF" w:themeFill="background1"/>
            <w:vAlign w:val="center"/>
            <w:hideMark/>
          </w:tcPr>
          <w:p w:rsidRPr="00BD4E19" w:rsidR="00BD4E19" w:rsidRDefault="00BD4E19" w14:paraId="6C8E458C" w14:textId="77777777">
            <w:pPr>
              <w:jc w:val="both"/>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BD4E19">
              <w:rPr>
                <w:rFonts w:ascii="Verdana" w:hAnsi="Verdana" w:eastAsia="Times New Roman" w:cs="Arial"/>
                <w:sz w:val="18"/>
                <w:szCs w:val="18"/>
                <w:lang w:val="es-CO"/>
              </w:rPr>
              <w:t>Aunque tiene menor volumen, presenta alta complejidad territorial. Se concentra principalmente en Antioquia, Nariño, Boyacá, Cesar y Caldas. El contexto se relaciona con explotación minera, minería formal e informal, ilegalidad, conflictividad ambiental, presencia de actores armados, bloqueos, movilizaciones y tensiones por uso del suelo y medios de vida.</w:t>
            </w:r>
          </w:p>
        </w:tc>
      </w:tr>
    </w:tbl>
    <w:p w:rsidRPr="00BD4E19" w:rsidR="00BD4E19" w:rsidP="180099B3" w:rsidRDefault="5099D2D9" w14:paraId="40461F75" w14:textId="77777777">
      <w:pPr>
        <w:spacing w:after="0" w:line="360" w:lineRule="auto"/>
        <w:jc w:val="center"/>
        <w:rPr>
          <w:rFonts w:ascii="Verdana" w:hAnsi="Verdana"/>
          <w:sz w:val="18"/>
          <w:szCs w:val="18"/>
        </w:rPr>
      </w:pPr>
      <w:r w:rsidRPr="180099B3">
        <w:rPr>
          <w:rFonts w:ascii="Verdana" w:hAnsi="Verdana"/>
          <w:sz w:val="18"/>
          <w:szCs w:val="18"/>
        </w:rPr>
        <w:t>Fuente: Oficina de Asuntos Ambientales y Sociales - OAAS</w:t>
      </w:r>
    </w:p>
    <w:p w:rsidR="180099B3" w:rsidP="006A0A13" w:rsidRDefault="180099B3" w14:paraId="5D31A75D" w14:textId="77777777">
      <w:pPr>
        <w:spacing w:after="0" w:line="360" w:lineRule="auto"/>
        <w:rPr>
          <w:rFonts w:ascii="Verdana" w:hAnsi="Verdana" w:eastAsia="Verdana" w:cs="Arial"/>
          <w:b/>
          <w:bCs/>
          <w:sz w:val="24"/>
          <w:szCs w:val="24"/>
        </w:rPr>
      </w:pPr>
    </w:p>
    <w:p w:rsidRPr="00BD4E19" w:rsidR="00BD4E19" w:rsidP="006A0A13" w:rsidRDefault="00BD4E19" w14:paraId="54EE8F26" w14:textId="77777777">
      <w:pPr>
        <w:spacing w:after="0" w:line="360" w:lineRule="auto"/>
        <w:rPr>
          <w:rFonts w:ascii="Verdana" w:hAnsi="Verdana" w:eastAsia="Verdana" w:cs="Arial"/>
          <w:b/>
          <w:bCs/>
          <w:sz w:val="24"/>
          <w:szCs w:val="24"/>
        </w:rPr>
      </w:pPr>
      <w:r w:rsidRPr="00BD4E19">
        <w:rPr>
          <w:rFonts w:ascii="Verdana" w:hAnsi="Verdana" w:eastAsia="Verdana" w:cs="Arial"/>
          <w:b/>
          <w:bCs/>
          <w:sz w:val="24"/>
          <w:szCs w:val="24"/>
        </w:rPr>
        <w:t xml:space="preserve">Atención </w:t>
      </w:r>
      <w:r>
        <w:rPr>
          <w:rFonts w:ascii="Verdana" w:hAnsi="Verdana" w:eastAsia="Verdana" w:cs="Arial"/>
          <w:b/>
          <w:bCs/>
          <w:sz w:val="24"/>
          <w:szCs w:val="24"/>
        </w:rPr>
        <w:t>a</w:t>
      </w:r>
      <w:r w:rsidRPr="00BD4E19">
        <w:rPr>
          <w:rFonts w:ascii="Verdana" w:hAnsi="Verdana" w:eastAsia="Verdana" w:cs="Arial"/>
          <w:b/>
          <w:bCs/>
          <w:sz w:val="24"/>
          <w:szCs w:val="24"/>
        </w:rPr>
        <w:t xml:space="preserve"> Conflictos Sociales </w:t>
      </w:r>
      <w:r>
        <w:rPr>
          <w:rFonts w:ascii="Verdana" w:hAnsi="Verdana" w:eastAsia="Verdana" w:cs="Arial"/>
          <w:b/>
          <w:bCs/>
          <w:sz w:val="24"/>
          <w:szCs w:val="24"/>
        </w:rPr>
        <w:t>e</w:t>
      </w:r>
      <w:r w:rsidRPr="00BD4E19">
        <w:rPr>
          <w:rFonts w:ascii="Verdana" w:hAnsi="Verdana" w:eastAsia="Verdana" w:cs="Arial"/>
          <w:b/>
          <w:bCs/>
          <w:sz w:val="24"/>
          <w:szCs w:val="24"/>
        </w:rPr>
        <w:t>n Minería</w:t>
      </w:r>
    </w:p>
    <w:p w:rsidR="00BD4E19" w:rsidP="006A0A13" w:rsidRDefault="00BD4E19" w14:paraId="5EF68204" w14:textId="77777777">
      <w:pPr>
        <w:spacing w:after="0" w:line="360" w:lineRule="auto"/>
        <w:jc w:val="both"/>
        <w:rPr>
          <w:rFonts w:ascii="Verdana" w:hAnsi="Verdana" w:eastAsia="Verdana" w:cs="Arial"/>
          <w:sz w:val="24"/>
          <w:szCs w:val="24"/>
        </w:rPr>
      </w:pPr>
    </w:p>
    <w:p w:rsidRPr="00BD4E19" w:rsidR="00BD4E19" w:rsidP="006A0A13" w:rsidRDefault="00BD4E19" w14:paraId="31E6ABCB" w14:textId="77777777">
      <w:pPr>
        <w:spacing w:after="0" w:line="360" w:lineRule="auto"/>
        <w:jc w:val="both"/>
        <w:rPr>
          <w:rFonts w:ascii="Verdana" w:hAnsi="Verdana" w:eastAsia="Verdana" w:cs="Arial"/>
          <w:sz w:val="24"/>
          <w:szCs w:val="24"/>
        </w:rPr>
      </w:pPr>
      <w:r w:rsidRPr="00BD4E19">
        <w:rPr>
          <w:rFonts w:ascii="Verdana" w:hAnsi="Verdana" w:eastAsia="Verdana" w:cs="Arial"/>
          <w:sz w:val="24"/>
          <w:szCs w:val="24"/>
        </w:rPr>
        <w:t>Se fortaleció la gestión de conflictividades socioambientales en el sector minero mediante el diálogo, la formalización y la construcción de acuerdos territoriales.</w:t>
      </w:r>
    </w:p>
    <w:p w:rsidR="00BD4E19" w:rsidP="006A0A13" w:rsidRDefault="00BD4E19" w14:paraId="79596A80" w14:textId="77777777">
      <w:pPr>
        <w:spacing w:after="0" w:line="360" w:lineRule="auto"/>
        <w:jc w:val="both"/>
        <w:rPr>
          <w:rFonts w:ascii="Verdana" w:hAnsi="Verdana" w:eastAsia="Verdana" w:cs="Arial"/>
          <w:b/>
          <w:bCs/>
          <w:sz w:val="24"/>
          <w:szCs w:val="24"/>
        </w:rPr>
      </w:pPr>
    </w:p>
    <w:p w:rsidRPr="00BD4E19" w:rsidR="00BD4E19" w:rsidP="006A0A13" w:rsidRDefault="5A358311" w14:paraId="1DEBF216" w14:textId="339C5A4F">
      <w:pPr>
        <w:spacing w:after="0" w:line="360" w:lineRule="auto"/>
        <w:jc w:val="both"/>
        <w:rPr>
          <w:rFonts w:ascii="Verdana" w:hAnsi="Verdana" w:eastAsia="Verdana" w:cs="Arial"/>
          <w:sz w:val="24"/>
          <w:szCs w:val="24"/>
        </w:rPr>
      </w:pPr>
      <w:r w:rsidRPr="0FF05B1B">
        <w:rPr>
          <w:rFonts w:ascii="Verdana" w:hAnsi="Verdana" w:eastAsia="Verdana" w:cs="Arial"/>
          <w:sz w:val="24"/>
          <w:szCs w:val="24"/>
        </w:rPr>
        <w:t>Hito 1. Coordinación Institucional</w:t>
      </w:r>
      <w:r w:rsidRPr="0FF05B1B" w:rsidR="701D8CA4">
        <w:rPr>
          <w:rFonts w:ascii="Verdana" w:hAnsi="Verdana" w:eastAsia="Verdana" w:cs="Arial"/>
          <w:sz w:val="24"/>
          <w:szCs w:val="24"/>
        </w:rPr>
        <w:t xml:space="preserve">: </w:t>
      </w:r>
      <w:r w:rsidRPr="0FF05B1B">
        <w:rPr>
          <w:rFonts w:ascii="Verdana" w:hAnsi="Verdana" w:eastAsia="Verdana" w:cs="Arial"/>
          <w:sz w:val="24"/>
          <w:szCs w:val="24"/>
        </w:rPr>
        <w:t>Gracias a múltiples ejercicios de coordinación institucional se consolidó el trabajo conjunto para la atención de conflictos en territorios mineros.</w:t>
      </w:r>
    </w:p>
    <w:p w:rsidR="00BD4E19" w:rsidP="006A0A13" w:rsidRDefault="00BD4E19" w14:paraId="7FB3027E" w14:textId="77777777">
      <w:pPr>
        <w:spacing w:after="0" w:line="360" w:lineRule="auto"/>
        <w:jc w:val="both"/>
        <w:rPr>
          <w:rFonts w:ascii="Verdana" w:hAnsi="Verdana" w:eastAsia="Verdana" w:cs="Arial"/>
          <w:sz w:val="24"/>
          <w:szCs w:val="24"/>
        </w:rPr>
      </w:pPr>
    </w:p>
    <w:p w:rsidRPr="00BD4E19" w:rsidR="00BD4E19" w:rsidP="006A0A13" w:rsidRDefault="5A358311" w14:paraId="18119B94" w14:textId="07872C64">
      <w:pPr>
        <w:spacing w:after="0" w:line="360" w:lineRule="auto"/>
        <w:jc w:val="both"/>
        <w:rPr>
          <w:rFonts w:ascii="Verdana" w:hAnsi="Verdana" w:eastAsia="Verdana" w:cs="Arial"/>
          <w:sz w:val="24"/>
          <w:szCs w:val="24"/>
        </w:rPr>
      </w:pPr>
      <w:r w:rsidRPr="0FF05B1B">
        <w:rPr>
          <w:rFonts w:ascii="Verdana" w:hAnsi="Verdana" w:eastAsia="Verdana" w:cs="Arial"/>
          <w:sz w:val="24"/>
          <w:szCs w:val="24"/>
          <w:lang w:val="pt-PT"/>
        </w:rPr>
        <w:t>Hito 2. Mesas de Diálogo Territorial</w:t>
      </w:r>
      <w:r w:rsidRPr="0FF05B1B" w:rsidR="49CDEF75">
        <w:rPr>
          <w:rFonts w:ascii="Verdana" w:hAnsi="Verdana" w:eastAsia="Verdana" w:cs="Arial"/>
          <w:sz w:val="24"/>
          <w:szCs w:val="24"/>
          <w:lang w:val="pt-PT"/>
        </w:rPr>
        <w:t xml:space="preserve">: </w:t>
      </w:r>
      <w:r w:rsidRPr="0FF05B1B">
        <w:rPr>
          <w:rFonts w:ascii="Verdana" w:hAnsi="Verdana" w:eastAsia="Verdana" w:cs="Arial"/>
          <w:sz w:val="24"/>
          <w:szCs w:val="24"/>
        </w:rPr>
        <w:t>Se desarrollaron procesos en regiones como Bajo Cauca, Marmato, Catatumbo y Santurbán.</w:t>
      </w:r>
    </w:p>
    <w:p w:rsidRPr="00BD4E19" w:rsidR="00BD4E19" w:rsidP="006A0A13" w:rsidRDefault="00BD4E19" w14:paraId="768A2EAA" w14:textId="77777777">
      <w:pPr>
        <w:spacing w:after="0" w:line="360" w:lineRule="auto"/>
        <w:jc w:val="both"/>
        <w:rPr>
          <w:rFonts w:ascii="Verdana" w:hAnsi="Verdana" w:eastAsia="Verdana" w:cs="Arial"/>
          <w:sz w:val="24"/>
          <w:szCs w:val="24"/>
        </w:rPr>
      </w:pPr>
    </w:p>
    <w:p w:rsidRPr="00BD4E19" w:rsidR="00BD4E19" w:rsidP="006A0A13" w:rsidRDefault="5A358311" w14:paraId="166D83ED" w14:textId="0EE771BB">
      <w:pPr>
        <w:spacing w:after="0" w:line="360" w:lineRule="auto"/>
        <w:jc w:val="both"/>
        <w:rPr>
          <w:rFonts w:ascii="Verdana" w:hAnsi="Verdana" w:eastAsia="Verdana" w:cs="Arial"/>
          <w:sz w:val="24"/>
          <w:szCs w:val="24"/>
        </w:rPr>
      </w:pPr>
      <w:r w:rsidRPr="0FF05B1B">
        <w:rPr>
          <w:rFonts w:ascii="Verdana" w:hAnsi="Verdana" w:eastAsia="Verdana" w:cs="Arial"/>
          <w:sz w:val="24"/>
          <w:szCs w:val="24"/>
        </w:rPr>
        <w:t>Hito 3. Instrumentos de Política Minera</w:t>
      </w:r>
      <w:r w:rsidRPr="0FF05B1B" w:rsidR="14AFE9EC">
        <w:rPr>
          <w:rFonts w:ascii="Verdana" w:hAnsi="Verdana" w:eastAsia="Verdana" w:cs="Arial"/>
          <w:sz w:val="24"/>
          <w:szCs w:val="24"/>
        </w:rPr>
        <w:t xml:space="preserve">: </w:t>
      </w:r>
      <w:r w:rsidRPr="0FF05B1B">
        <w:rPr>
          <w:rFonts w:ascii="Verdana" w:hAnsi="Verdana" w:eastAsia="Verdana" w:cs="Arial"/>
          <w:sz w:val="24"/>
          <w:szCs w:val="24"/>
        </w:rPr>
        <w:t>La OAAS contribuyó al avance de la nueva ley Minera, los distritos Mineros para la Vida y la Paz y procesos de formalización.</w:t>
      </w:r>
    </w:p>
    <w:p w:rsidR="00BD4E19" w:rsidP="006A0A13" w:rsidRDefault="00BD4E19" w14:paraId="026AE86E" w14:textId="77777777">
      <w:pPr>
        <w:spacing w:after="0" w:line="360" w:lineRule="auto"/>
        <w:jc w:val="both"/>
        <w:rPr>
          <w:rFonts w:ascii="Verdana" w:hAnsi="Verdana" w:eastAsia="Verdana" w:cs="Arial"/>
          <w:color w:val="000000" w:themeColor="text1"/>
          <w:sz w:val="24"/>
          <w:szCs w:val="24"/>
        </w:rPr>
      </w:pPr>
    </w:p>
    <w:p w:rsidRPr="00BD4E19" w:rsidR="00BD4E19" w:rsidP="006A0A13" w:rsidRDefault="22541B14" w14:paraId="5A636275" w14:textId="77777777">
      <w:pPr>
        <w:spacing w:after="0" w:line="360" w:lineRule="auto"/>
        <w:jc w:val="both"/>
        <w:rPr>
          <w:rFonts w:ascii="Verdana" w:hAnsi="Verdana" w:eastAsia="Verdana" w:cs="Arial"/>
          <w:color w:val="000000" w:themeColor="text1"/>
          <w:sz w:val="24"/>
          <w:szCs w:val="24"/>
        </w:rPr>
      </w:pPr>
      <w:r w:rsidRPr="180099B3">
        <w:rPr>
          <w:rFonts w:ascii="Verdana" w:hAnsi="Verdana" w:eastAsia="Verdana" w:cs="Arial"/>
          <w:color w:val="000000" w:themeColor="text1"/>
          <w:sz w:val="24"/>
          <w:szCs w:val="24"/>
        </w:rPr>
        <w:t>Entre 2022 y 2026 se transformó la gestión de los conflictos socioambientales en zonas mineras gracias al permanente ejercicio del diálogo social, la coordinación con el Viceministerio de Minas y la Dirección de Formalización Minera y acompañamiento a iniciativas de transición justa, formalización y reconversión productiva en territorios priorizados.</w:t>
      </w:r>
    </w:p>
    <w:p w:rsidR="180099B3" w:rsidP="006A0A13" w:rsidRDefault="180099B3" w14:paraId="31C4F993" w14:textId="77777777">
      <w:pPr>
        <w:spacing w:after="0" w:line="360" w:lineRule="auto"/>
        <w:jc w:val="both"/>
        <w:rPr>
          <w:rFonts w:ascii="Verdana" w:hAnsi="Verdana" w:eastAsia="Verdana" w:cs="Arial"/>
          <w:color w:val="000000" w:themeColor="text1"/>
          <w:sz w:val="24"/>
          <w:szCs w:val="24"/>
        </w:rPr>
      </w:pPr>
    </w:p>
    <w:p w:rsidRPr="00BD4E19" w:rsidR="00BD4E19" w:rsidP="006A0A13" w:rsidRDefault="00BD4E19" w14:paraId="6CA7496D" w14:textId="77777777">
      <w:pPr>
        <w:spacing w:after="0" w:line="360" w:lineRule="auto"/>
        <w:jc w:val="both"/>
        <w:rPr>
          <w:rFonts w:ascii="Verdana" w:hAnsi="Verdana" w:eastAsia="Times New Roman" w:cs="Arial"/>
          <w:sz w:val="24"/>
          <w:szCs w:val="24"/>
        </w:rPr>
      </w:pPr>
      <w:r w:rsidRPr="00BD4E19">
        <w:rPr>
          <w:rFonts w:ascii="Verdana" w:hAnsi="Verdana" w:eastAsia="Times New Roman" w:cs="Arial"/>
          <w:sz w:val="24"/>
          <w:szCs w:val="24"/>
        </w:rPr>
        <w:t xml:space="preserve">En el marco de la Estrategia de Relacionamiento Territorial, se gestionaron las siguientes actividades en el sector Minero: </w:t>
      </w:r>
    </w:p>
    <w:p w:rsidR="00B75940" w:rsidP="006A0A13" w:rsidRDefault="00B75940" w14:paraId="68B8D04F" w14:textId="77777777">
      <w:pPr>
        <w:spacing w:after="0" w:line="360" w:lineRule="auto"/>
        <w:jc w:val="both"/>
        <w:rPr>
          <w:rFonts w:ascii="Verdana" w:hAnsi="Verdana"/>
          <w:sz w:val="24"/>
          <w:szCs w:val="24"/>
        </w:rPr>
      </w:pPr>
    </w:p>
    <w:p w:rsidRPr="00016415" w:rsidR="00016415" w:rsidP="00016415" w:rsidRDefault="25D34C35" w14:paraId="151C4E54" w14:textId="77777777">
      <w:pPr>
        <w:spacing w:after="0" w:line="360" w:lineRule="auto"/>
        <w:jc w:val="center"/>
        <w:rPr>
          <w:rFonts w:ascii="Verdana" w:hAnsi="Verdana" w:eastAsia="Verdana" w:cs="Arial"/>
          <w:color w:val="000000" w:themeColor="text1"/>
          <w:sz w:val="18"/>
          <w:szCs w:val="18"/>
        </w:rPr>
      </w:pPr>
      <w:r w:rsidRPr="180099B3">
        <w:rPr>
          <w:rFonts w:ascii="Verdana" w:hAnsi="Verdana" w:eastAsia="Times New Roman" w:cs="Arial"/>
          <w:sz w:val="18"/>
          <w:szCs w:val="18"/>
        </w:rPr>
        <w:t>Tabla No.</w:t>
      </w:r>
      <w:r w:rsidRPr="180099B3" w:rsidR="05696C27">
        <w:rPr>
          <w:rFonts w:ascii="Verdana" w:hAnsi="Verdana" w:eastAsia="Times New Roman" w:cs="Arial"/>
          <w:sz w:val="18"/>
          <w:szCs w:val="18"/>
        </w:rPr>
        <w:t xml:space="preserve"> 65</w:t>
      </w:r>
      <w:r w:rsidRPr="180099B3">
        <w:rPr>
          <w:rFonts w:ascii="Verdana" w:hAnsi="Verdana" w:eastAsia="Times New Roman" w:cs="Arial"/>
          <w:sz w:val="18"/>
          <w:szCs w:val="18"/>
        </w:rPr>
        <w:t>. Procesos de Diálogo en el Sector Minería</w:t>
      </w:r>
    </w:p>
    <w:tbl>
      <w:tblPr>
        <w:tblStyle w:val="Tablaconcuadrcula4-nfasis6"/>
        <w:tblW w:w="5000" w:type="pct"/>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Look w:val="04A0" w:firstRow="1" w:lastRow="0" w:firstColumn="1" w:lastColumn="0" w:noHBand="0" w:noVBand="1"/>
      </w:tblPr>
      <w:tblGrid>
        <w:gridCol w:w="1264"/>
        <w:gridCol w:w="1522"/>
        <w:gridCol w:w="865"/>
        <w:gridCol w:w="1573"/>
        <w:gridCol w:w="1838"/>
        <w:gridCol w:w="1766"/>
      </w:tblGrid>
      <w:tr w:rsidRPr="00016415" w:rsidR="00016415" w:rsidTr="180099B3" w14:paraId="26112FF3"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 w:type="pct"/>
            <w:tcBorders>
              <w:top w:val="none" w:color="auto" w:sz="0" w:space="0"/>
              <w:left w:val="none" w:color="auto" w:sz="0" w:space="0"/>
              <w:bottom w:val="none" w:color="auto" w:sz="0" w:space="0"/>
              <w:right w:val="none" w:color="auto" w:sz="0" w:space="0"/>
            </w:tcBorders>
            <w:shd w:val="clear" w:color="auto" w:fill="A6A6A6" w:themeFill="background1" w:themeFillShade="A6"/>
            <w:vAlign w:val="center"/>
            <w:hideMark/>
          </w:tcPr>
          <w:p w:rsidRPr="00016415" w:rsidR="00016415" w:rsidRDefault="00016415" w14:paraId="79F5A801" w14:textId="77777777">
            <w:pPr>
              <w:spacing w:line="360" w:lineRule="auto"/>
              <w:jc w:val="center"/>
              <w:rPr>
                <w:rFonts w:ascii="Verdana" w:hAnsi="Verdana" w:eastAsia="Times New Roman" w:cs="Arial"/>
                <w:b w:val="0"/>
                <w:bCs w:val="0"/>
                <w:color w:val="auto"/>
                <w:sz w:val="18"/>
                <w:szCs w:val="18"/>
                <w:lang w:val="es-CO"/>
              </w:rPr>
            </w:pPr>
            <w:r w:rsidRPr="00016415">
              <w:rPr>
                <w:rFonts w:ascii="Verdana" w:hAnsi="Verdana" w:eastAsia="Times New Roman" w:cs="Arial"/>
                <w:color w:val="auto"/>
                <w:sz w:val="18"/>
                <w:szCs w:val="18"/>
                <w:lang w:val="es-CO"/>
              </w:rPr>
              <w:t>Subsector</w:t>
            </w:r>
          </w:p>
        </w:tc>
        <w:tc>
          <w:tcPr>
            <w:tcW w:w="862" w:type="pct"/>
            <w:tcBorders>
              <w:top w:val="none" w:color="auto" w:sz="0" w:space="0"/>
              <w:left w:val="none" w:color="auto" w:sz="0" w:space="0"/>
              <w:bottom w:val="none" w:color="auto" w:sz="0" w:space="0"/>
              <w:right w:val="none" w:color="auto" w:sz="0" w:space="0"/>
            </w:tcBorders>
            <w:shd w:val="clear" w:color="auto" w:fill="A6A6A6" w:themeFill="background1" w:themeFillShade="A6"/>
            <w:vAlign w:val="center"/>
            <w:hideMark/>
          </w:tcPr>
          <w:p w:rsidRPr="00016415" w:rsidR="00016415" w:rsidRDefault="00016415" w14:paraId="603B371B" w14:textId="77777777">
            <w:pPr>
              <w:spacing w:line="360" w:lineRule="auto"/>
              <w:jc w:val="center"/>
              <w:cnfStyle w:val="100000000000" w:firstRow="1" w:lastRow="0" w:firstColumn="0" w:lastColumn="0" w:oddVBand="0" w:evenVBand="0" w:oddHBand="0" w:evenHBand="0" w:firstRowFirstColumn="0" w:firstRowLastColumn="0" w:lastRowFirstColumn="0" w:lastRowLastColumn="0"/>
              <w:rPr>
                <w:rFonts w:ascii="Verdana" w:hAnsi="Verdana" w:eastAsia="Times New Roman" w:cs="Arial"/>
                <w:b w:val="0"/>
                <w:bCs w:val="0"/>
                <w:color w:val="auto"/>
                <w:sz w:val="18"/>
                <w:szCs w:val="18"/>
                <w:lang w:val="es-CO"/>
              </w:rPr>
            </w:pPr>
            <w:r w:rsidRPr="00016415">
              <w:rPr>
                <w:rFonts w:ascii="Verdana" w:hAnsi="Verdana" w:eastAsia="Times New Roman" w:cs="Arial"/>
                <w:color w:val="auto"/>
                <w:sz w:val="18"/>
                <w:szCs w:val="18"/>
                <w:lang w:val="es-CO"/>
              </w:rPr>
              <w:t>Espacios de Diálogo Social</w:t>
            </w:r>
          </w:p>
        </w:tc>
        <w:tc>
          <w:tcPr>
            <w:tcW w:w="490" w:type="pct"/>
            <w:tcBorders>
              <w:top w:val="none" w:color="auto" w:sz="0" w:space="0"/>
              <w:left w:val="none" w:color="auto" w:sz="0" w:space="0"/>
              <w:bottom w:val="none" w:color="auto" w:sz="0" w:space="0"/>
              <w:right w:val="none" w:color="auto" w:sz="0" w:space="0"/>
            </w:tcBorders>
            <w:shd w:val="clear" w:color="auto" w:fill="A6A6A6" w:themeFill="background1" w:themeFillShade="A6"/>
            <w:vAlign w:val="center"/>
            <w:hideMark/>
          </w:tcPr>
          <w:p w:rsidRPr="00016415" w:rsidR="00016415" w:rsidRDefault="00016415" w14:paraId="5ABDF3AE" w14:textId="77777777">
            <w:pPr>
              <w:spacing w:line="360" w:lineRule="auto"/>
              <w:jc w:val="center"/>
              <w:cnfStyle w:val="100000000000" w:firstRow="1" w:lastRow="0" w:firstColumn="0" w:lastColumn="0" w:oddVBand="0" w:evenVBand="0" w:oddHBand="0" w:evenHBand="0" w:firstRowFirstColumn="0" w:firstRowLastColumn="0" w:lastRowFirstColumn="0" w:lastRowLastColumn="0"/>
              <w:rPr>
                <w:rFonts w:ascii="Verdana" w:hAnsi="Verdana" w:eastAsia="Times New Roman" w:cs="Arial"/>
                <w:b w:val="0"/>
                <w:bCs w:val="0"/>
                <w:color w:val="auto"/>
                <w:sz w:val="18"/>
                <w:szCs w:val="18"/>
                <w:lang w:val="es-CO"/>
              </w:rPr>
            </w:pPr>
            <w:r w:rsidRPr="00016415">
              <w:rPr>
                <w:rFonts w:ascii="Verdana" w:hAnsi="Verdana" w:eastAsia="Times New Roman" w:cs="Arial"/>
                <w:color w:val="auto"/>
                <w:sz w:val="18"/>
                <w:szCs w:val="18"/>
                <w:lang w:val="es-CO"/>
              </w:rPr>
              <w:t>Mesas</w:t>
            </w:r>
          </w:p>
        </w:tc>
        <w:tc>
          <w:tcPr>
            <w:tcW w:w="891" w:type="pct"/>
            <w:tcBorders>
              <w:top w:val="none" w:color="auto" w:sz="0" w:space="0"/>
              <w:left w:val="none" w:color="auto" w:sz="0" w:space="0"/>
              <w:bottom w:val="none" w:color="auto" w:sz="0" w:space="0"/>
              <w:right w:val="none" w:color="auto" w:sz="0" w:space="0"/>
            </w:tcBorders>
            <w:shd w:val="clear" w:color="auto" w:fill="A6A6A6" w:themeFill="background1" w:themeFillShade="A6"/>
            <w:vAlign w:val="center"/>
            <w:hideMark/>
          </w:tcPr>
          <w:p w:rsidRPr="00016415" w:rsidR="00016415" w:rsidRDefault="00016415" w14:paraId="443A3121" w14:textId="77777777">
            <w:pPr>
              <w:spacing w:line="360" w:lineRule="auto"/>
              <w:jc w:val="center"/>
              <w:cnfStyle w:val="100000000000" w:firstRow="1" w:lastRow="0" w:firstColumn="0" w:lastColumn="0" w:oddVBand="0" w:evenVBand="0" w:oddHBand="0" w:evenHBand="0" w:firstRowFirstColumn="0" w:firstRowLastColumn="0" w:lastRowFirstColumn="0" w:lastRowLastColumn="0"/>
              <w:rPr>
                <w:rFonts w:ascii="Verdana" w:hAnsi="Verdana" w:eastAsia="Times New Roman" w:cs="Arial"/>
                <w:b w:val="0"/>
                <w:bCs w:val="0"/>
                <w:color w:val="auto"/>
                <w:sz w:val="18"/>
                <w:szCs w:val="18"/>
                <w:lang w:val="es-CO"/>
              </w:rPr>
            </w:pPr>
            <w:r w:rsidRPr="00016415">
              <w:rPr>
                <w:rFonts w:ascii="Verdana" w:hAnsi="Verdana" w:eastAsia="Times New Roman" w:cs="Arial"/>
                <w:color w:val="auto"/>
                <w:sz w:val="18"/>
                <w:szCs w:val="18"/>
                <w:lang w:val="es-CO"/>
              </w:rPr>
              <w:t>Espacios base atendidos</w:t>
            </w:r>
          </w:p>
        </w:tc>
        <w:tc>
          <w:tcPr>
            <w:tcW w:w="1041" w:type="pct"/>
            <w:tcBorders>
              <w:top w:val="none" w:color="auto" w:sz="0" w:space="0"/>
              <w:left w:val="none" w:color="auto" w:sz="0" w:space="0"/>
              <w:bottom w:val="none" w:color="auto" w:sz="0" w:space="0"/>
              <w:right w:val="none" w:color="auto" w:sz="0" w:space="0"/>
            </w:tcBorders>
            <w:shd w:val="clear" w:color="auto" w:fill="A6A6A6" w:themeFill="background1" w:themeFillShade="A6"/>
            <w:vAlign w:val="center"/>
            <w:hideMark/>
          </w:tcPr>
          <w:p w:rsidRPr="00016415" w:rsidR="00016415" w:rsidRDefault="00016415" w14:paraId="077B8D71" w14:textId="77777777">
            <w:pPr>
              <w:spacing w:line="360" w:lineRule="auto"/>
              <w:jc w:val="center"/>
              <w:cnfStyle w:val="100000000000" w:firstRow="1" w:lastRow="0" w:firstColumn="0" w:lastColumn="0" w:oddVBand="0" w:evenVBand="0" w:oddHBand="0" w:evenHBand="0" w:firstRowFirstColumn="0" w:firstRowLastColumn="0" w:lastRowFirstColumn="0" w:lastRowLastColumn="0"/>
              <w:rPr>
                <w:rFonts w:ascii="Verdana" w:hAnsi="Verdana" w:eastAsia="Times New Roman" w:cs="Arial"/>
                <w:b w:val="0"/>
                <w:bCs w:val="0"/>
                <w:color w:val="auto"/>
                <w:sz w:val="18"/>
                <w:szCs w:val="18"/>
                <w:lang w:val="es-CO"/>
              </w:rPr>
            </w:pPr>
            <w:r w:rsidRPr="00016415">
              <w:rPr>
                <w:rFonts w:ascii="Verdana" w:hAnsi="Verdana" w:eastAsia="Times New Roman" w:cs="Arial"/>
                <w:color w:val="auto"/>
                <w:sz w:val="18"/>
                <w:szCs w:val="18"/>
                <w:lang w:val="es-CO"/>
              </w:rPr>
              <w:t>Seguimientos a mesas</w:t>
            </w:r>
          </w:p>
        </w:tc>
        <w:tc>
          <w:tcPr>
            <w:tcW w:w="1001" w:type="pct"/>
            <w:tcBorders>
              <w:top w:val="none" w:color="auto" w:sz="0" w:space="0"/>
              <w:left w:val="none" w:color="auto" w:sz="0" w:space="0"/>
              <w:bottom w:val="none" w:color="auto" w:sz="0" w:space="0"/>
              <w:right w:val="none" w:color="auto" w:sz="0" w:space="0"/>
            </w:tcBorders>
            <w:shd w:val="clear" w:color="auto" w:fill="A6A6A6" w:themeFill="background1" w:themeFillShade="A6"/>
            <w:vAlign w:val="center"/>
            <w:hideMark/>
          </w:tcPr>
          <w:p w:rsidRPr="00016415" w:rsidR="00016415" w:rsidRDefault="00016415" w14:paraId="29EDE259" w14:textId="77777777">
            <w:pPr>
              <w:spacing w:line="360" w:lineRule="auto"/>
              <w:jc w:val="center"/>
              <w:cnfStyle w:val="100000000000" w:firstRow="1" w:lastRow="0" w:firstColumn="0" w:lastColumn="0" w:oddVBand="0" w:evenVBand="0" w:oddHBand="0" w:evenHBand="0" w:firstRowFirstColumn="0" w:firstRowLastColumn="0" w:lastRowFirstColumn="0" w:lastRowLastColumn="0"/>
              <w:rPr>
                <w:rFonts w:ascii="Verdana" w:hAnsi="Verdana" w:eastAsia="Times New Roman" w:cs="Arial"/>
                <w:b w:val="0"/>
                <w:bCs w:val="0"/>
                <w:color w:val="auto"/>
                <w:sz w:val="18"/>
                <w:szCs w:val="18"/>
                <w:lang w:val="es-CO"/>
              </w:rPr>
            </w:pPr>
            <w:r w:rsidRPr="00016415">
              <w:rPr>
                <w:rFonts w:ascii="Verdana" w:hAnsi="Verdana" w:eastAsia="Times New Roman" w:cs="Arial"/>
                <w:color w:val="auto"/>
                <w:sz w:val="18"/>
                <w:szCs w:val="18"/>
                <w:lang w:val="es-CO"/>
              </w:rPr>
              <w:t>Gestión total registrada</w:t>
            </w:r>
          </w:p>
        </w:tc>
      </w:tr>
      <w:tr w:rsidRPr="00016415" w:rsidR="00016415" w:rsidTr="180099B3" w14:paraId="5BBD938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 w:type="pct"/>
            <w:shd w:val="clear" w:color="auto" w:fill="FFFFFF" w:themeFill="background1"/>
            <w:vAlign w:val="center"/>
            <w:hideMark/>
          </w:tcPr>
          <w:p w:rsidRPr="00016415" w:rsidR="00016415" w:rsidRDefault="00016415" w14:paraId="7C6938EB" w14:textId="77777777">
            <w:pPr>
              <w:spacing w:line="360" w:lineRule="auto"/>
              <w:jc w:val="both"/>
              <w:rPr>
                <w:rFonts w:ascii="Verdana" w:hAnsi="Verdana" w:eastAsia="Times New Roman" w:cs="Arial"/>
                <w:sz w:val="18"/>
                <w:szCs w:val="18"/>
                <w:lang w:val="es-CO"/>
              </w:rPr>
            </w:pPr>
            <w:r w:rsidRPr="00016415">
              <w:rPr>
                <w:rFonts w:ascii="Verdana" w:hAnsi="Verdana" w:eastAsia="Times New Roman" w:cs="Arial"/>
                <w:sz w:val="18"/>
                <w:szCs w:val="18"/>
                <w:lang w:val="es-CO"/>
              </w:rPr>
              <w:t>Minería</w:t>
            </w:r>
          </w:p>
        </w:tc>
        <w:tc>
          <w:tcPr>
            <w:tcW w:w="862" w:type="pct"/>
            <w:shd w:val="clear" w:color="auto" w:fill="FFFFFF" w:themeFill="background1"/>
            <w:vAlign w:val="center"/>
            <w:hideMark/>
          </w:tcPr>
          <w:p w:rsidRPr="00016415" w:rsidR="00016415" w:rsidRDefault="00016415" w14:paraId="6BB97FB0" w14:textId="77777777">
            <w:pPr>
              <w:spacing w:line="360" w:lineRule="auto"/>
              <w:jc w:val="center"/>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016415">
              <w:rPr>
                <w:rFonts w:ascii="Verdana" w:hAnsi="Verdana" w:eastAsia="Times New Roman" w:cs="Arial"/>
                <w:sz w:val="18"/>
                <w:szCs w:val="18"/>
                <w:lang w:val="es-CO"/>
              </w:rPr>
              <w:t>63</w:t>
            </w:r>
          </w:p>
        </w:tc>
        <w:tc>
          <w:tcPr>
            <w:tcW w:w="490" w:type="pct"/>
            <w:shd w:val="clear" w:color="auto" w:fill="FFFFFF" w:themeFill="background1"/>
            <w:vAlign w:val="center"/>
            <w:hideMark/>
          </w:tcPr>
          <w:p w:rsidRPr="00016415" w:rsidR="00016415" w:rsidRDefault="00016415" w14:paraId="46646791" w14:textId="77777777">
            <w:pPr>
              <w:spacing w:line="360" w:lineRule="auto"/>
              <w:jc w:val="center"/>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016415">
              <w:rPr>
                <w:rFonts w:ascii="Verdana" w:hAnsi="Verdana" w:eastAsia="Times New Roman" w:cs="Arial"/>
                <w:sz w:val="18"/>
                <w:szCs w:val="18"/>
                <w:lang w:val="es-CO"/>
              </w:rPr>
              <w:t>42</w:t>
            </w:r>
          </w:p>
        </w:tc>
        <w:tc>
          <w:tcPr>
            <w:tcW w:w="891" w:type="pct"/>
            <w:shd w:val="clear" w:color="auto" w:fill="FFFFFF" w:themeFill="background1"/>
            <w:vAlign w:val="center"/>
            <w:hideMark/>
          </w:tcPr>
          <w:p w:rsidRPr="00016415" w:rsidR="00016415" w:rsidRDefault="00016415" w14:paraId="14E5FD6B" w14:textId="77777777">
            <w:pPr>
              <w:spacing w:line="360" w:lineRule="auto"/>
              <w:jc w:val="center"/>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016415">
              <w:rPr>
                <w:rFonts w:ascii="Verdana" w:hAnsi="Verdana" w:eastAsia="Times New Roman" w:cs="Arial"/>
                <w:b/>
                <w:bCs/>
                <w:sz w:val="18"/>
                <w:szCs w:val="18"/>
                <w:lang w:val="es-CO"/>
              </w:rPr>
              <w:t>105</w:t>
            </w:r>
          </w:p>
        </w:tc>
        <w:tc>
          <w:tcPr>
            <w:tcW w:w="1041" w:type="pct"/>
            <w:shd w:val="clear" w:color="auto" w:fill="FFFFFF" w:themeFill="background1"/>
            <w:vAlign w:val="center"/>
            <w:hideMark/>
          </w:tcPr>
          <w:p w:rsidRPr="00016415" w:rsidR="00016415" w:rsidRDefault="00016415" w14:paraId="5637C03F" w14:textId="77777777">
            <w:pPr>
              <w:spacing w:line="360" w:lineRule="auto"/>
              <w:jc w:val="center"/>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016415">
              <w:rPr>
                <w:rFonts w:ascii="Verdana" w:hAnsi="Verdana" w:eastAsia="Times New Roman" w:cs="Arial"/>
                <w:sz w:val="18"/>
                <w:szCs w:val="18"/>
                <w:lang w:val="es-CO"/>
              </w:rPr>
              <w:t>48</w:t>
            </w:r>
          </w:p>
        </w:tc>
        <w:tc>
          <w:tcPr>
            <w:tcW w:w="1001" w:type="pct"/>
            <w:shd w:val="clear" w:color="auto" w:fill="FFFFFF" w:themeFill="background1"/>
            <w:vAlign w:val="center"/>
            <w:hideMark/>
          </w:tcPr>
          <w:p w:rsidRPr="00016415" w:rsidR="00016415" w:rsidRDefault="00016415" w14:paraId="33D70A94" w14:textId="77777777">
            <w:pPr>
              <w:spacing w:line="360" w:lineRule="auto"/>
              <w:jc w:val="center"/>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016415">
              <w:rPr>
                <w:rFonts w:ascii="Verdana" w:hAnsi="Verdana" w:eastAsia="Times New Roman" w:cs="Arial"/>
                <w:b/>
                <w:bCs/>
                <w:sz w:val="18"/>
                <w:szCs w:val="18"/>
                <w:lang w:val="es-CO"/>
              </w:rPr>
              <w:t>153</w:t>
            </w:r>
          </w:p>
        </w:tc>
      </w:tr>
    </w:tbl>
    <w:p w:rsidR="00016415" w:rsidP="180099B3" w:rsidRDefault="4DFFB02E" w14:paraId="12D07722" w14:textId="77777777">
      <w:pPr>
        <w:spacing w:after="0" w:line="360" w:lineRule="auto"/>
        <w:jc w:val="center"/>
        <w:rPr>
          <w:rFonts w:ascii="Verdana" w:hAnsi="Verdana"/>
          <w:sz w:val="18"/>
          <w:szCs w:val="18"/>
        </w:rPr>
      </w:pPr>
      <w:r w:rsidRPr="180099B3">
        <w:rPr>
          <w:rFonts w:ascii="Verdana" w:hAnsi="Verdana"/>
          <w:sz w:val="18"/>
          <w:szCs w:val="18"/>
        </w:rPr>
        <w:t>Fuente: Oficina de Asuntos Ambientales y Sociales - OAAS</w:t>
      </w:r>
    </w:p>
    <w:p w:rsidR="180099B3" w:rsidP="006A0A13" w:rsidRDefault="180099B3" w14:paraId="627720D3" w14:textId="77777777">
      <w:pPr>
        <w:spacing w:after="0" w:line="360" w:lineRule="auto"/>
        <w:jc w:val="both"/>
        <w:rPr>
          <w:rFonts w:ascii="Verdana" w:hAnsi="Verdana"/>
          <w:b/>
          <w:bCs/>
          <w:sz w:val="24"/>
          <w:szCs w:val="24"/>
        </w:rPr>
      </w:pPr>
    </w:p>
    <w:p w:rsidRPr="00016415" w:rsidR="00016415" w:rsidP="006A0A13" w:rsidRDefault="25D34C35" w14:paraId="0F3337D1" w14:textId="77777777">
      <w:pPr>
        <w:spacing w:after="0" w:line="360" w:lineRule="auto"/>
        <w:jc w:val="both"/>
        <w:rPr>
          <w:rFonts w:ascii="Verdana" w:hAnsi="Verdana"/>
          <w:b/>
          <w:bCs/>
          <w:sz w:val="24"/>
          <w:szCs w:val="24"/>
        </w:rPr>
      </w:pPr>
      <w:r w:rsidRPr="180099B3">
        <w:rPr>
          <w:rFonts w:ascii="Verdana" w:hAnsi="Verdana"/>
          <w:b/>
          <w:bCs/>
          <w:sz w:val="24"/>
          <w:szCs w:val="24"/>
        </w:rPr>
        <w:t>Atención a Conflictos Sociales en el Sector de los Hidrocarburos</w:t>
      </w:r>
    </w:p>
    <w:p w:rsidR="180099B3" w:rsidP="006A0A13" w:rsidRDefault="180099B3" w14:paraId="3AF0F563" w14:textId="77777777">
      <w:pPr>
        <w:spacing w:after="0" w:line="360" w:lineRule="auto"/>
        <w:jc w:val="both"/>
        <w:rPr>
          <w:rFonts w:ascii="Verdana" w:hAnsi="Verdana"/>
          <w:sz w:val="24"/>
          <w:szCs w:val="24"/>
        </w:rPr>
      </w:pPr>
    </w:p>
    <w:p w:rsidRPr="00016415" w:rsidR="00016415" w:rsidP="006A0A13" w:rsidRDefault="00016415" w14:paraId="4902B41A" w14:textId="77777777">
      <w:pPr>
        <w:spacing w:after="0" w:line="360" w:lineRule="auto"/>
        <w:jc w:val="both"/>
        <w:rPr>
          <w:rFonts w:ascii="Verdana" w:hAnsi="Verdana"/>
          <w:sz w:val="24"/>
          <w:szCs w:val="24"/>
        </w:rPr>
      </w:pPr>
      <w:r w:rsidRPr="00016415">
        <w:rPr>
          <w:rFonts w:ascii="Verdana" w:hAnsi="Verdana"/>
          <w:sz w:val="24"/>
          <w:szCs w:val="24"/>
        </w:rPr>
        <w:t xml:space="preserve">Se fortalecieron las estrategias de diálogo social y atención preventiva de conflictividades en territorios con presencia de hidrocarburos, mediante </w:t>
      </w:r>
      <w:r w:rsidRPr="00016415">
        <w:rPr>
          <w:rFonts w:ascii="Verdana" w:hAnsi="Verdana"/>
          <w:sz w:val="24"/>
          <w:szCs w:val="24"/>
        </w:rPr>
        <w:t>la implementación de la ERT “Enraizar la Vida” y la Estrategia Territorial de Hidrocarburos (ETH), logrando mayor coordinación institucional, la construcción de acuerdos y el fortalecimiento de la gobernanza territorial en el marco de la Transición Energética Justa (TEJ) con enfoque territorial y de derechos humanos.</w:t>
      </w:r>
    </w:p>
    <w:p w:rsidR="00016415" w:rsidP="006A0A13" w:rsidRDefault="00016415" w14:paraId="07C41AD2" w14:textId="77777777">
      <w:pPr>
        <w:spacing w:after="0" w:line="360" w:lineRule="auto"/>
        <w:jc w:val="both"/>
        <w:rPr>
          <w:rFonts w:ascii="Verdana" w:hAnsi="Verdana"/>
          <w:sz w:val="24"/>
          <w:szCs w:val="24"/>
        </w:rPr>
      </w:pPr>
    </w:p>
    <w:p w:rsidR="00016415" w:rsidP="006A0A13" w:rsidRDefault="11708C6B" w14:paraId="450E8D1D" w14:textId="722388E6">
      <w:pPr>
        <w:spacing w:after="0" w:line="360" w:lineRule="auto"/>
        <w:jc w:val="both"/>
        <w:rPr>
          <w:rFonts w:ascii="Verdana" w:hAnsi="Verdana"/>
          <w:sz w:val="24"/>
          <w:szCs w:val="24"/>
        </w:rPr>
      </w:pPr>
      <w:r w:rsidRPr="0FF05B1B">
        <w:rPr>
          <w:rFonts w:ascii="Verdana" w:hAnsi="Verdana"/>
          <w:sz w:val="24"/>
          <w:szCs w:val="24"/>
        </w:rPr>
        <w:t>Hito 1. ERT “Enraizar la Vida”</w:t>
      </w:r>
      <w:r w:rsidRPr="0FF05B1B" w:rsidR="53220CC3">
        <w:rPr>
          <w:rFonts w:ascii="Verdana" w:hAnsi="Verdana"/>
          <w:sz w:val="24"/>
          <w:szCs w:val="24"/>
        </w:rPr>
        <w:t xml:space="preserve">: </w:t>
      </w:r>
      <w:r w:rsidRPr="0FF05B1B">
        <w:rPr>
          <w:rFonts w:ascii="Verdana" w:hAnsi="Verdana"/>
          <w:sz w:val="24"/>
          <w:szCs w:val="24"/>
        </w:rPr>
        <w:t>Se consolidó la Estrategia de Relacionamiento Territorial (ERT) “Enraizar la Vida” como herramienta para la prevención y transformación de los conflictos, coordinando la participación comunitaria, para lograr justicia social y gobernanza territorial mediante rutas operativas de diálogo social y atención preventiva.</w:t>
      </w:r>
    </w:p>
    <w:p w:rsidR="180099B3" w:rsidP="006A0A13" w:rsidRDefault="180099B3" w14:paraId="5A486B99" w14:textId="77777777">
      <w:pPr>
        <w:spacing w:after="0" w:line="360" w:lineRule="auto"/>
        <w:jc w:val="both"/>
        <w:rPr>
          <w:rFonts w:ascii="Verdana" w:hAnsi="Verdana"/>
          <w:sz w:val="24"/>
          <w:szCs w:val="24"/>
        </w:rPr>
      </w:pPr>
    </w:p>
    <w:p w:rsidRPr="00016415" w:rsidR="00016415" w:rsidP="006A0A13" w:rsidRDefault="11708C6B" w14:paraId="7769F8EB" w14:textId="0D9A96C5">
      <w:pPr>
        <w:spacing w:after="0" w:line="360" w:lineRule="auto"/>
        <w:jc w:val="both"/>
        <w:rPr>
          <w:rFonts w:ascii="Verdana" w:hAnsi="Verdana"/>
          <w:sz w:val="24"/>
          <w:szCs w:val="24"/>
        </w:rPr>
      </w:pPr>
      <w:r w:rsidRPr="0FF05B1B">
        <w:rPr>
          <w:rFonts w:ascii="Verdana" w:hAnsi="Verdana"/>
          <w:sz w:val="24"/>
          <w:szCs w:val="24"/>
        </w:rPr>
        <w:t>Hito 2. Estrategia de Concertación Social</w:t>
      </w:r>
      <w:r w:rsidRPr="0FF05B1B" w:rsidR="4BCA2672">
        <w:rPr>
          <w:rFonts w:ascii="Verdana" w:hAnsi="Verdana"/>
          <w:sz w:val="24"/>
          <w:szCs w:val="24"/>
        </w:rPr>
        <w:t xml:space="preserve">: </w:t>
      </w:r>
      <w:r w:rsidRPr="0FF05B1B">
        <w:rPr>
          <w:rFonts w:ascii="Verdana" w:hAnsi="Verdana"/>
          <w:sz w:val="24"/>
          <w:szCs w:val="24"/>
        </w:rPr>
        <w:t>Se implementó la estrategia de Concertación Social en Zonas de Hidrocarburos en ocho (8) municipios de Casanare (Maní, Tauramena, Yopal, Aguazul, Paz de Ariporo, Villanueva, Nunchía y San Luis de Palenque), promoviendo escenarios de concertación entre comunidades, empresas y entidades territoriales para construir acuerdos y fortalecer la gestión de los conflictos en el territorio.</w:t>
      </w:r>
    </w:p>
    <w:p w:rsidR="00016415" w:rsidP="006A0A13" w:rsidRDefault="00016415" w14:paraId="377F4516" w14:textId="77777777">
      <w:pPr>
        <w:spacing w:after="0" w:line="360" w:lineRule="auto"/>
        <w:jc w:val="both"/>
        <w:rPr>
          <w:rFonts w:ascii="Verdana" w:hAnsi="Verdana"/>
          <w:sz w:val="24"/>
          <w:szCs w:val="24"/>
        </w:rPr>
      </w:pPr>
    </w:p>
    <w:p w:rsidRPr="00016415" w:rsidR="00016415" w:rsidP="006A0A13" w:rsidRDefault="11708C6B" w14:paraId="55B78578" w14:textId="5A9DEF8A">
      <w:pPr>
        <w:spacing w:after="0" w:line="360" w:lineRule="auto"/>
        <w:jc w:val="both"/>
        <w:rPr>
          <w:rFonts w:ascii="Verdana" w:hAnsi="Verdana"/>
          <w:sz w:val="24"/>
          <w:szCs w:val="24"/>
        </w:rPr>
      </w:pPr>
      <w:r w:rsidRPr="0FF05B1B">
        <w:rPr>
          <w:rFonts w:ascii="Verdana" w:hAnsi="Verdana"/>
          <w:sz w:val="24"/>
          <w:szCs w:val="24"/>
        </w:rPr>
        <w:t>Hito 3. ETH</w:t>
      </w:r>
      <w:r w:rsidRPr="0FF05B1B" w:rsidR="4A36B327">
        <w:rPr>
          <w:rFonts w:ascii="Verdana" w:hAnsi="Verdana"/>
          <w:sz w:val="24"/>
          <w:szCs w:val="24"/>
        </w:rPr>
        <w:t xml:space="preserve">: </w:t>
      </w:r>
      <w:r w:rsidRPr="0FF05B1B">
        <w:rPr>
          <w:rFonts w:ascii="Verdana" w:hAnsi="Verdana"/>
          <w:sz w:val="24"/>
          <w:szCs w:val="24"/>
        </w:rPr>
        <w:t xml:space="preserve">Se fortaleció la Estrategia Territorial de Hidrocarburos (ETH) en articulación con la Agencia Nacional de Hidrocarburos (ANH) y entidades nacionales, desarrollando acciones preventivas, fortalecimiento de capacidades y coordinación institucional para la atención temprana de conflictividades en regiones productoras. </w:t>
      </w:r>
    </w:p>
    <w:p w:rsidR="00016415" w:rsidP="006A0A13" w:rsidRDefault="00016415" w14:paraId="7C882EF9" w14:textId="77777777">
      <w:pPr>
        <w:spacing w:after="0" w:line="360" w:lineRule="auto"/>
        <w:jc w:val="both"/>
        <w:rPr>
          <w:rFonts w:ascii="Verdana" w:hAnsi="Verdana"/>
          <w:sz w:val="24"/>
          <w:szCs w:val="24"/>
        </w:rPr>
      </w:pPr>
    </w:p>
    <w:p w:rsidRPr="00016415" w:rsidR="00016415" w:rsidP="006A0A13" w:rsidRDefault="11708C6B" w14:paraId="1446D491" w14:textId="41219267">
      <w:pPr>
        <w:spacing w:after="0" w:line="360" w:lineRule="auto"/>
        <w:jc w:val="both"/>
        <w:rPr>
          <w:rFonts w:ascii="Verdana" w:hAnsi="Verdana"/>
          <w:sz w:val="24"/>
          <w:szCs w:val="24"/>
        </w:rPr>
      </w:pPr>
      <w:r w:rsidRPr="0FF05B1B">
        <w:rPr>
          <w:rFonts w:ascii="Verdana" w:hAnsi="Verdana"/>
          <w:sz w:val="24"/>
          <w:szCs w:val="24"/>
        </w:rPr>
        <w:t>Hito 4. Mesas Meta y Casanare</w:t>
      </w:r>
      <w:r w:rsidRPr="0FF05B1B" w:rsidR="27B4B8B0">
        <w:rPr>
          <w:rFonts w:ascii="Verdana" w:hAnsi="Verdana"/>
          <w:sz w:val="24"/>
          <w:szCs w:val="24"/>
        </w:rPr>
        <w:t xml:space="preserve">:  </w:t>
      </w:r>
      <w:r w:rsidRPr="0FF05B1B">
        <w:rPr>
          <w:rFonts w:ascii="Verdana" w:hAnsi="Verdana"/>
          <w:sz w:val="24"/>
          <w:szCs w:val="24"/>
        </w:rPr>
        <w:t xml:space="preserve">e avanzó en la Mesa de Concertación de Gas de Meta y Casanare, facilitando acuerdos para garantizar el abastecimiento de gas natural, mejorar condiciones tarifarias y atender la </w:t>
      </w:r>
      <w:r w:rsidRPr="0FF05B1B">
        <w:rPr>
          <w:rFonts w:ascii="Verdana" w:hAnsi="Verdana"/>
          <w:sz w:val="24"/>
          <w:szCs w:val="24"/>
        </w:rPr>
        <w:t>demanda esencial mediante medidas regulatorias y mesas técnicas de seguimiento.</w:t>
      </w:r>
    </w:p>
    <w:p w:rsidR="00016415" w:rsidP="006A0A13" w:rsidRDefault="00016415" w14:paraId="7C556AE1" w14:textId="77777777">
      <w:pPr>
        <w:spacing w:after="0" w:line="360" w:lineRule="auto"/>
        <w:jc w:val="both"/>
        <w:rPr>
          <w:rFonts w:ascii="Verdana" w:hAnsi="Verdana"/>
          <w:sz w:val="24"/>
          <w:szCs w:val="24"/>
        </w:rPr>
      </w:pPr>
    </w:p>
    <w:p w:rsidRPr="00016415" w:rsidR="00016415" w:rsidP="006A0A13" w:rsidRDefault="11708C6B" w14:paraId="2F9CD92D" w14:textId="65B28D7F">
      <w:pPr>
        <w:spacing w:after="0" w:line="360" w:lineRule="auto"/>
        <w:jc w:val="both"/>
        <w:rPr>
          <w:rFonts w:ascii="Verdana" w:hAnsi="Verdana"/>
          <w:sz w:val="24"/>
          <w:szCs w:val="24"/>
        </w:rPr>
      </w:pPr>
      <w:r w:rsidRPr="0FF05B1B">
        <w:rPr>
          <w:rFonts w:ascii="Verdana" w:hAnsi="Verdana"/>
          <w:sz w:val="24"/>
          <w:szCs w:val="24"/>
        </w:rPr>
        <w:t>Hito 5. Fallo Pueblo U’wa</w:t>
      </w:r>
      <w:r w:rsidRPr="0FF05B1B" w:rsidR="54836E59">
        <w:rPr>
          <w:rFonts w:ascii="Verdana" w:hAnsi="Verdana"/>
          <w:sz w:val="24"/>
          <w:szCs w:val="24"/>
        </w:rPr>
        <w:t xml:space="preserve">: </w:t>
      </w:r>
      <w:r w:rsidRPr="0FF05B1B">
        <w:rPr>
          <w:rFonts w:ascii="Verdana" w:hAnsi="Verdana"/>
          <w:sz w:val="24"/>
          <w:szCs w:val="24"/>
        </w:rPr>
        <w:t>Se inició la implementación del Fallo de la Corte Interamericana de Derechos Humanos (CIDH) a favor del pueblo U’wa, utilizando la ERT como mecanismo de articulación institucional y diálogo intercultural para avanzar en el cumplimiento de las órdenes relacionadas con consulta previa, protección territorial y derechos culturales.</w:t>
      </w:r>
    </w:p>
    <w:p w:rsidR="00016415" w:rsidP="006A0A13" w:rsidRDefault="00016415" w14:paraId="2F446AA4" w14:textId="77777777">
      <w:pPr>
        <w:spacing w:after="0" w:line="360" w:lineRule="auto"/>
        <w:jc w:val="both"/>
        <w:rPr>
          <w:rFonts w:ascii="Verdana" w:hAnsi="Verdana"/>
          <w:sz w:val="24"/>
          <w:szCs w:val="24"/>
        </w:rPr>
      </w:pPr>
    </w:p>
    <w:p w:rsidR="00016415" w:rsidP="006A0A13" w:rsidRDefault="00016415" w14:paraId="6EBBE081" w14:textId="77777777">
      <w:pPr>
        <w:spacing w:after="0" w:line="360" w:lineRule="auto"/>
        <w:jc w:val="both"/>
        <w:rPr>
          <w:rFonts w:ascii="Verdana" w:hAnsi="Verdana"/>
          <w:sz w:val="24"/>
          <w:szCs w:val="24"/>
        </w:rPr>
      </w:pPr>
      <w:r w:rsidRPr="00016415">
        <w:rPr>
          <w:rFonts w:ascii="Verdana" w:hAnsi="Verdana"/>
          <w:sz w:val="24"/>
          <w:szCs w:val="24"/>
        </w:rPr>
        <w:t>En el marco de la Estrategia de Relacionamiento Territorial, se gestiona en diferentes atenciones a conflictos en los territorios en los siguientes espacios:</w:t>
      </w:r>
    </w:p>
    <w:p w:rsidRPr="00016415" w:rsidR="00016415" w:rsidP="006A0A13" w:rsidRDefault="00016415" w14:paraId="38A0A748" w14:textId="77777777">
      <w:pPr>
        <w:spacing w:after="0" w:line="360" w:lineRule="auto"/>
        <w:jc w:val="both"/>
        <w:rPr>
          <w:rFonts w:ascii="Verdana" w:hAnsi="Verdana"/>
          <w:sz w:val="18"/>
          <w:szCs w:val="18"/>
        </w:rPr>
      </w:pPr>
    </w:p>
    <w:p w:rsidRPr="00016415" w:rsidR="00016415" w:rsidP="005D4836" w:rsidRDefault="25D34C35" w14:paraId="063E36B9" w14:textId="77777777">
      <w:pPr>
        <w:spacing w:after="0" w:line="240" w:lineRule="auto"/>
        <w:jc w:val="center"/>
        <w:rPr>
          <w:rFonts w:ascii="Verdana" w:hAnsi="Verdana" w:eastAsia="Times New Roman" w:cs="Arial"/>
          <w:sz w:val="18"/>
          <w:szCs w:val="18"/>
        </w:rPr>
      </w:pPr>
      <w:r w:rsidRPr="180099B3">
        <w:rPr>
          <w:rFonts w:ascii="Verdana" w:hAnsi="Verdana" w:eastAsia="Times New Roman" w:cs="Arial"/>
          <w:sz w:val="18"/>
          <w:szCs w:val="18"/>
        </w:rPr>
        <w:t>Tabla No.</w:t>
      </w:r>
      <w:r w:rsidRPr="180099B3" w:rsidR="5BA3E03E">
        <w:rPr>
          <w:rFonts w:ascii="Verdana" w:hAnsi="Verdana" w:eastAsia="Times New Roman" w:cs="Arial"/>
          <w:sz w:val="18"/>
          <w:szCs w:val="18"/>
        </w:rPr>
        <w:t xml:space="preserve"> 66</w:t>
      </w:r>
      <w:r w:rsidRPr="180099B3">
        <w:rPr>
          <w:rFonts w:ascii="Verdana" w:hAnsi="Verdana" w:eastAsia="Times New Roman" w:cs="Arial"/>
          <w:sz w:val="18"/>
          <w:szCs w:val="18"/>
        </w:rPr>
        <w:t>. Conflictos Atendidos en el sector de Hidrocarburos.</w:t>
      </w:r>
    </w:p>
    <w:tbl>
      <w:tblPr>
        <w:tblStyle w:val="Tablaconcuadrcula4-nfasis6"/>
        <w:tblW w:w="5000" w:type="pct"/>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ook w:val="04A0" w:firstRow="1" w:lastRow="0" w:firstColumn="1" w:lastColumn="0" w:noHBand="0" w:noVBand="1"/>
      </w:tblPr>
      <w:tblGrid>
        <w:gridCol w:w="1484"/>
        <w:gridCol w:w="1824"/>
        <w:gridCol w:w="1299"/>
        <w:gridCol w:w="1247"/>
        <w:gridCol w:w="2974"/>
      </w:tblGrid>
      <w:tr w:rsidRPr="00016415" w:rsidR="00016415" w:rsidTr="180099B3" w14:paraId="604FBD1A"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33" w:type="pct"/>
            <w:tcBorders>
              <w:top w:val="none" w:color="auto" w:sz="0" w:space="0"/>
              <w:left w:val="none" w:color="auto" w:sz="0" w:space="0"/>
              <w:bottom w:val="none" w:color="auto" w:sz="0" w:space="0"/>
              <w:right w:val="none" w:color="auto" w:sz="0" w:space="0"/>
            </w:tcBorders>
            <w:shd w:val="clear" w:color="auto" w:fill="A6A6A6" w:themeFill="background1" w:themeFillShade="A6"/>
            <w:vAlign w:val="center"/>
            <w:hideMark/>
          </w:tcPr>
          <w:p w:rsidRPr="00016415" w:rsidR="00016415" w:rsidP="00016415" w:rsidRDefault="00016415" w14:paraId="1BC60836" w14:textId="77777777">
            <w:pPr>
              <w:jc w:val="center"/>
              <w:rPr>
                <w:rFonts w:ascii="Verdana" w:hAnsi="Verdana" w:eastAsia="Times New Roman" w:cs="Arial"/>
                <w:color w:val="auto"/>
                <w:sz w:val="18"/>
                <w:szCs w:val="18"/>
                <w:lang w:val="es-CO"/>
              </w:rPr>
            </w:pPr>
            <w:r w:rsidRPr="00016415">
              <w:rPr>
                <w:rFonts w:ascii="Verdana" w:hAnsi="Verdana" w:eastAsia="Times New Roman" w:cs="Arial"/>
                <w:color w:val="auto"/>
                <w:sz w:val="18"/>
                <w:szCs w:val="18"/>
                <w:lang w:val="es-CO"/>
              </w:rPr>
              <w:t>Subsector</w:t>
            </w:r>
          </w:p>
        </w:tc>
        <w:tc>
          <w:tcPr>
            <w:tcW w:w="871" w:type="pct"/>
            <w:tcBorders>
              <w:top w:val="none" w:color="auto" w:sz="0" w:space="0"/>
              <w:left w:val="none" w:color="auto" w:sz="0" w:space="0"/>
              <w:bottom w:val="none" w:color="auto" w:sz="0" w:space="0"/>
              <w:right w:val="none" w:color="auto" w:sz="0" w:space="0"/>
            </w:tcBorders>
            <w:shd w:val="clear" w:color="auto" w:fill="A6A6A6" w:themeFill="background1" w:themeFillShade="A6"/>
            <w:vAlign w:val="center"/>
            <w:hideMark/>
          </w:tcPr>
          <w:p w:rsidRPr="00016415" w:rsidR="00016415" w:rsidP="00016415" w:rsidRDefault="00016415" w14:paraId="1735D184" w14:textId="77777777">
            <w:pPr>
              <w:jc w:val="center"/>
              <w:cnfStyle w:val="100000000000" w:firstRow="1" w:lastRow="0" w:firstColumn="0" w:lastColumn="0" w:oddVBand="0" w:evenVBand="0" w:oddHBand="0" w:evenHBand="0" w:firstRowFirstColumn="0" w:firstRowLastColumn="0" w:lastRowFirstColumn="0" w:lastRowLastColumn="0"/>
              <w:rPr>
                <w:rFonts w:ascii="Verdana" w:hAnsi="Verdana" w:eastAsia="Times New Roman" w:cs="Arial"/>
                <w:color w:val="auto"/>
                <w:sz w:val="18"/>
                <w:szCs w:val="18"/>
                <w:lang w:val="es-CO"/>
              </w:rPr>
            </w:pPr>
            <w:r w:rsidRPr="00016415">
              <w:rPr>
                <w:rFonts w:ascii="Verdana" w:hAnsi="Verdana" w:eastAsia="Times New Roman" w:cs="Arial"/>
                <w:color w:val="auto"/>
                <w:sz w:val="18"/>
                <w:szCs w:val="18"/>
                <w:lang w:val="es-CO"/>
              </w:rPr>
              <w:t>Conflictividades atendidas</w:t>
            </w:r>
          </w:p>
        </w:tc>
        <w:tc>
          <w:tcPr>
            <w:tcW w:w="798" w:type="pct"/>
            <w:tcBorders>
              <w:top w:val="none" w:color="auto" w:sz="0" w:space="0"/>
              <w:left w:val="none" w:color="auto" w:sz="0" w:space="0"/>
              <w:bottom w:val="none" w:color="auto" w:sz="0" w:space="0"/>
              <w:right w:val="none" w:color="auto" w:sz="0" w:space="0"/>
            </w:tcBorders>
            <w:shd w:val="clear" w:color="auto" w:fill="A6A6A6" w:themeFill="background1" w:themeFillShade="A6"/>
            <w:vAlign w:val="center"/>
            <w:hideMark/>
          </w:tcPr>
          <w:p w:rsidRPr="00016415" w:rsidR="00016415" w:rsidP="00016415" w:rsidRDefault="00016415" w14:paraId="06B37CE3" w14:textId="77777777">
            <w:pPr>
              <w:jc w:val="center"/>
              <w:cnfStyle w:val="100000000000" w:firstRow="1" w:lastRow="0" w:firstColumn="0" w:lastColumn="0" w:oddVBand="0" w:evenVBand="0" w:oddHBand="0" w:evenHBand="0" w:firstRowFirstColumn="0" w:firstRowLastColumn="0" w:lastRowFirstColumn="0" w:lastRowLastColumn="0"/>
              <w:rPr>
                <w:rFonts w:ascii="Verdana" w:hAnsi="Verdana" w:eastAsia="Times New Roman" w:cs="Arial"/>
                <w:color w:val="auto"/>
                <w:sz w:val="18"/>
                <w:szCs w:val="18"/>
                <w:lang w:val="es-CO"/>
              </w:rPr>
            </w:pPr>
            <w:r w:rsidRPr="00016415">
              <w:rPr>
                <w:rFonts w:ascii="Verdana" w:hAnsi="Verdana" w:eastAsia="Times New Roman" w:cs="Arial"/>
                <w:color w:val="auto"/>
                <w:sz w:val="18"/>
                <w:szCs w:val="18"/>
                <w:lang w:val="es-CO"/>
              </w:rPr>
              <w:t>Alertas tempranas atendidas</w:t>
            </w:r>
          </w:p>
        </w:tc>
        <w:tc>
          <w:tcPr>
            <w:tcW w:w="890" w:type="pct"/>
            <w:tcBorders>
              <w:top w:val="none" w:color="auto" w:sz="0" w:space="0"/>
              <w:left w:val="none" w:color="auto" w:sz="0" w:space="0"/>
              <w:bottom w:val="none" w:color="auto" w:sz="0" w:space="0"/>
              <w:right w:val="none" w:color="auto" w:sz="0" w:space="0"/>
            </w:tcBorders>
            <w:shd w:val="clear" w:color="auto" w:fill="A6A6A6" w:themeFill="background1" w:themeFillShade="A6"/>
            <w:vAlign w:val="center"/>
            <w:hideMark/>
          </w:tcPr>
          <w:p w:rsidRPr="00016415" w:rsidR="00016415" w:rsidP="00016415" w:rsidRDefault="00016415" w14:paraId="2ECAD254" w14:textId="77777777">
            <w:pPr>
              <w:jc w:val="center"/>
              <w:cnfStyle w:val="100000000000" w:firstRow="1" w:lastRow="0" w:firstColumn="0" w:lastColumn="0" w:oddVBand="0" w:evenVBand="0" w:oddHBand="0" w:evenHBand="0" w:firstRowFirstColumn="0" w:firstRowLastColumn="0" w:lastRowFirstColumn="0" w:lastRowLastColumn="0"/>
              <w:rPr>
                <w:rFonts w:ascii="Verdana" w:hAnsi="Verdana" w:eastAsia="Times New Roman" w:cs="Arial"/>
                <w:color w:val="auto"/>
                <w:sz w:val="18"/>
                <w:szCs w:val="18"/>
                <w:lang w:val="es-CO"/>
              </w:rPr>
            </w:pPr>
            <w:r w:rsidRPr="00016415">
              <w:rPr>
                <w:rFonts w:ascii="Verdana" w:hAnsi="Verdana" w:eastAsia="Times New Roman" w:cs="Arial"/>
                <w:color w:val="auto"/>
                <w:sz w:val="18"/>
                <w:szCs w:val="18"/>
                <w:lang w:val="es-CO"/>
              </w:rPr>
              <w:t>Total espacios / registros atendidos</w:t>
            </w:r>
          </w:p>
        </w:tc>
        <w:tc>
          <w:tcPr>
            <w:tcW w:w="1807" w:type="pct"/>
            <w:tcBorders>
              <w:top w:val="none" w:color="auto" w:sz="0" w:space="0"/>
              <w:left w:val="none" w:color="auto" w:sz="0" w:space="0"/>
              <w:bottom w:val="none" w:color="auto" w:sz="0" w:space="0"/>
              <w:right w:val="none" w:color="auto" w:sz="0" w:space="0"/>
            </w:tcBorders>
            <w:shd w:val="clear" w:color="auto" w:fill="A6A6A6" w:themeFill="background1" w:themeFillShade="A6"/>
            <w:vAlign w:val="center"/>
            <w:hideMark/>
          </w:tcPr>
          <w:p w:rsidRPr="00016415" w:rsidR="00016415" w:rsidP="00016415" w:rsidRDefault="00016415" w14:paraId="35F3AD65" w14:textId="77777777">
            <w:pPr>
              <w:jc w:val="center"/>
              <w:cnfStyle w:val="100000000000" w:firstRow="1" w:lastRow="0" w:firstColumn="0" w:lastColumn="0" w:oddVBand="0" w:evenVBand="0" w:oddHBand="0" w:evenHBand="0" w:firstRowFirstColumn="0" w:firstRowLastColumn="0" w:lastRowFirstColumn="0" w:lastRowLastColumn="0"/>
              <w:rPr>
                <w:rFonts w:ascii="Verdana" w:hAnsi="Verdana" w:eastAsia="Times New Roman" w:cs="Arial"/>
                <w:color w:val="auto"/>
                <w:sz w:val="18"/>
                <w:szCs w:val="18"/>
                <w:lang w:val="es-CO"/>
              </w:rPr>
            </w:pPr>
            <w:r w:rsidRPr="00016415">
              <w:rPr>
                <w:rFonts w:ascii="Verdana" w:hAnsi="Verdana" w:eastAsia="Times New Roman" w:cs="Arial"/>
                <w:color w:val="auto"/>
                <w:sz w:val="18"/>
                <w:szCs w:val="18"/>
                <w:lang w:val="es-CO"/>
              </w:rPr>
              <w:t>Contexto principal</w:t>
            </w:r>
          </w:p>
        </w:tc>
      </w:tr>
      <w:tr w:rsidRPr="00016415" w:rsidR="00016415" w:rsidTr="180099B3" w14:paraId="75EB6A4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33" w:type="pct"/>
            <w:shd w:val="clear" w:color="auto" w:fill="auto"/>
            <w:vAlign w:val="center"/>
            <w:hideMark/>
          </w:tcPr>
          <w:p w:rsidRPr="00016415" w:rsidR="00016415" w:rsidP="00016415" w:rsidRDefault="00016415" w14:paraId="6E167E3C" w14:textId="77777777">
            <w:pPr>
              <w:jc w:val="both"/>
              <w:rPr>
                <w:rFonts w:ascii="Verdana" w:hAnsi="Verdana" w:eastAsia="Times New Roman" w:cs="Arial"/>
                <w:b w:val="0"/>
                <w:bCs w:val="0"/>
                <w:sz w:val="18"/>
                <w:szCs w:val="18"/>
                <w:lang w:val="es-CO"/>
              </w:rPr>
            </w:pPr>
            <w:r w:rsidRPr="00016415">
              <w:rPr>
                <w:rFonts w:ascii="Verdana" w:hAnsi="Verdana" w:eastAsia="Times New Roman" w:cs="Arial"/>
                <w:b w:val="0"/>
                <w:bCs w:val="0"/>
                <w:sz w:val="18"/>
                <w:szCs w:val="18"/>
                <w:lang w:val="es-CO"/>
              </w:rPr>
              <w:t>Hidrocarburos</w:t>
            </w:r>
          </w:p>
        </w:tc>
        <w:tc>
          <w:tcPr>
            <w:tcW w:w="871" w:type="pct"/>
            <w:shd w:val="clear" w:color="auto" w:fill="auto"/>
            <w:vAlign w:val="center"/>
            <w:hideMark/>
          </w:tcPr>
          <w:p w:rsidRPr="00016415" w:rsidR="00016415" w:rsidP="00016415" w:rsidRDefault="00016415" w14:paraId="6FF5C44C" w14:textId="77777777">
            <w:pPr>
              <w:jc w:val="center"/>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016415">
              <w:rPr>
                <w:rFonts w:ascii="Verdana" w:hAnsi="Verdana" w:eastAsia="Times New Roman" w:cs="Arial"/>
                <w:sz w:val="18"/>
                <w:szCs w:val="18"/>
                <w:lang w:val="es-CO"/>
              </w:rPr>
              <w:t>184</w:t>
            </w:r>
          </w:p>
        </w:tc>
        <w:tc>
          <w:tcPr>
            <w:tcW w:w="798" w:type="pct"/>
            <w:shd w:val="clear" w:color="auto" w:fill="auto"/>
            <w:vAlign w:val="center"/>
            <w:hideMark/>
          </w:tcPr>
          <w:p w:rsidRPr="00016415" w:rsidR="00016415" w:rsidP="00016415" w:rsidRDefault="00016415" w14:paraId="4278853B" w14:textId="77777777">
            <w:pPr>
              <w:jc w:val="center"/>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016415">
              <w:rPr>
                <w:rFonts w:ascii="Verdana" w:hAnsi="Verdana" w:eastAsia="Times New Roman" w:cs="Arial"/>
                <w:sz w:val="18"/>
                <w:szCs w:val="18"/>
                <w:lang w:val="es-CO"/>
              </w:rPr>
              <w:t>87</w:t>
            </w:r>
          </w:p>
        </w:tc>
        <w:tc>
          <w:tcPr>
            <w:tcW w:w="890" w:type="pct"/>
            <w:shd w:val="clear" w:color="auto" w:fill="auto"/>
            <w:vAlign w:val="center"/>
            <w:hideMark/>
          </w:tcPr>
          <w:p w:rsidRPr="00016415" w:rsidR="00016415" w:rsidP="00016415" w:rsidRDefault="00016415" w14:paraId="249BF862" w14:textId="77777777">
            <w:pPr>
              <w:jc w:val="center"/>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016415">
              <w:rPr>
                <w:rFonts w:ascii="Verdana" w:hAnsi="Verdana" w:eastAsia="Times New Roman" w:cs="Arial"/>
                <w:sz w:val="18"/>
                <w:szCs w:val="18"/>
                <w:lang w:val="es-CO"/>
              </w:rPr>
              <w:t>271</w:t>
            </w:r>
          </w:p>
        </w:tc>
        <w:tc>
          <w:tcPr>
            <w:tcW w:w="1807" w:type="pct"/>
            <w:shd w:val="clear" w:color="auto" w:fill="auto"/>
            <w:vAlign w:val="center"/>
            <w:hideMark/>
          </w:tcPr>
          <w:p w:rsidRPr="00016415" w:rsidR="00016415" w:rsidP="00016415" w:rsidRDefault="00016415" w14:paraId="0E949A2D" w14:textId="77777777">
            <w:pPr>
              <w:jc w:val="both"/>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016415">
              <w:rPr>
                <w:rFonts w:ascii="Verdana" w:hAnsi="Verdana" w:eastAsia="Times New Roman" w:cs="Arial"/>
                <w:sz w:val="18"/>
                <w:szCs w:val="18"/>
                <w:lang w:val="es-CO"/>
              </w:rPr>
              <w:t>Es el subsector con mayor volumen de atención. La concentración está en Meta, Casanare, Putumayo, Santander, Huila y Arauca. El contexto dominante está asociado a operaciones de exploración y producción, bloqueos de vías, conflictividad laboral, contratación local, relacionamiento empresa-comunidad, afectaciones ambientales y riesgos operacionales.</w:t>
            </w:r>
          </w:p>
        </w:tc>
      </w:tr>
    </w:tbl>
    <w:p w:rsidR="00016415" w:rsidP="180099B3" w:rsidRDefault="6E5FADC6" w14:paraId="63589C33" w14:textId="77777777">
      <w:pPr>
        <w:spacing w:after="0" w:line="360" w:lineRule="auto"/>
        <w:jc w:val="center"/>
        <w:rPr>
          <w:rFonts w:ascii="Verdana" w:hAnsi="Verdana"/>
          <w:sz w:val="18"/>
          <w:szCs w:val="18"/>
        </w:rPr>
      </w:pPr>
      <w:r w:rsidRPr="180099B3">
        <w:rPr>
          <w:rFonts w:ascii="Verdana" w:hAnsi="Verdana"/>
          <w:sz w:val="18"/>
          <w:szCs w:val="18"/>
        </w:rPr>
        <w:t>Fuente: Oficina de Asuntos Ambientales y Sociales - OAAS</w:t>
      </w:r>
    </w:p>
    <w:p w:rsidR="180099B3" w:rsidP="006A0A13" w:rsidRDefault="180099B3" w14:paraId="596D4723" w14:textId="77777777">
      <w:pPr>
        <w:spacing w:after="0" w:line="360" w:lineRule="auto"/>
        <w:rPr>
          <w:rFonts w:ascii="Verdana" w:hAnsi="Verdana"/>
          <w:sz w:val="24"/>
          <w:szCs w:val="24"/>
        </w:rPr>
      </w:pPr>
    </w:p>
    <w:p w:rsidR="00016415" w:rsidP="006A0A13" w:rsidRDefault="00016415" w14:paraId="504EF829" w14:textId="77777777">
      <w:pPr>
        <w:spacing w:after="0" w:line="360" w:lineRule="auto"/>
        <w:rPr>
          <w:rFonts w:ascii="Verdana" w:hAnsi="Verdana"/>
          <w:sz w:val="24"/>
          <w:szCs w:val="24"/>
        </w:rPr>
      </w:pPr>
      <w:r w:rsidRPr="00016415">
        <w:rPr>
          <w:rFonts w:ascii="Verdana" w:hAnsi="Verdana"/>
          <w:sz w:val="24"/>
          <w:szCs w:val="24"/>
        </w:rPr>
        <w:t xml:space="preserve">De manera adicional, se han gestionado diferentes espacios de diálogo social en el sector de Hidrocarburos:  </w:t>
      </w:r>
    </w:p>
    <w:p w:rsidR="00016415" w:rsidP="006A0A13" w:rsidRDefault="00016415" w14:paraId="00930CB3" w14:textId="77777777">
      <w:pPr>
        <w:spacing w:after="0" w:line="360" w:lineRule="auto"/>
        <w:rPr>
          <w:rFonts w:ascii="Verdana" w:hAnsi="Verdana"/>
          <w:sz w:val="24"/>
          <w:szCs w:val="24"/>
        </w:rPr>
      </w:pPr>
    </w:p>
    <w:p w:rsidRPr="00DB2236" w:rsidR="00DB2236" w:rsidP="006A0A13" w:rsidRDefault="00DB2236" w14:paraId="245ACD4D" w14:textId="77777777">
      <w:pPr>
        <w:spacing w:after="0" w:line="360" w:lineRule="auto"/>
        <w:jc w:val="both"/>
        <w:rPr>
          <w:rFonts w:ascii="Verdana" w:hAnsi="Verdana"/>
          <w:b/>
          <w:bCs/>
          <w:sz w:val="24"/>
          <w:szCs w:val="24"/>
        </w:rPr>
      </w:pPr>
      <w:r w:rsidRPr="00DB2236">
        <w:rPr>
          <w:rFonts w:ascii="Verdana" w:hAnsi="Verdana"/>
          <w:b/>
          <w:bCs/>
          <w:sz w:val="24"/>
          <w:szCs w:val="24"/>
        </w:rPr>
        <w:t>Consolidado Por Subsector</w:t>
      </w:r>
    </w:p>
    <w:p w:rsidRPr="00DB2236" w:rsidR="00DB2236" w:rsidP="006A0A13" w:rsidRDefault="00DB2236" w14:paraId="4A82C523" w14:textId="77777777">
      <w:pPr>
        <w:spacing w:after="0" w:line="360" w:lineRule="auto"/>
        <w:jc w:val="both"/>
        <w:rPr>
          <w:rFonts w:ascii="Verdana" w:hAnsi="Verdana"/>
          <w:sz w:val="24"/>
          <w:szCs w:val="24"/>
        </w:rPr>
      </w:pPr>
    </w:p>
    <w:p w:rsidR="00DB2236" w:rsidP="006A0A13" w:rsidRDefault="00DB2236" w14:paraId="15D19D9B" w14:textId="77777777">
      <w:pPr>
        <w:spacing w:after="0" w:line="360" w:lineRule="auto"/>
        <w:jc w:val="both"/>
        <w:rPr>
          <w:rFonts w:ascii="Verdana" w:hAnsi="Verdana"/>
          <w:sz w:val="24"/>
          <w:szCs w:val="24"/>
        </w:rPr>
      </w:pPr>
      <w:r w:rsidRPr="00DB2236">
        <w:rPr>
          <w:rFonts w:ascii="Verdana" w:hAnsi="Verdana"/>
          <w:sz w:val="24"/>
          <w:szCs w:val="24"/>
        </w:rPr>
        <w:t>Durante el periodo registrado, se atendieron 628 espacios base entre mesas y espacios de diálogo social, con una gestión total de 756 registros si se incluyen seguimientos y cierres. El subsector de hidrocarburos concentra la mayor carga de atención, con el 52,7% de los espacios base, seguido de energía con el 30,6% y minería con el 16,7%.</w:t>
      </w:r>
    </w:p>
    <w:p w:rsidRPr="00D33C4A" w:rsidR="00DB2236" w:rsidP="006A0A13" w:rsidRDefault="00DB2236" w14:paraId="259802DA" w14:textId="77777777">
      <w:pPr>
        <w:spacing w:after="0" w:line="360" w:lineRule="auto"/>
        <w:jc w:val="both"/>
        <w:rPr>
          <w:rFonts w:eastAsia="Times New Roman" w:cs="Arial"/>
          <w:b/>
          <w:bCs/>
          <w:sz w:val="24"/>
          <w:szCs w:val="24"/>
        </w:rPr>
      </w:pPr>
    </w:p>
    <w:p w:rsidRPr="00DB2236" w:rsidR="00DB2236" w:rsidP="00DB2236" w:rsidRDefault="044038BA" w14:paraId="53B219DE" w14:textId="77777777">
      <w:pPr>
        <w:spacing w:after="0" w:line="240" w:lineRule="auto"/>
        <w:jc w:val="center"/>
        <w:rPr>
          <w:rFonts w:ascii="Verdana" w:hAnsi="Verdana" w:eastAsia="Times New Roman" w:cs="Arial"/>
          <w:sz w:val="18"/>
          <w:szCs w:val="18"/>
        </w:rPr>
      </w:pPr>
      <w:r w:rsidRPr="180099B3">
        <w:rPr>
          <w:rFonts w:ascii="Verdana" w:hAnsi="Verdana" w:eastAsia="Times New Roman" w:cs="Arial"/>
          <w:sz w:val="18"/>
          <w:szCs w:val="18"/>
        </w:rPr>
        <w:t>Tabla</w:t>
      </w:r>
      <w:r w:rsidRPr="180099B3" w:rsidR="2DDF5798">
        <w:rPr>
          <w:rFonts w:ascii="Verdana" w:hAnsi="Verdana" w:eastAsia="Times New Roman" w:cs="Arial"/>
          <w:sz w:val="18"/>
          <w:szCs w:val="18"/>
        </w:rPr>
        <w:t xml:space="preserve"> No.</w:t>
      </w:r>
      <w:r w:rsidRPr="180099B3" w:rsidR="319EE50F">
        <w:rPr>
          <w:rFonts w:ascii="Verdana" w:hAnsi="Verdana" w:eastAsia="Times New Roman" w:cs="Arial"/>
          <w:sz w:val="18"/>
          <w:szCs w:val="18"/>
        </w:rPr>
        <w:t>67</w:t>
      </w:r>
      <w:r w:rsidRPr="180099B3" w:rsidR="2DDF5798">
        <w:rPr>
          <w:rFonts w:ascii="Verdana" w:hAnsi="Verdana" w:eastAsia="Times New Roman" w:cs="Arial"/>
          <w:sz w:val="18"/>
          <w:szCs w:val="18"/>
        </w:rPr>
        <w:t xml:space="preserve">. </w:t>
      </w:r>
      <w:r w:rsidRPr="180099B3">
        <w:rPr>
          <w:rFonts w:ascii="Verdana" w:hAnsi="Verdana" w:eastAsia="Times New Roman" w:cs="Arial"/>
          <w:sz w:val="18"/>
          <w:szCs w:val="18"/>
        </w:rPr>
        <w:t>Consolidado de Espacios por Subsectores.</w:t>
      </w:r>
    </w:p>
    <w:p w:rsidRPr="00DB2236" w:rsidR="00DB2236" w:rsidP="00DB2236" w:rsidRDefault="00DB2236" w14:paraId="72974E16" w14:textId="77777777">
      <w:pPr>
        <w:pStyle w:val="Prrafodelista"/>
        <w:spacing w:after="0" w:line="240" w:lineRule="auto"/>
        <w:jc w:val="both"/>
        <w:rPr>
          <w:rFonts w:ascii="Verdana" w:hAnsi="Verdana" w:eastAsia="Times New Roman" w:cs="Arial"/>
          <w:sz w:val="18"/>
          <w:szCs w:val="18"/>
        </w:rPr>
      </w:pPr>
    </w:p>
    <w:tbl>
      <w:tblPr>
        <w:tblStyle w:val="Tablaconcuadrcula4-nfasis6"/>
        <w:tblW w:w="5000" w:type="pct"/>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ook w:val="04A0" w:firstRow="1" w:lastRow="0" w:firstColumn="1" w:lastColumn="0" w:noHBand="0" w:noVBand="1"/>
      </w:tblPr>
      <w:tblGrid>
        <w:gridCol w:w="1484"/>
        <w:gridCol w:w="1305"/>
        <w:gridCol w:w="840"/>
        <w:gridCol w:w="1351"/>
        <w:gridCol w:w="1592"/>
        <w:gridCol w:w="999"/>
        <w:gridCol w:w="1242"/>
        <w:gridCol w:w="15"/>
      </w:tblGrid>
      <w:tr w:rsidRPr="00DB2236" w:rsidR="00DB2236" w:rsidTr="180099B3" w14:paraId="5FF0086B"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69" w:type="pct"/>
            <w:tcBorders>
              <w:top w:val="none" w:color="auto" w:sz="0" w:space="0"/>
              <w:left w:val="none" w:color="auto" w:sz="0" w:space="0"/>
              <w:bottom w:val="none" w:color="auto" w:sz="0" w:space="0"/>
              <w:right w:val="none" w:color="auto" w:sz="0" w:space="0"/>
            </w:tcBorders>
            <w:shd w:val="clear" w:color="auto" w:fill="A6A6A6" w:themeFill="background1" w:themeFillShade="A6"/>
            <w:vAlign w:val="center"/>
            <w:hideMark/>
          </w:tcPr>
          <w:p w:rsidRPr="00DB2236" w:rsidR="00DB2236" w:rsidP="00DB2236" w:rsidRDefault="00DB2236" w14:paraId="319B862C" w14:textId="77777777">
            <w:pPr>
              <w:jc w:val="center"/>
              <w:rPr>
                <w:rFonts w:ascii="Verdana" w:hAnsi="Verdana" w:eastAsia="Times New Roman" w:cs="Arial"/>
                <w:color w:val="auto"/>
                <w:sz w:val="18"/>
                <w:szCs w:val="18"/>
                <w:lang w:val="es-CO"/>
              </w:rPr>
            </w:pPr>
            <w:r w:rsidRPr="00DB2236">
              <w:rPr>
                <w:rFonts w:ascii="Verdana" w:hAnsi="Verdana" w:eastAsia="Times New Roman" w:cs="Arial"/>
                <w:color w:val="auto"/>
                <w:sz w:val="18"/>
                <w:szCs w:val="18"/>
                <w:lang w:val="es-CO"/>
              </w:rPr>
              <w:t>Subsector</w:t>
            </w:r>
          </w:p>
        </w:tc>
        <w:tc>
          <w:tcPr>
            <w:tcW w:w="767" w:type="pct"/>
            <w:tcBorders>
              <w:top w:val="none" w:color="auto" w:sz="0" w:space="0"/>
              <w:left w:val="none" w:color="auto" w:sz="0" w:space="0"/>
              <w:bottom w:val="none" w:color="auto" w:sz="0" w:space="0"/>
              <w:right w:val="none" w:color="auto" w:sz="0" w:space="0"/>
            </w:tcBorders>
            <w:shd w:val="clear" w:color="auto" w:fill="A6A6A6" w:themeFill="background1" w:themeFillShade="A6"/>
            <w:vAlign w:val="center"/>
            <w:hideMark/>
          </w:tcPr>
          <w:p w:rsidRPr="00DB2236" w:rsidR="00DB2236" w:rsidP="00DB2236" w:rsidRDefault="00DB2236" w14:paraId="36771A48" w14:textId="77777777">
            <w:pPr>
              <w:jc w:val="center"/>
              <w:cnfStyle w:val="100000000000" w:firstRow="1" w:lastRow="0" w:firstColumn="0" w:lastColumn="0" w:oddVBand="0" w:evenVBand="0" w:oddHBand="0" w:evenHBand="0" w:firstRowFirstColumn="0" w:firstRowLastColumn="0" w:lastRowFirstColumn="0" w:lastRowLastColumn="0"/>
              <w:rPr>
                <w:rFonts w:ascii="Verdana" w:hAnsi="Verdana" w:eastAsia="Times New Roman" w:cs="Arial"/>
                <w:color w:val="auto"/>
                <w:sz w:val="18"/>
                <w:szCs w:val="18"/>
                <w:lang w:val="es-CO"/>
              </w:rPr>
            </w:pPr>
            <w:r w:rsidRPr="00DB2236">
              <w:rPr>
                <w:rFonts w:ascii="Verdana" w:hAnsi="Verdana" w:eastAsia="Times New Roman" w:cs="Arial"/>
                <w:color w:val="auto"/>
                <w:sz w:val="18"/>
                <w:szCs w:val="18"/>
                <w:lang w:val="es-CO"/>
              </w:rPr>
              <w:t>Espacios de Diálogo Social</w:t>
            </w:r>
          </w:p>
        </w:tc>
        <w:tc>
          <w:tcPr>
            <w:tcW w:w="435" w:type="pct"/>
            <w:tcBorders>
              <w:top w:val="none" w:color="auto" w:sz="0" w:space="0"/>
              <w:left w:val="none" w:color="auto" w:sz="0" w:space="0"/>
              <w:bottom w:val="none" w:color="auto" w:sz="0" w:space="0"/>
              <w:right w:val="none" w:color="auto" w:sz="0" w:space="0"/>
            </w:tcBorders>
            <w:shd w:val="clear" w:color="auto" w:fill="A6A6A6" w:themeFill="background1" w:themeFillShade="A6"/>
            <w:vAlign w:val="center"/>
            <w:hideMark/>
          </w:tcPr>
          <w:p w:rsidRPr="00DB2236" w:rsidR="00DB2236" w:rsidP="00DB2236" w:rsidRDefault="00DB2236" w14:paraId="1237FCE6" w14:textId="77777777">
            <w:pPr>
              <w:jc w:val="center"/>
              <w:cnfStyle w:val="100000000000" w:firstRow="1" w:lastRow="0" w:firstColumn="0" w:lastColumn="0" w:oddVBand="0" w:evenVBand="0" w:oddHBand="0" w:evenHBand="0" w:firstRowFirstColumn="0" w:firstRowLastColumn="0" w:lastRowFirstColumn="0" w:lastRowLastColumn="0"/>
              <w:rPr>
                <w:rFonts w:ascii="Verdana" w:hAnsi="Verdana" w:eastAsia="Times New Roman" w:cs="Arial"/>
                <w:color w:val="auto"/>
                <w:sz w:val="18"/>
                <w:szCs w:val="18"/>
                <w:lang w:val="es-CO"/>
              </w:rPr>
            </w:pPr>
            <w:r w:rsidRPr="00DB2236">
              <w:rPr>
                <w:rFonts w:ascii="Verdana" w:hAnsi="Verdana" w:eastAsia="Times New Roman" w:cs="Arial"/>
                <w:color w:val="auto"/>
                <w:sz w:val="18"/>
                <w:szCs w:val="18"/>
                <w:lang w:val="es-CO"/>
              </w:rPr>
              <w:t>Mesas</w:t>
            </w:r>
          </w:p>
        </w:tc>
        <w:tc>
          <w:tcPr>
            <w:tcW w:w="793" w:type="pct"/>
            <w:tcBorders>
              <w:top w:val="none" w:color="auto" w:sz="0" w:space="0"/>
              <w:left w:val="none" w:color="auto" w:sz="0" w:space="0"/>
              <w:bottom w:val="none" w:color="auto" w:sz="0" w:space="0"/>
              <w:right w:val="none" w:color="auto" w:sz="0" w:space="0"/>
            </w:tcBorders>
            <w:shd w:val="clear" w:color="auto" w:fill="A6A6A6" w:themeFill="background1" w:themeFillShade="A6"/>
            <w:vAlign w:val="center"/>
            <w:hideMark/>
          </w:tcPr>
          <w:p w:rsidRPr="00DB2236" w:rsidR="00DB2236" w:rsidP="00DB2236" w:rsidRDefault="00DB2236" w14:paraId="08EDB4A3" w14:textId="77777777">
            <w:pPr>
              <w:jc w:val="center"/>
              <w:cnfStyle w:val="100000000000" w:firstRow="1" w:lastRow="0" w:firstColumn="0" w:lastColumn="0" w:oddVBand="0" w:evenVBand="0" w:oddHBand="0" w:evenHBand="0" w:firstRowFirstColumn="0" w:firstRowLastColumn="0" w:lastRowFirstColumn="0" w:lastRowLastColumn="0"/>
              <w:rPr>
                <w:rFonts w:ascii="Verdana" w:hAnsi="Verdana" w:eastAsia="Times New Roman" w:cs="Arial"/>
                <w:color w:val="auto"/>
                <w:sz w:val="18"/>
                <w:szCs w:val="18"/>
                <w:lang w:val="es-CO"/>
              </w:rPr>
            </w:pPr>
            <w:r w:rsidRPr="00DB2236">
              <w:rPr>
                <w:rFonts w:ascii="Verdana" w:hAnsi="Verdana" w:eastAsia="Times New Roman" w:cs="Arial"/>
                <w:color w:val="auto"/>
                <w:sz w:val="18"/>
                <w:szCs w:val="18"/>
                <w:lang w:val="es-CO"/>
              </w:rPr>
              <w:t>Espacios base atendidos</w:t>
            </w:r>
          </w:p>
        </w:tc>
        <w:tc>
          <w:tcPr>
            <w:tcW w:w="925" w:type="pct"/>
            <w:tcBorders>
              <w:top w:val="none" w:color="auto" w:sz="0" w:space="0"/>
              <w:left w:val="none" w:color="auto" w:sz="0" w:space="0"/>
              <w:bottom w:val="none" w:color="auto" w:sz="0" w:space="0"/>
              <w:right w:val="none" w:color="auto" w:sz="0" w:space="0"/>
            </w:tcBorders>
            <w:shd w:val="clear" w:color="auto" w:fill="A6A6A6" w:themeFill="background1" w:themeFillShade="A6"/>
            <w:vAlign w:val="center"/>
            <w:hideMark/>
          </w:tcPr>
          <w:p w:rsidRPr="00DB2236" w:rsidR="00DB2236" w:rsidP="00DB2236" w:rsidRDefault="00DB2236" w14:paraId="223783B8" w14:textId="77777777">
            <w:pPr>
              <w:jc w:val="center"/>
              <w:cnfStyle w:val="100000000000" w:firstRow="1" w:lastRow="0" w:firstColumn="0" w:lastColumn="0" w:oddVBand="0" w:evenVBand="0" w:oddHBand="0" w:evenHBand="0" w:firstRowFirstColumn="0" w:firstRowLastColumn="0" w:lastRowFirstColumn="0" w:lastRowLastColumn="0"/>
              <w:rPr>
                <w:rFonts w:ascii="Verdana" w:hAnsi="Verdana" w:eastAsia="Times New Roman" w:cs="Arial"/>
                <w:color w:val="auto"/>
                <w:sz w:val="18"/>
                <w:szCs w:val="18"/>
                <w:lang w:val="es-CO"/>
              </w:rPr>
            </w:pPr>
            <w:r w:rsidRPr="00DB2236">
              <w:rPr>
                <w:rFonts w:ascii="Verdana" w:hAnsi="Verdana" w:eastAsia="Times New Roman" w:cs="Arial"/>
                <w:color w:val="auto"/>
                <w:sz w:val="18"/>
                <w:szCs w:val="18"/>
                <w:lang w:val="es-CO"/>
              </w:rPr>
              <w:t>Seguimientos a mesas</w:t>
            </w:r>
          </w:p>
        </w:tc>
        <w:tc>
          <w:tcPr>
            <w:tcW w:w="597" w:type="pct"/>
            <w:tcBorders>
              <w:top w:val="none" w:color="auto" w:sz="0" w:space="0"/>
              <w:left w:val="none" w:color="auto" w:sz="0" w:space="0"/>
              <w:bottom w:val="none" w:color="auto" w:sz="0" w:space="0"/>
              <w:right w:val="none" w:color="auto" w:sz="0" w:space="0"/>
            </w:tcBorders>
            <w:shd w:val="clear" w:color="auto" w:fill="A6A6A6" w:themeFill="background1" w:themeFillShade="A6"/>
            <w:vAlign w:val="center"/>
            <w:hideMark/>
          </w:tcPr>
          <w:p w:rsidRPr="00DB2236" w:rsidR="00DB2236" w:rsidP="00DB2236" w:rsidRDefault="00DB2236" w14:paraId="46C4EDA7" w14:textId="77777777">
            <w:pPr>
              <w:jc w:val="center"/>
              <w:cnfStyle w:val="100000000000" w:firstRow="1" w:lastRow="0" w:firstColumn="0" w:lastColumn="0" w:oddVBand="0" w:evenVBand="0" w:oddHBand="0" w:evenHBand="0" w:firstRowFirstColumn="0" w:firstRowLastColumn="0" w:lastRowFirstColumn="0" w:lastRowLastColumn="0"/>
              <w:rPr>
                <w:rFonts w:ascii="Verdana" w:hAnsi="Verdana" w:eastAsia="Times New Roman" w:cs="Arial"/>
                <w:color w:val="auto"/>
                <w:sz w:val="18"/>
                <w:szCs w:val="18"/>
                <w:lang w:val="es-CO"/>
              </w:rPr>
            </w:pPr>
            <w:r w:rsidRPr="00DB2236">
              <w:rPr>
                <w:rFonts w:ascii="Verdana" w:hAnsi="Verdana" w:eastAsia="Times New Roman" w:cs="Arial"/>
                <w:color w:val="auto"/>
                <w:sz w:val="18"/>
                <w:szCs w:val="18"/>
                <w:lang w:val="es-CO"/>
              </w:rPr>
              <w:t>Cierres de mesas</w:t>
            </w:r>
          </w:p>
        </w:tc>
        <w:tc>
          <w:tcPr>
            <w:tcW w:w="713" w:type="pct"/>
            <w:gridSpan w:val="2"/>
            <w:tcBorders>
              <w:top w:val="none" w:color="auto" w:sz="0" w:space="0"/>
              <w:left w:val="none" w:color="auto" w:sz="0" w:space="0"/>
              <w:bottom w:val="none" w:color="auto" w:sz="0" w:space="0"/>
              <w:right w:val="none" w:color="auto" w:sz="0" w:space="0"/>
            </w:tcBorders>
            <w:shd w:val="clear" w:color="auto" w:fill="A6A6A6" w:themeFill="background1" w:themeFillShade="A6"/>
            <w:vAlign w:val="center"/>
            <w:hideMark/>
          </w:tcPr>
          <w:p w:rsidRPr="00DB2236" w:rsidR="00DB2236" w:rsidP="00DB2236" w:rsidRDefault="00DB2236" w14:paraId="0BDE0845" w14:textId="77777777">
            <w:pPr>
              <w:jc w:val="center"/>
              <w:cnfStyle w:val="100000000000" w:firstRow="1" w:lastRow="0" w:firstColumn="0" w:lastColumn="0" w:oddVBand="0" w:evenVBand="0" w:oddHBand="0" w:evenHBand="0" w:firstRowFirstColumn="0" w:firstRowLastColumn="0" w:lastRowFirstColumn="0" w:lastRowLastColumn="0"/>
              <w:rPr>
                <w:rFonts w:ascii="Verdana" w:hAnsi="Verdana" w:eastAsia="Times New Roman" w:cs="Arial"/>
                <w:color w:val="auto"/>
                <w:sz w:val="18"/>
                <w:szCs w:val="18"/>
                <w:lang w:val="es-CO"/>
              </w:rPr>
            </w:pPr>
            <w:r w:rsidRPr="00DB2236">
              <w:rPr>
                <w:rFonts w:ascii="Verdana" w:hAnsi="Verdana" w:eastAsia="Times New Roman" w:cs="Arial"/>
                <w:color w:val="auto"/>
                <w:sz w:val="18"/>
                <w:szCs w:val="18"/>
                <w:lang w:val="es-CO"/>
              </w:rPr>
              <w:t>Gestión total registrada</w:t>
            </w:r>
          </w:p>
        </w:tc>
      </w:tr>
      <w:tr w:rsidRPr="00DB2236" w:rsidR="00DB2236" w:rsidTr="180099B3" w14:paraId="29E0B2CF" w14:textId="77777777">
        <w:trPr>
          <w:gridAfter w:val="1"/>
          <w:cnfStyle w:val="000000100000" w:firstRow="0" w:lastRow="0" w:firstColumn="0" w:lastColumn="0" w:oddVBand="0" w:evenVBand="0" w:oddHBand="1" w:evenHBand="0" w:firstRowFirstColumn="0" w:firstRowLastColumn="0" w:lastRowFirstColumn="0" w:lastRowLastColumn="0"/>
          <w:wAfter w:w="9" w:type="pct"/>
        </w:trPr>
        <w:tc>
          <w:tcPr>
            <w:cnfStyle w:val="001000000000" w:firstRow="0" w:lastRow="0" w:firstColumn="1" w:lastColumn="0" w:oddVBand="0" w:evenVBand="0" w:oddHBand="0" w:evenHBand="0" w:firstRowFirstColumn="0" w:firstRowLastColumn="0" w:lastRowFirstColumn="0" w:lastRowLastColumn="0"/>
            <w:tcW w:w="769" w:type="pct"/>
            <w:shd w:val="clear" w:color="auto" w:fill="FFFFFF" w:themeFill="background1"/>
            <w:vAlign w:val="center"/>
            <w:hideMark/>
          </w:tcPr>
          <w:p w:rsidRPr="00DB2236" w:rsidR="00DB2236" w:rsidP="00DB2236" w:rsidRDefault="00DB2236" w14:paraId="167FEA68" w14:textId="77777777">
            <w:pPr>
              <w:jc w:val="both"/>
              <w:rPr>
                <w:rFonts w:ascii="Verdana" w:hAnsi="Verdana" w:eastAsia="Times New Roman" w:cs="Arial"/>
                <w:b w:val="0"/>
                <w:bCs w:val="0"/>
                <w:sz w:val="18"/>
                <w:szCs w:val="18"/>
                <w:lang w:val="es-CO"/>
              </w:rPr>
            </w:pPr>
            <w:r w:rsidRPr="00DB2236">
              <w:rPr>
                <w:rFonts w:ascii="Verdana" w:hAnsi="Verdana" w:eastAsia="Times New Roman" w:cs="Arial"/>
                <w:b w:val="0"/>
                <w:bCs w:val="0"/>
                <w:sz w:val="18"/>
                <w:szCs w:val="18"/>
                <w:lang w:val="es-CO"/>
              </w:rPr>
              <w:t>Hidrocarburos</w:t>
            </w:r>
          </w:p>
        </w:tc>
        <w:tc>
          <w:tcPr>
            <w:tcW w:w="767" w:type="pct"/>
            <w:shd w:val="clear" w:color="auto" w:fill="FFFFFF" w:themeFill="background1"/>
            <w:vAlign w:val="center"/>
            <w:hideMark/>
          </w:tcPr>
          <w:p w:rsidRPr="00DB2236" w:rsidR="00DB2236" w:rsidP="00DB2236" w:rsidRDefault="00DB2236" w14:paraId="44506316" w14:textId="77777777">
            <w:pPr>
              <w:jc w:val="center"/>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DB2236">
              <w:rPr>
                <w:rFonts w:ascii="Verdana" w:hAnsi="Verdana" w:eastAsia="Times New Roman" w:cs="Arial"/>
                <w:sz w:val="18"/>
                <w:szCs w:val="18"/>
                <w:lang w:val="es-CO"/>
              </w:rPr>
              <w:t>211</w:t>
            </w:r>
          </w:p>
        </w:tc>
        <w:tc>
          <w:tcPr>
            <w:tcW w:w="435" w:type="pct"/>
            <w:shd w:val="clear" w:color="auto" w:fill="FFFFFF" w:themeFill="background1"/>
            <w:vAlign w:val="center"/>
            <w:hideMark/>
          </w:tcPr>
          <w:p w:rsidRPr="00DB2236" w:rsidR="00DB2236" w:rsidP="00DB2236" w:rsidRDefault="00DB2236" w14:paraId="5AF60B85" w14:textId="77777777">
            <w:pPr>
              <w:jc w:val="center"/>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DB2236">
              <w:rPr>
                <w:rFonts w:ascii="Verdana" w:hAnsi="Verdana" w:eastAsia="Times New Roman" w:cs="Arial"/>
                <w:sz w:val="18"/>
                <w:szCs w:val="18"/>
                <w:lang w:val="es-CO"/>
              </w:rPr>
              <w:t>120</w:t>
            </w:r>
          </w:p>
        </w:tc>
        <w:tc>
          <w:tcPr>
            <w:tcW w:w="793" w:type="pct"/>
            <w:shd w:val="clear" w:color="auto" w:fill="FFFFFF" w:themeFill="background1"/>
            <w:vAlign w:val="center"/>
            <w:hideMark/>
          </w:tcPr>
          <w:p w:rsidRPr="00DB2236" w:rsidR="00DB2236" w:rsidP="00DB2236" w:rsidRDefault="00DB2236" w14:paraId="2C24E6ED" w14:textId="77777777">
            <w:pPr>
              <w:jc w:val="center"/>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DB2236">
              <w:rPr>
                <w:rFonts w:ascii="Verdana" w:hAnsi="Verdana" w:eastAsia="Times New Roman" w:cs="Arial"/>
                <w:sz w:val="18"/>
                <w:szCs w:val="18"/>
                <w:lang w:val="es-CO"/>
              </w:rPr>
              <w:t>331</w:t>
            </w:r>
          </w:p>
        </w:tc>
        <w:tc>
          <w:tcPr>
            <w:tcW w:w="925" w:type="pct"/>
            <w:shd w:val="clear" w:color="auto" w:fill="FFFFFF" w:themeFill="background1"/>
            <w:vAlign w:val="center"/>
            <w:hideMark/>
          </w:tcPr>
          <w:p w:rsidRPr="00DB2236" w:rsidR="00DB2236" w:rsidP="00DB2236" w:rsidRDefault="00DB2236" w14:paraId="1EBBE45F" w14:textId="77777777">
            <w:pPr>
              <w:jc w:val="center"/>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DB2236">
              <w:rPr>
                <w:rFonts w:ascii="Verdana" w:hAnsi="Verdana" w:eastAsia="Times New Roman" w:cs="Arial"/>
                <w:sz w:val="18"/>
                <w:szCs w:val="18"/>
                <w:lang w:val="es-CO"/>
              </w:rPr>
              <w:t>53</w:t>
            </w:r>
          </w:p>
        </w:tc>
        <w:tc>
          <w:tcPr>
            <w:tcW w:w="597" w:type="pct"/>
            <w:shd w:val="clear" w:color="auto" w:fill="FFFFFF" w:themeFill="background1"/>
            <w:vAlign w:val="center"/>
            <w:hideMark/>
          </w:tcPr>
          <w:p w:rsidRPr="00DB2236" w:rsidR="00DB2236" w:rsidP="00DB2236" w:rsidRDefault="00DB2236" w14:paraId="2934D4EC" w14:textId="77777777">
            <w:pPr>
              <w:jc w:val="center"/>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DB2236">
              <w:rPr>
                <w:rFonts w:ascii="Verdana" w:hAnsi="Verdana" w:eastAsia="Times New Roman" w:cs="Arial"/>
                <w:sz w:val="18"/>
                <w:szCs w:val="18"/>
                <w:lang w:val="es-CO"/>
              </w:rPr>
              <w:t>4</w:t>
            </w:r>
          </w:p>
        </w:tc>
        <w:tc>
          <w:tcPr>
            <w:tcW w:w="705" w:type="pct"/>
            <w:shd w:val="clear" w:color="auto" w:fill="FFFFFF" w:themeFill="background1"/>
            <w:vAlign w:val="center"/>
            <w:hideMark/>
          </w:tcPr>
          <w:p w:rsidRPr="00DB2236" w:rsidR="00DB2236" w:rsidP="00DB2236" w:rsidRDefault="00DB2236" w14:paraId="6AD9355A" w14:textId="77777777">
            <w:pPr>
              <w:jc w:val="center"/>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DB2236">
              <w:rPr>
                <w:rFonts w:ascii="Verdana" w:hAnsi="Verdana" w:eastAsia="Times New Roman" w:cs="Arial"/>
                <w:sz w:val="18"/>
                <w:szCs w:val="18"/>
                <w:lang w:val="es-CO"/>
              </w:rPr>
              <w:t>388</w:t>
            </w:r>
          </w:p>
        </w:tc>
      </w:tr>
      <w:tr w:rsidRPr="00DB2236" w:rsidR="00DB2236" w:rsidTr="180099B3" w14:paraId="78ED14FD" w14:textId="77777777">
        <w:trPr>
          <w:gridAfter w:val="1"/>
          <w:wAfter w:w="9" w:type="pct"/>
        </w:trPr>
        <w:tc>
          <w:tcPr>
            <w:cnfStyle w:val="001000000000" w:firstRow="0" w:lastRow="0" w:firstColumn="1" w:lastColumn="0" w:oddVBand="0" w:evenVBand="0" w:oddHBand="0" w:evenHBand="0" w:firstRowFirstColumn="0" w:firstRowLastColumn="0" w:lastRowFirstColumn="0" w:lastRowLastColumn="0"/>
            <w:tcW w:w="769" w:type="pct"/>
            <w:shd w:val="clear" w:color="auto" w:fill="FFFFFF" w:themeFill="background1"/>
            <w:vAlign w:val="center"/>
            <w:hideMark/>
          </w:tcPr>
          <w:p w:rsidRPr="00DB2236" w:rsidR="00DB2236" w:rsidP="00DB2236" w:rsidRDefault="00DB2236" w14:paraId="2C388571" w14:textId="77777777">
            <w:pPr>
              <w:jc w:val="both"/>
              <w:rPr>
                <w:rFonts w:ascii="Verdana" w:hAnsi="Verdana" w:eastAsia="Times New Roman" w:cs="Arial"/>
                <w:b w:val="0"/>
                <w:bCs w:val="0"/>
                <w:sz w:val="18"/>
                <w:szCs w:val="18"/>
                <w:lang w:val="es-CO"/>
              </w:rPr>
            </w:pPr>
            <w:r w:rsidRPr="00DB2236">
              <w:rPr>
                <w:rFonts w:ascii="Verdana" w:hAnsi="Verdana" w:eastAsia="Times New Roman" w:cs="Arial"/>
                <w:b w:val="0"/>
                <w:bCs w:val="0"/>
                <w:sz w:val="18"/>
                <w:szCs w:val="18"/>
                <w:lang w:val="es-CO"/>
              </w:rPr>
              <w:t>Energía</w:t>
            </w:r>
          </w:p>
        </w:tc>
        <w:tc>
          <w:tcPr>
            <w:tcW w:w="767" w:type="pct"/>
            <w:shd w:val="clear" w:color="auto" w:fill="FFFFFF" w:themeFill="background1"/>
            <w:vAlign w:val="center"/>
            <w:hideMark/>
          </w:tcPr>
          <w:p w:rsidRPr="00DB2236" w:rsidR="00DB2236" w:rsidP="00DB2236" w:rsidRDefault="00DB2236" w14:paraId="0F641C84" w14:textId="77777777">
            <w:pPr>
              <w:jc w:val="center"/>
              <w:cnfStyle w:val="000000000000" w:firstRow="0" w:lastRow="0" w:firstColumn="0" w:lastColumn="0" w:oddVBand="0" w:evenVBand="0" w:oddHBand="0" w:evenHBand="0" w:firstRowFirstColumn="0" w:firstRowLastColumn="0" w:lastRowFirstColumn="0" w:lastRowLastColumn="0"/>
              <w:rPr>
                <w:rFonts w:ascii="Verdana" w:hAnsi="Verdana" w:eastAsia="Times New Roman" w:cs="Arial"/>
                <w:sz w:val="18"/>
                <w:szCs w:val="18"/>
                <w:lang w:val="es-CO"/>
              </w:rPr>
            </w:pPr>
            <w:r w:rsidRPr="00DB2236">
              <w:rPr>
                <w:rFonts w:ascii="Verdana" w:hAnsi="Verdana" w:eastAsia="Times New Roman" w:cs="Arial"/>
                <w:sz w:val="18"/>
                <w:szCs w:val="18"/>
                <w:lang w:val="es-CO"/>
              </w:rPr>
              <w:t>148</w:t>
            </w:r>
          </w:p>
        </w:tc>
        <w:tc>
          <w:tcPr>
            <w:tcW w:w="435" w:type="pct"/>
            <w:shd w:val="clear" w:color="auto" w:fill="FFFFFF" w:themeFill="background1"/>
            <w:vAlign w:val="center"/>
            <w:hideMark/>
          </w:tcPr>
          <w:p w:rsidRPr="00DB2236" w:rsidR="00DB2236" w:rsidP="00DB2236" w:rsidRDefault="00DB2236" w14:paraId="0EA6ACFA" w14:textId="77777777">
            <w:pPr>
              <w:jc w:val="center"/>
              <w:cnfStyle w:val="000000000000" w:firstRow="0" w:lastRow="0" w:firstColumn="0" w:lastColumn="0" w:oddVBand="0" w:evenVBand="0" w:oddHBand="0" w:evenHBand="0" w:firstRowFirstColumn="0" w:firstRowLastColumn="0" w:lastRowFirstColumn="0" w:lastRowLastColumn="0"/>
              <w:rPr>
                <w:rFonts w:ascii="Verdana" w:hAnsi="Verdana" w:eastAsia="Times New Roman" w:cs="Arial"/>
                <w:sz w:val="18"/>
                <w:szCs w:val="18"/>
                <w:lang w:val="es-CO"/>
              </w:rPr>
            </w:pPr>
            <w:r w:rsidRPr="00DB2236">
              <w:rPr>
                <w:rFonts w:ascii="Verdana" w:hAnsi="Verdana" w:eastAsia="Times New Roman" w:cs="Arial"/>
                <w:sz w:val="18"/>
                <w:szCs w:val="18"/>
                <w:lang w:val="es-CO"/>
              </w:rPr>
              <w:t>44</w:t>
            </w:r>
          </w:p>
        </w:tc>
        <w:tc>
          <w:tcPr>
            <w:tcW w:w="793" w:type="pct"/>
            <w:shd w:val="clear" w:color="auto" w:fill="FFFFFF" w:themeFill="background1"/>
            <w:vAlign w:val="center"/>
            <w:hideMark/>
          </w:tcPr>
          <w:p w:rsidRPr="00DB2236" w:rsidR="00DB2236" w:rsidP="00DB2236" w:rsidRDefault="00DB2236" w14:paraId="2B46AF10" w14:textId="77777777">
            <w:pPr>
              <w:jc w:val="center"/>
              <w:cnfStyle w:val="000000000000" w:firstRow="0" w:lastRow="0" w:firstColumn="0" w:lastColumn="0" w:oddVBand="0" w:evenVBand="0" w:oddHBand="0" w:evenHBand="0" w:firstRowFirstColumn="0" w:firstRowLastColumn="0" w:lastRowFirstColumn="0" w:lastRowLastColumn="0"/>
              <w:rPr>
                <w:rFonts w:ascii="Verdana" w:hAnsi="Verdana" w:eastAsia="Times New Roman" w:cs="Arial"/>
                <w:sz w:val="18"/>
                <w:szCs w:val="18"/>
                <w:lang w:val="es-CO"/>
              </w:rPr>
            </w:pPr>
            <w:r w:rsidRPr="00DB2236">
              <w:rPr>
                <w:rFonts w:ascii="Verdana" w:hAnsi="Verdana" w:eastAsia="Times New Roman" w:cs="Arial"/>
                <w:sz w:val="18"/>
                <w:szCs w:val="18"/>
                <w:lang w:val="es-CO"/>
              </w:rPr>
              <w:t>192</w:t>
            </w:r>
          </w:p>
        </w:tc>
        <w:tc>
          <w:tcPr>
            <w:tcW w:w="925" w:type="pct"/>
            <w:shd w:val="clear" w:color="auto" w:fill="FFFFFF" w:themeFill="background1"/>
            <w:vAlign w:val="center"/>
            <w:hideMark/>
          </w:tcPr>
          <w:p w:rsidRPr="00DB2236" w:rsidR="00DB2236" w:rsidP="00DB2236" w:rsidRDefault="00DB2236" w14:paraId="51B6D426" w14:textId="77777777">
            <w:pPr>
              <w:jc w:val="center"/>
              <w:cnfStyle w:val="000000000000" w:firstRow="0" w:lastRow="0" w:firstColumn="0" w:lastColumn="0" w:oddVBand="0" w:evenVBand="0" w:oddHBand="0" w:evenHBand="0" w:firstRowFirstColumn="0" w:firstRowLastColumn="0" w:lastRowFirstColumn="0" w:lastRowLastColumn="0"/>
              <w:rPr>
                <w:rFonts w:ascii="Verdana" w:hAnsi="Verdana" w:eastAsia="Times New Roman" w:cs="Arial"/>
                <w:sz w:val="18"/>
                <w:szCs w:val="18"/>
                <w:lang w:val="es-CO"/>
              </w:rPr>
            </w:pPr>
            <w:r w:rsidRPr="00DB2236">
              <w:rPr>
                <w:rFonts w:ascii="Verdana" w:hAnsi="Verdana" w:eastAsia="Times New Roman" w:cs="Arial"/>
                <w:sz w:val="18"/>
                <w:szCs w:val="18"/>
                <w:lang w:val="es-CO"/>
              </w:rPr>
              <w:t>21</w:t>
            </w:r>
          </w:p>
        </w:tc>
        <w:tc>
          <w:tcPr>
            <w:tcW w:w="597" w:type="pct"/>
            <w:shd w:val="clear" w:color="auto" w:fill="FFFFFF" w:themeFill="background1"/>
            <w:vAlign w:val="center"/>
            <w:hideMark/>
          </w:tcPr>
          <w:p w:rsidRPr="00DB2236" w:rsidR="00DB2236" w:rsidP="00DB2236" w:rsidRDefault="00DB2236" w14:paraId="6DF59FC0" w14:textId="77777777">
            <w:pPr>
              <w:jc w:val="center"/>
              <w:cnfStyle w:val="000000000000" w:firstRow="0" w:lastRow="0" w:firstColumn="0" w:lastColumn="0" w:oddVBand="0" w:evenVBand="0" w:oddHBand="0" w:evenHBand="0" w:firstRowFirstColumn="0" w:firstRowLastColumn="0" w:lastRowFirstColumn="0" w:lastRowLastColumn="0"/>
              <w:rPr>
                <w:rFonts w:ascii="Verdana" w:hAnsi="Verdana" w:eastAsia="Times New Roman" w:cs="Arial"/>
                <w:sz w:val="18"/>
                <w:szCs w:val="18"/>
                <w:lang w:val="es-CO"/>
              </w:rPr>
            </w:pPr>
            <w:r w:rsidRPr="00DB2236">
              <w:rPr>
                <w:rFonts w:ascii="Verdana" w:hAnsi="Verdana" w:eastAsia="Times New Roman" w:cs="Arial"/>
                <w:sz w:val="18"/>
                <w:szCs w:val="18"/>
                <w:lang w:val="es-CO"/>
              </w:rPr>
              <w:t>2</w:t>
            </w:r>
          </w:p>
        </w:tc>
        <w:tc>
          <w:tcPr>
            <w:tcW w:w="705" w:type="pct"/>
            <w:shd w:val="clear" w:color="auto" w:fill="FFFFFF" w:themeFill="background1"/>
            <w:vAlign w:val="center"/>
            <w:hideMark/>
          </w:tcPr>
          <w:p w:rsidRPr="00DB2236" w:rsidR="00DB2236" w:rsidP="00DB2236" w:rsidRDefault="00DB2236" w14:paraId="02FE82D0" w14:textId="77777777">
            <w:pPr>
              <w:jc w:val="center"/>
              <w:cnfStyle w:val="000000000000" w:firstRow="0" w:lastRow="0" w:firstColumn="0" w:lastColumn="0" w:oddVBand="0" w:evenVBand="0" w:oddHBand="0" w:evenHBand="0" w:firstRowFirstColumn="0" w:firstRowLastColumn="0" w:lastRowFirstColumn="0" w:lastRowLastColumn="0"/>
              <w:rPr>
                <w:rFonts w:ascii="Verdana" w:hAnsi="Verdana" w:eastAsia="Times New Roman" w:cs="Arial"/>
                <w:sz w:val="18"/>
                <w:szCs w:val="18"/>
                <w:lang w:val="es-CO"/>
              </w:rPr>
            </w:pPr>
            <w:r w:rsidRPr="00DB2236">
              <w:rPr>
                <w:rFonts w:ascii="Verdana" w:hAnsi="Verdana" w:eastAsia="Times New Roman" w:cs="Arial"/>
                <w:sz w:val="18"/>
                <w:szCs w:val="18"/>
                <w:lang w:val="es-CO"/>
              </w:rPr>
              <w:t>215</w:t>
            </w:r>
          </w:p>
        </w:tc>
      </w:tr>
      <w:tr w:rsidRPr="00DB2236" w:rsidR="00DB2236" w:rsidTr="180099B3" w14:paraId="716258F0" w14:textId="77777777">
        <w:trPr>
          <w:gridAfter w:val="1"/>
          <w:cnfStyle w:val="000000100000" w:firstRow="0" w:lastRow="0" w:firstColumn="0" w:lastColumn="0" w:oddVBand="0" w:evenVBand="0" w:oddHBand="1" w:evenHBand="0" w:firstRowFirstColumn="0" w:firstRowLastColumn="0" w:lastRowFirstColumn="0" w:lastRowLastColumn="0"/>
          <w:wAfter w:w="9" w:type="pct"/>
        </w:trPr>
        <w:tc>
          <w:tcPr>
            <w:cnfStyle w:val="001000000000" w:firstRow="0" w:lastRow="0" w:firstColumn="1" w:lastColumn="0" w:oddVBand="0" w:evenVBand="0" w:oddHBand="0" w:evenHBand="0" w:firstRowFirstColumn="0" w:firstRowLastColumn="0" w:lastRowFirstColumn="0" w:lastRowLastColumn="0"/>
            <w:tcW w:w="769" w:type="pct"/>
            <w:shd w:val="clear" w:color="auto" w:fill="FFFFFF" w:themeFill="background1"/>
            <w:vAlign w:val="center"/>
            <w:hideMark/>
          </w:tcPr>
          <w:p w:rsidRPr="00DB2236" w:rsidR="00DB2236" w:rsidP="00DB2236" w:rsidRDefault="00DB2236" w14:paraId="3A4B2D4B" w14:textId="77777777">
            <w:pPr>
              <w:jc w:val="both"/>
              <w:rPr>
                <w:rFonts w:ascii="Verdana" w:hAnsi="Verdana" w:eastAsia="Times New Roman" w:cs="Arial"/>
                <w:b w:val="0"/>
                <w:bCs w:val="0"/>
                <w:sz w:val="18"/>
                <w:szCs w:val="18"/>
                <w:lang w:val="es-CO"/>
              </w:rPr>
            </w:pPr>
            <w:r w:rsidRPr="00DB2236">
              <w:rPr>
                <w:rFonts w:ascii="Verdana" w:hAnsi="Verdana" w:eastAsia="Times New Roman" w:cs="Arial"/>
                <w:b w:val="0"/>
                <w:bCs w:val="0"/>
                <w:sz w:val="18"/>
                <w:szCs w:val="18"/>
                <w:lang w:val="es-CO"/>
              </w:rPr>
              <w:t>Minería</w:t>
            </w:r>
          </w:p>
        </w:tc>
        <w:tc>
          <w:tcPr>
            <w:tcW w:w="767" w:type="pct"/>
            <w:shd w:val="clear" w:color="auto" w:fill="FFFFFF" w:themeFill="background1"/>
            <w:vAlign w:val="center"/>
            <w:hideMark/>
          </w:tcPr>
          <w:p w:rsidRPr="00DB2236" w:rsidR="00DB2236" w:rsidP="00DB2236" w:rsidRDefault="00DB2236" w14:paraId="711558B4" w14:textId="77777777">
            <w:pPr>
              <w:jc w:val="center"/>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DB2236">
              <w:rPr>
                <w:rFonts w:ascii="Verdana" w:hAnsi="Verdana" w:eastAsia="Times New Roman" w:cs="Arial"/>
                <w:sz w:val="18"/>
                <w:szCs w:val="18"/>
                <w:lang w:val="es-CO"/>
              </w:rPr>
              <w:t>63</w:t>
            </w:r>
          </w:p>
        </w:tc>
        <w:tc>
          <w:tcPr>
            <w:tcW w:w="435" w:type="pct"/>
            <w:shd w:val="clear" w:color="auto" w:fill="FFFFFF" w:themeFill="background1"/>
            <w:vAlign w:val="center"/>
            <w:hideMark/>
          </w:tcPr>
          <w:p w:rsidRPr="00DB2236" w:rsidR="00DB2236" w:rsidP="00DB2236" w:rsidRDefault="00DB2236" w14:paraId="5AF8F603" w14:textId="77777777">
            <w:pPr>
              <w:jc w:val="center"/>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DB2236">
              <w:rPr>
                <w:rFonts w:ascii="Verdana" w:hAnsi="Verdana" w:eastAsia="Times New Roman" w:cs="Arial"/>
                <w:sz w:val="18"/>
                <w:szCs w:val="18"/>
                <w:lang w:val="es-CO"/>
              </w:rPr>
              <w:t>42</w:t>
            </w:r>
          </w:p>
        </w:tc>
        <w:tc>
          <w:tcPr>
            <w:tcW w:w="793" w:type="pct"/>
            <w:shd w:val="clear" w:color="auto" w:fill="FFFFFF" w:themeFill="background1"/>
            <w:vAlign w:val="center"/>
            <w:hideMark/>
          </w:tcPr>
          <w:p w:rsidRPr="00DB2236" w:rsidR="00DB2236" w:rsidP="00DB2236" w:rsidRDefault="00DB2236" w14:paraId="1C02BE6A" w14:textId="77777777">
            <w:pPr>
              <w:jc w:val="center"/>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DB2236">
              <w:rPr>
                <w:rFonts w:ascii="Verdana" w:hAnsi="Verdana" w:eastAsia="Times New Roman" w:cs="Arial"/>
                <w:sz w:val="18"/>
                <w:szCs w:val="18"/>
                <w:lang w:val="es-CO"/>
              </w:rPr>
              <w:t>105</w:t>
            </w:r>
          </w:p>
        </w:tc>
        <w:tc>
          <w:tcPr>
            <w:tcW w:w="925" w:type="pct"/>
            <w:shd w:val="clear" w:color="auto" w:fill="FFFFFF" w:themeFill="background1"/>
            <w:vAlign w:val="center"/>
            <w:hideMark/>
          </w:tcPr>
          <w:p w:rsidRPr="00DB2236" w:rsidR="00DB2236" w:rsidP="00DB2236" w:rsidRDefault="00DB2236" w14:paraId="304F9C82" w14:textId="77777777">
            <w:pPr>
              <w:jc w:val="center"/>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DB2236">
              <w:rPr>
                <w:rFonts w:ascii="Verdana" w:hAnsi="Verdana" w:eastAsia="Times New Roman" w:cs="Arial"/>
                <w:sz w:val="18"/>
                <w:szCs w:val="18"/>
                <w:lang w:val="es-CO"/>
              </w:rPr>
              <w:t>48</w:t>
            </w:r>
          </w:p>
        </w:tc>
        <w:tc>
          <w:tcPr>
            <w:tcW w:w="597" w:type="pct"/>
            <w:shd w:val="clear" w:color="auto" w:fill="FFFFFF" w:themeFill="background1"/>
            <w:vAlign w:val="center"/>
            <w:hideMark/>
          </w:tcPr>
          <w:p w:rsidRPr="00DB2236" w:rsidR="00DB2236" w:rsidP="00DB2236" w:rsidRDefault="00DB2236" w14:paraId="7934034F" w14:textId="77777777">
            <w:pPr>
              <w:jc w:val="center"/>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DB2236">
              <w:rPr>
                <w:rFonts w:ascii="Verdana" w:hAnsi="Verdana" w:eastAsia="Times New Roman" w:cs="Arial"/>
                <w:sz w:val="18"/>
                <w:szCs w:val="18"/>
                <w:lang w:val="es-CO"/>
              </w:rPr>
              <w:t>0</w:t>
            </w:r>
          </w:p>
        </w:tc>
        <w:tc>
          <w:tcPr>
            <w:tcW w:w="705" w:type="pct"/>
            <w:shd w:val="clear" w:color="auto" w:fill="FFFFFF" w:themeFill="background1"/>
            <w:vAlign w:val="center"/>
            <w:hideMark/>
          </w:tcPr>
          <w:p w:rsidRPr="00DB2236" w:rsidR="00DB2236" w:rsidP="00DB2236" w:rsidRDefault="00DB2236" w14:paraId="5B6FF6F7" w14:textId="77777777">
            <w:pPr>
              <w:jc w:val="center"/>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DB2236">
              <w:rPr>
                <w:rFonts w:ascii="Verdana" w:hAnsi="Verdana" w:eastAsia="Times New Roman" w:cs="Arial"/>
                <w:sz w:val="18"/>
                <w:szCs w:val="18"/>
                <w:lang w:val="es-CO"/>
              </w:rPr>
              <w:t>153</w:t>
            </w:r>
          </w:p>
        </w:tc>
      </w:tr>
      <w:tr w:rsidRPr="00DB2236" w:rsidR="00DB2236" w:rsidTr="180099B3" w14:paraId="4743AC2C" w14:textId="77777777">
        <w:trPr>
          <w:gridAfter w:val="1"/>
          <w:wAfter w:w="9" w:type="pct"/>
        </w:trPr>
        <w:tc>
          <w:tcPr>
            <w:cnfStyle w:val="001000000000" w:firstRow="0" w:lastRow="0" w:firstColumn="1" w:lastColumn="0" w:oddVBand="0" w:evenVBand="0" w:oddHBand="0" w:evenHBand="0" w:firstRowFirstColumn="0" w:firstRowLastColumn="0" w:lastRowFirstColumn="0" w:lastRowLastColumn="0"/>
            <w:tcW w:w="769" w:type="pct"/>
            <w:shd w:val="clear" w:color="auto" w:fill="FFFFFF" w:themeFill="background1"/>
            <w:vAlign w:val="center"/>
            <w:hideMark/>
          </w:tcPr>
          <w:p w:rsidRPr="00DB2236" w:rsidR="00DB2236" w:rsidP="00DB2236" w:rsidRDefault="00DB2236" w14:paraId="64FAEF03" w14:textId="77777777">
            <w:pPr>
              <w:jc w:val="both"/>
              <w:rPr>
                <w:rFonts w:ascii="Verdana" w:hAnsi="Verdana" w:eastAsia="Times New Roman" w:cs="Arial"/>
                <w:b w:val="0"/>
                <w:bCs w:val="0"/>
                <w:sz w:val="18"/>
                <w:szCs w:val="18"/>
                <w:lang w:val="es-CO"/>
              </w:rPr>
            </w:pPr>
            <w:r w:rsidRPr="00DB2236">
              <w:rPr>
                <w:rFonts w:ascii="Verdana" w:hAnsi="Verdana" w:eastAsia="Times New Roman" w:cs="Arial"/>
                <w:b w:val="0"/>
                <w:bCs w:val="0"/>
                <w:sz w:val="18"/>
                <w:szCs w:val="18"/>
                <w:lang w:val="es-CO"/>
              </w:rPr>
              <w:t>Total general</w:t>
            </w:r>
          </w:p>
        </w:tc>
        <w:tc>
          <w:tcPr>
            <w:tcW w:w="767" w:type="pct"/>
            <w:shd w:val="clear" w:color="auto" w:fill="FFFFFF" w:themeFill="background1"/>
            <w:vAlign w:val="center"/>
            <w:hideMark/>
          </w:tcPr>
          <w:p w:rsidRPr="00DB2236" w:rsidR="00DB2236" w:rsidP="00DB2236" w:rsidRDefault="00DB2236" w14:paraId="09B041CD" w14:textId="77777777">
            <w:pPr>
              <w:jc w:val="center"/>
              <w:cnfStyle w:val="000000000000" w:firstRow="0" w:lastRow="0" w:firstColumn="0" w:lastColumn="0" w:oddVBand="0" w:evenVBand="0" w:oddHBand="0" w:evenHBand="0" w:firstRowFirstColumn="0" w:firstRowLastColumn="0" w:lastRowFirstColumn="0" w:lastRowLastColumn="0"/>
              <w:rPr>
                <w:rFonts w:ascii="Verdana" w:hAnsi="Verdana" w:eastAsia="Times New Roman" w:cs="Arial"/>
                <w:sz w:val="18"/>
                <w:szCs w:val="18"/>
                <w:lang w:val="es-CO"/>
              </w:rPr>
            </w:pPr>
            <w:r w:rsidRPr="00DB2236">
              <w:rPr>
                <w:rFonts w:ascii="Verdana" w:hAnsi="Verdana" w:eastAsia="Times New Roman" w:cs="Arial"/>
                <w:sz w:val="18"/>
                <w:szCs w:val="18"/>
                <w:lang w:val="es-CO"/>
              </w:rPr>
              <w:t>422</w:t>
            </w:r>
          </w:p>
        </w:tc>
        <w:tc>
          <w:tcPr>
            <w:tcW w:w="435" w:type="pct"/>
            <w:shd w:val="clear" w:color="auto" w:fill="FFFFFF" w:themeFill="background1"/>
            <w:vAlign w:val="center"/>
            <w:hideMark/>
          </w:tcPr>
          <w:p w:rsidRPr="00DB2236" w:rsidR="00DB2236" w:rsidP="00DB2236" w:rsidRDefault="00DB2236" w14:paraId="49D904AD" w14:textId="77777777">
            <w:pPr>
              <w:jc w:val="center"/>
              <w:cnfStyle w:val="000000000000" w:firstRow="0" w:lastRow="0" w:firstColumn="0" w:lastColumn="0" w:oddVBand="0" w:evenVBand="0" w:oddHBand="0" w:evenHBand="0" w:firstRowFirstColumn="0" w:firstRowLastColumn="0" w:lastRowFirstColumn="0" w:lastRowLastColumn="0"/>
              <w:rPr>
                <w:rFonts w:ascii="Verdana" w:hAnsi="Verdana" w:eastAsia="Times New Roman" w:cs="Arial"/>
                <w:sz w:val="18"/>
                <w:szCs w:val="18"/>
                <w:lang w:val="es-CO"/>
              </w:rPr>
            </w:pPr>
            <w:r w:rsidRPr="00DB2236">
              <w:rPr>
                <w:rFonts w:ascii="Verdana" w:hAnsi="Verdana" w:eastAsia="Times New Roman" w:cs="Arial"/>
                <w:sz w:val="18"/>
                <w:szCs w:val="18"/>
                <w:lang w:val="es-CO"/>
              </w:rPr>
              <w:t>206</w:t>
            </w:r>
          </w:p>
        </w:tc>
        <w:tc>
          <w:tcPr>
            <w:tcW w:w="793" w:type="pct"/>
            <w:shd w:val="clear" w:color="auto" w:fill="FFFFFF" w:themeFill="background1"/>
            <w:vAlign w:val="center"/>
            <w:hideMark/>
          </w:tcPr>
          <w:p w:rsidRPr="00DB2236" w:rsidR="00DB2236" w:rsidP="00DB2236" w:rsidRDefault="00DB2236" w14:paraId="25954B53" w14:textId="77777777">
            <w:pPr>
              <w:jc w:val="center"/>
              <w:cnfStyle w:val="000000000000" w:firstRow="0" w:lastRow="0" w:firstColumn="0" w:lastColumn="0" w:oddVBand="0" w:evenVBand="0" w:oddHBand="0" w:evenHBand="0" w:firstRowFirstColumn="0" w:firstRowLastColumn="0" w:lastRowFirstColumn="0" w:lastRowLastColumn="0"/>
              <w:rPr>
                <w:rFonts w:ascii="Verdana" w:hAnsi="Verdana" w:eastAsia="Times New Roman" w:cs="Arial"/>
                <w:sz w:val="18"/>
                <w:szCs w:val="18"/>
                <w:lang w:val="es-CO"/>
              </w:rPr>
            </w:pPr>
            <w:r w:rsidRPr="00DB2236">
              <w:rPr>
                <w:rFonts w:ascii="Verdana" w:hAnsi="Verdana" w:eastAsia="Times New Roman" w:cs="Arial"/>
                <w:sz w:val="18"/>
                <w:szCs w:val="18"/>
                <w:lang w:val="es-CO"/>
              </w:rPr>
              <w:t>628</w:t>
            </w:r>
          </w:p>
        </w:tc>
        <w:tc>
          <w:tcPr>
            <w:tcW w:w="925" w:type="pct"/>
            <w:shd w:val="clear" w:color="auto" w:fill="FFFFFF" w:themeFill="background1"/>
            <w:vAlign w:val="center"/>
            <w:hideMark/>
          </w:tcPr>
          <w:p w:rsidRPr="00DB2236" w:rsidR="00DB2236" w:rsidP="00DB2236" w:rsidRDefault="00DB2236" w14:paraId="6B7766E6" w14:textId="77777777">
            <w:pPr>
              <w:jc w:val="center"/>
              <w:cnfStyle w:val="000000000000" w:firstRow="0" w:lastRow="0" w:firstColumn="0" w:lastColumn="0" w:oddVBand="0" w:evenVBand="0" w:oddHBand="0" w:evenHBand="0" w:firstRowFirstColumn="0" w:firstRowLastColumn="0" w:lastRowFirstColumn="0" w:lastRowLastColumn="0"/>
              <w:rPr>
                <w:rFonts w:ascii="Verdana" w:hAnsi="Verdana" w:eastAsia="Times New Roman" w:cs="Arial"/>
                <w:sz w:val="18"/>
                <w:szCs w:val="18"/>
                <w:lang w:val="es-CO"/>
              </w:rPr>
            </w:pPr>
            <w:r w:rsidRPr="00DB2236">
              <w:rPr>
                <w:rFonts w:ascii="Verdana" w:hAnsi="Verdana" w:eastAsia="Times New Roman" w:cs="Arial"/>
                <w:sz w:val="18"/>
                <w:szCs w:val="18"/>
                <w:lang w:val="es-CO"/>
              </w:rPr>
              <w:t>122</w:t>
            </w:r>
          </w:p>
        </w:tc>
        <w:tc>
          <w:tcPr>
            <w:tcW w:w="597" w:type="pct"/>
            <w:shd w:val="clear" w:color="auto" w:fill="FFFFFF" w:themeFill="background1"/>
            <w:vAlign w:val="center"/>
            <w:hideMark/>
          </w:tcPr>
          <w:p w:rsidRPr="00DB2236" w:rsidR="00DB2236" w:rsidP="00DB2236" w:rsidRDefault="00DB2236" w14:paraId="5EB364C9" w14:textId="77777777">
            <w:pPr>
              <w:jc w:val="center"/>
              <w:cnfStyle w:val="000000000000" w:firstRow="0" w:lastRow="0" w:firstColumn="0" w:lastColumn="0" w:oddVBand="0" w:evenVBand="0" w:oddHBand="0" w:evenHBand="0" w:firstRowFirstColumn="0" w:firstRowLastColumn="0" w:lastRowFirstColumn="0" w:lastRowLastColumn="0"/>
              <w:rPr>
                <w:rFonts w:ascii="Verdana" w:hAnsi="Verdana" w:eastAsia="Times New Roman" w:cs="Arial"/>
                <w:sz w:val="18"/>
                <w:szCs w:val="18"/>
                <w:lang w:val="es-CO"/>
              </w:rPr>
            </w:pPr>
            <w:r w:rsidRPr="00DB2236">
              <w:rPr>
                <w:rFonts w:ascii="Verdana" w:hAnsi="Verdana" w:eastAsia="Times New Roman" w:cs="Arial"/>
                <w:sz w:val="18"/>
                <w:szCs w:val="18"/>
                <w:lang w:val="es-CO"/>
              </w:rPr>
              <w:t>6</w:t>
            </w:r>
          </w:p>
        </w:tc>
        <w:tc>
          <w:tcPr>
            <w:tcW w:w="705" w:type="pct"/>
            <w:shd w:val="clear" w:color="auto" w:fill="FFFFFF" w:themeFill="background1"/>
            <w:vAlign w:val="center"/>
            <w:hideMark/>
          </w:tcPr>
          <w:p w:rsidRPr="00DB2236" w:rsidR="00DB2236" w:rsidP="00DB2236" w:rsidRDefault="00DB2236" w14:paraId="232E6E21" w14:textId="77777777">
            <w:pPr>
              <w:jc w:val="center"/>
              <w:cnfStyle w:val="000000000000" w:firstRow="0" w:lastRow="0" w:firstColumn="0" w:lastColumn="0" w:oddVBand="0" w:evenVBand="0" w:oddHBand="0" w:evenHBand="0" w:firstRowFirstColumn="0" w:firstRowLastColumn="0" w:lastRowFirstColumn="0" w:lastRowLastColumn="0"/>
              <w:rPr>
                <w:rFonts w:ascii="Verdana" w:hAnsi="Verdana" w:eastAsia="Times New Roman" w:cs="Arial"/>
                <w:sz w:val="18"/>
                <w:szCs w:val="18"/>
                <w:lang w:val="es-CO"/>
              </w:rPr>
            </w:pPr>
            <w:r w:rsidRPr="00DB2236">
              <w:rPr>
                <w:rFonts w:ascii="Verdana" w:hAnsi="Verdana" w:eastAsia="Times New Roman" w:cs="Arial"/>
                <w:sz w:val="18"/>
                <w:szCs w:val="18"/>
                <w:lang w:val="es-CO"/>
              </w:rPr>
              <w:t>756</w:t>
            </w:r>
          </w:p>
        </w:tc>
      </w:tr>
    </w:tbl>
    <w:p w:rsidR="01AE1252" w:rsidP="180099B3" w:rsidRDefault="01AE1252" w14:paraId="0A30F911" w14:textId="77777777">
      <w:pPr>
        <w:spacing w:after="0" w:line="360" w:lineRule="auto"/>
        <w:jc w:val="center"/>
        <w:rPr>
          <w:rFonts w:ascii="Verdana" w:hAnsi="Verdana"/>
          <w:sz w:val="18"/>
          <w:szCs w:val="18"/>
        </w:rPr>
      </w:pPr>
      <w:r w:rsidRPr="180099B3">
        <w:rPr>
          <w:rFonts w:ascii="Verdana" w:hAnsi="Verdana"/>
          <w:sz w:val="18"/>
          <w:szCs w:val="18"/>
        </w:rPr>
        <w:t>Fuente: Oficina de Asuntos Ambientales y Sociales - OAAS</w:t>
      </w:r>
    </w:p>
    <w:p w:rsidR="00DB2236" w:rsidP="006A0A13" w:rsidRDefault="00DB2236" w14:paraId="13CFB5EE" w14:textId="77777777">
      <w:pPr>
        <w:spacing w:after="0" w:line="360" w:lineRule="auto"/>
        <w:rPr>
          <w:rFonts w:ascii="Verdana" w:hAnsi="Verdana"/>
          <w:sz w:val="24"/>
          <w:szCs w:val="24"/>
        </w:rPr>
      </w:pPr>
    </w:p>
    <w:p w:rsidRPr="00DB2236" w:rsidR="00DB2236" w:rsidP="006A0A13" w:rsidRDefault="3C7E1E06" w14:paraId="22831A25" w14:textId="77777777">
      <w:pPr>
        <w:spacing w:after="0" w:line="360" w:lineRule="auto"/>
        <w:rPr>
          <w:rFonts w:ascii="Verdana" w:hAnsi="Verdana"/>
          <w:b/>
          <w:bCs/>
          <w:sz w:val="24"/>
          <w:szCs w:val="24"/>
        </w:rPr>
      </w:pPr>
      <w:r w:rsidRPr="0FF05B1B">
        <w:rPr>
          <w:rFonts w:ascii="Verdana" w:hAnsi="Verdana"/>
          <w:b/>
          <w:bCs/>
          <w:sz w:val="24"/>
          <w:szCs w:val="24"/>
        </w:rPr>
        <w:t>Índice de Pobreza Energética Multidimensional (IPEM)</w:t>
      </w:r>
    </w:p>
    <w:p w:rsidR="0FF05B1B" w:rsidP="006A0A13" w:rsidRDefault="0FF05B1B" w14:paraId="4538BFD1" w14:textId="36CA0567">
      <w:pPr>
        <w:spacing w:after="0" w:line="360" w:lineRule="auto"/>
        <w:jc w:val="both"/>
        <w:rPr>
          <w:rFonts w:ascii="Verdana" w:hAnsi="Verdana"/>
          <w:sz w:val="24"/>
          <w:szCs w:val="24"/>
        </w:rPr>
      </w:pPr>
    </w:p>
    <w:p w:rsidRPr="00DB2236" w:rsidR="00DB2236" w:rsidP="006A0A13" w:rsidRDefault="00DB2236" w14:paraId="1A8EB724" w14:textId="77777777">
      <w:pPr>
        <w:spacing w:after="0" w:line="360" w:lineRule="auto"/>
        <w:jc w:val="both"/>
        <w:rPr>
          <w:rFonts w:ascii="Verdana" w:hAnsi="Verdana"/>
          <w:sz w:val="24"/>
          <w:szCs w:val="24"/>
        </w:rPr>
      </w:pPr>
      <w:r w:rsidRPr="00DB2236">
        <w:rPr>
          <w:rFonts w:ascii="Verdana" w:hAnsi="Verdana"/>
          <w:sz w:val="24"/>
          <w:szCs w:val="24"/>
        </w:rPr>
        <w:t>El IPEM se consolidó como una herramienta estratégica para medir la reducción en las brechas de acceso a la energía, orientando las políticas públicas hacia la equidad energética y la justicia social.</w:t>
      </w:r>
    </w:p>
    <w:p w:rsidR="00DB2236" w:rsidP="006A0A13" w:rsidRDefault="00DB2236" w14:paraId="70148E4E" w14:textId="77777777">
      <w:pPr>
        <w:spacing w:after="0" w:line="360" w:lineRule="auto"/>
        <w:jc w:val="both"/>
        <w:rPr>
          <w:rFonts w:ascii="Verdana" w:hAnsi="Verdana"/>
          <w:sz w:val="24"/>
          <w:szCs w:val="24"/>
        </w:rPr>
      </w:pPr>
    </w:p>
    <w:p w:rsidRPr="00DB2236" w:rsidR="00DB2236" w:rsidP="006A0A13" w:rsidRDefault="3C7E1E06" w14:paraId="3C9D4905" w14:textId="5EEED86F">
      <w:pPr>
        <w:spacing w:after="0" w:line="360" w:lineRule="auto"/>
        <w:jc w:val="both"/>
        <w:rPr>
          <w:rFonts w:ascii="Verdana" w:hAnsi="Verdana"/>
          <w:sz w:val="24"/>
          <w:szCs w:val="24"/>
        </w:rPr>
      </w:pPr>
      <w:r w:rsidRPr="0FF05B1B">
        <w:rPr>
          <w:rFonts w:ascii="Verdana" w:hAnsi="Verdana"/>
          <w:sz w:val="24"/>
          <w:szCs w:val="24"/>
        </w:rPr>
        <w:t>Hito 1. Validación de Información Estadística</w:t>
      </w:r>
      <w:r w:rsidRPr="0FF05B1B" w:rsidR="3A4C4D24">
        <w:rPr>
          <w:rFonts w:ascii="Verdana" w:hAnsi="Verdana"/>
          <w:sz w:val="24"/>
          <w:szCs w:val="24"/>
        </w:rPr>
        <w:t xml:space="preserve">: </w:t>
      </w:r>
      <w:r w:rsidRPr="0FF05B1B">
        <w:rPr>
          <w:rFonts w:ascii="Verdana" w:hAnsi="Verdana"/>
          <w:sz w:val="24"/>
          <w:szCs w:val="24"/>
        </w:rPr>
        <w:t xml:space="preserve">Se integraron fuentes oficiales como la Encuesta Nacional de Calidad de Vida (ENCV) del Departamento Administrativo Nacional de Estadística (DANE) y el Índice de Cobertura de Energía Eléctrica de la Unidad de Planeación </w:t>
      </w:r>
      <w:r w:rsidRPr="0FF05B1B" w:rsidR="7908329B">
        <w:rPr>
          <w:rFonts w:ascii="Verdana" w:hAnsi="Verdana"/>
          <w:sz w:val="24"/>
          <w:szCs w:val="24"/>
        </w:rPr>
        <w:t>Minero-Energética</w:t>
      </w:r>
      <w:r w:rsidRPr="0FF05B1B">
        <w:rPr>
          <w:rFonts w:ascii="Verdana" w:hAnsi="Verdana"/>
          <w:sz w:val="24"/>
          <w:szCs w:val="24"/>
        </w:rPr>
        <w:t xml:space="preserve"> (UPME).</w:t>
      </w:r>
    </w:p>
    <w:p w:rsidR="00DB2236" w:rsidP="006A0A13" w:rsidRDefault="00DB2236" w14:paraId="79071F2D" w14:textId="77777777">
      <w:pPr>
        <w:spacing w:after="0" w:line="360" w:lineRule="auto"/>
        <w:jc w:val="both"/>
        <w:rPr>
          <w:rFonts w:ascii="Verdana" w:hAnsi="Verdana"/>
          <w:sz w:val="24"/>
          <w:szCs w:val="24"/>
        </w:rPr>
      </w:pPr>
    </w:p>
    <w:p w:rsidRPr="00DB2236" w:rsidR="00DB2236" w:rsidP="006A0A13" w:rsidRDefault="3C7E1E06" w14:paraId="49528C17" w14:textId="669AEAB0">
      <w:pPr>
        <w:spacing w:after="0" w:line="360" w:lineRule="auto"/>
        <w:jc w:val="both"/>
        <w:rPr>
          <w:rFonts w:ascii="Verdana" w:hAnsi="Verdana"/>
          <w:sz w:val="24"/>
          <w:szCs w:val="24"/>
        </w:rPr>
      </w:pPr>
      <w:r w:rsidRPr="0FF05B1B">
        <w:rPr>
          <w:rFonts w:ascii="Verdana" w:hAnsi="Verdana"/>
          <w:sz w:val="24"/>
          <w:szCs w:val="24"/>
        </w:rPr>
        <w:t>Hito 2. Fortalecimiento Metodológico Interinstitucional</w:t>
      </w:r>
      <w:r w:rsidRPr="0FF05B1B" w:rsidR="3E061B89">
        <w:rPr>
          <w:rFonts w:ascii="Verdana" w:hAnsi="Verdana"/>
          <w:sz w:val="24"/>
          <w:szCs w:val="24"/>
        </w:rPr>
        <w:t xml:space="preserve">: </w:t>
      </w:r>
      <w:r w:rsidRPr="0FF05B1B">
        <w:rPr>
          <w:rFonts w:ascii="Verdana" w:hAnsi="Verdana"/>
          <w:sz w:val="24"/>
          <w:szCs w:val="24"/>
        </w:rPr>
        <w:t xml:space="preserve">Se logró la consultoría con la Comisión Económica para América Latina y el Caribe (CEPAL) y la Red de Pobreza Energética de Chile (RedPE), incorporando </w:t>
      </w:r>
      <w:r w:rsidRPr="0FF05B1B">
        <w:rPr>
          <w:rFonts w:ascii="Verdana" w:hAnsi="Verdana"/>
          <w:sz w:val="24"/>
          <w:szCs w:val="24"/>
        </w:rPr>
        <w:t>enfoques territoriales, diferenciales, de capacidades y construcción de paz.</w:t>
      </w:r>
    </w:p>
    <w:p w:rsidR="00DB2236" w:rsidP="006A0A13" w:rsidRDefault="00DB2236" w14:paraId="7ED5262B" w14:textId="77777777">
      <w:pPr>
        <w:spacing w:after="0" w:line="360" w:lineRule="auto"/>
        <w:jc w:val="both"/>
        <w:rPr>
          <w:rFonts w:ascii="Verdana" w:hAnsi="Verdana"/>
          <w:sz w:val="24"/>
          <w:szCs w:val="24"/>
        </w:rPr>
      </w:pPr>
    </w:p>
    <w:p w:rsidRPr="00DB2236" w:rsidR="00DB2236" w:rsidP="006A0A13" w:rsidRDefault="3C7E1E06" w14:paraId="1FBEDB29" w14:textId="2ADC1404">
      <w:pPr>
        <w:spacing w:after="0" w:line="360" w:lineRule="auto"/>
        <w:jc w:val="both"/>
        <w:rPr>
          <w:rFonts w:ascii="Verdana" w:hAnsi="Verdana"/>
          <w:sz w:val="24"/>
          <w:szCs w:val="24"/>
        </w:rPr>
      </w:pPr>
      <w:r w:rsidRPr="0FF05B1B">
        <w:rPr>
          <w:rFonts w:ascii="Verdana" w:hAnsi="Verdana"/>
          <w:sz w:val="24"/>
          <w:szCs w:val="24"/>
        </w:rPr>
        <w:t>Hito 3. Elaboración de Informes de Medición</w:t>
      </w:r>
      <w:r w:rsidRPr="0FF05B1B" w:rsidR="3E1614A3">
        <w:rPr>
          <w:rFonts w:ascii="Verdana" w:hAnsi="Verdana"/>
          <w:sz w:val="24"/>
          <w:szCs w:val="24"/>
        </w:rPr>
        <w:t xml:space="preserve">: </w:t>
      </w:r>
      <w:r w:rsidRPr="0FF05B1B">
        <w:rPr>
          <w:rFonts w:ascii="Verdana" w:hAnsi="Verdana"/>
          <w:sz w:val="24"/>
          <w:szCs w:val="24"/>
        </w:rPr>
        <w:t>Se consolidaron los informes 2024 y 2025, fortaleciendo el seguimiento a la evolución de la pobreza energética en el país. El informe de 2026 está en preparación.</w:t>
      </w:r>
    </w:p>
    <w:p w:rsidR="00DB2236" w:rsidP="006A0A13" w:rsidRDefault="00DB2236" w14:paraId="77EA7EF8" w14:textId="77777777">
      <w:pPr>
        <w:spacing w:after="0" w:line="360" w:lineRule="auto"/>
        <w:jc w:val="both"/>
        <w:rPr>
          <w:rFonts w:ascii="Verdana" w:hAnsi="Verdana"/>
          <w:sz w:val="24"/>
          <w:szCs w:val="24"/>
        </w:rPr>
      </w:pPr>
    </w:p>
    <w:p w:rsidRPr="00DB2236" w:rsidR="00DB2236" w:rsidP="006A0A13" w:rsidRDefault="3C7E1E06" w14:paraId="36B62519" w14:textId="331263B9">
      <w:pPr>
        <w:spacing w:after="0" w:line="360" w:lineRule="auto"/>
        <w:jc w:val="both"/>
        <w:rPr>
          <w:rFonts w:ascii="Verdana" w:hAnsi="Verdana"/>
          <w:sz w:val="24"/>
          <w:szCs w:val="24"/>
        </w:rPr>
      </w:pPr>
      <w:r w:rsidRPr="0FF05B1B">
        <w:rPr>
          <w:rFonts w:ascii="Verdana" w:hAnsi="Verdana"/>
          <w:sz w:val="24"/>
          <w:szCs w:val="24"/>
        </w:rPr>
        <w:t>Hito 4. Socialización y Apropiación Territorial</w:t>
      </w:r>
      <w:r w:rsidRPr="0FF05B1B" w:rsidR="08CC9E6D">
        <w:rPr>
          <w:rFonts w:ascii="Verdana" w:hAnsi="Verdana"/>
          <w:sz w:val="24"/>
          <w:szCs w:val="24"/>
        </w:rPr>
        <w:t xml:space="preserve">: </w:t>
      </w:r>
      <w:r w:rsidRPr="0FF05B1B">
        <w:rPr>
          <w:rFonts w:ascii="Verdana" w:hAnsi="Verdana"/>
          <w:sz w:val="24"/>
          <w:szCs w:val="24"/>
        </w:rPr>
        <w:t>Se difundieron resultados a entidades, comunidades y actores del sector para fortalecer la toma informada de decisiones.</w:t>
      </w:r>
    </w:p>
    <w:p w:rsidR="00DB2236" w:rsidP="006A0A13" w:rsidRDefault="00DB2236" w14:paraId="04BA0847" w14:textId="77777777">
      <w:pPr>
        <w:spacing w:after="0" w:line="360" w:lineRule="auto"/>
        <w:jc w:val="both"/>
        <w:rPr>
          <w:rFonts w:ascii="Verdana" w:hAnsi="Verdana"/>
          <w:sz w:val="24"/>
          <w:szCs w:val="24"/>
        </w:rPr>
      </w:pPr>
    </w:p>
    <w:p w:rsidR="00B75940" w:rsidP="006A0A13" w:rsidRDefault="00DB2236" w14:paraId="6FDC3740" w14:textId="77777777">
      <w:pPr>
        <w:spacing w:after="0" w:line="360" w:lineRule="auto"/>
        <w:jc w:val="both"/>
        <w:rPr>
          <w:rFonts w:ascii="Verdana" w:hAnsi="Verdana"/>
          <w:sz w:val="24"/>
          <w:szCs w:val="24"/>
        </w:rPr>
      </w:pPr>
      <w:r w:rsidRPr="00DB2236">
        <w:rPr>
          <w:rFonts w:ascii="Verdana" w:hAnsi="Verdana"/>
          <w:sz w:val="24"/>
          <w:szCs w:val="24"/>
        </w:rPr>
        <w:t>Se evidenció que cerca de 760.000 personas salieron de la pobreza energética entre 2023 y 2024, y que el 91,3% de los municipios redujo sus niveles, evidenciando avances en el cierre de brechas energéticas.</w:t>
      </w:r>
    </w:p>
    <w:p w:rsidRPr="00B75940" w:rsidR="00B75940" w:rsidP="006A0A13" w:rsidRDefault="00B75940" w14:paraId="6E407993" w14:textId="77777777">
      <w:pPr>
        <w:spacing w:after="0" w:line="360" w:lineRule="auto"/>
        <w:jc w:val="both"/>
        <w:rPr>
          <w:rFonts w:ascii="Verdana" w:hAnsi="Verdana"/>
          <w:sz w:val="24"/>
          <w:szCs w:val="24"/>
        </w:rPr>
      </w:pPr>
    </w:p>
    <w:p w:rsidR="00A82055" w:rsidP="006A0A13" w:rsidRDefault="00A82055" w14:paraId="3A84E8D3" w14:textId="77777777">
      <w:pPr>
        <w:pStyle w:val="Prrafodelista"/>
        <w:spacing w:after="0" w:line="360" w:lineRule="auto"/>
        <w:ind w:left="360"/>
        <w:outlineLvl w:val="1"/>
        <w:rPr>
          <w:rFonts w:ascii="Verdana" w:hAnsi="Verdana"/>
          <w:b/>
          <w:bCs/>
          <w:sz w:val="24"/>
          <w:szCs w:val="24"/>
        </w:rPr>
      </w:pPr>
      <w:bookmarkStart w:name="_Toc233996742" w:id="25"/>
      <w:r w:rsidRPr="00DB5DFD">
        <w:rPr>
          <w:rFonts w:ascii="Verdana" w:hAnsi="Verdana"/>
          <w:b/>
          <w:bCs/>
          <w:sz w:val="24"/>
          <w:szCs w:val="24"/>
        </w:rPr>
        <w:t>6.1 Derechos humanos y paz</w:t>
      </w:r>
      <w:bookmarkEnd w:id="25"/>
    </w:p>
    <w:p w:rsidR="00DB2236" w:rsidP="006A0A13" w:rsidRDefault="00DB2236" w14:paraId="17E4BA33" w14:textId="77777777">
      <w:pPr>
        <w:spacing w:after="0" w:line="360" w:lineRule="auto"/>
        <w:rPr>
          <w:rFonts w:ascii="Verdana" w:hAnsi="Verdana"/>
          <w:b/>
          <w:bCs/>
          <w:sz w:val="24"/>
          <w:szCs w:val="24"/>
        </w:rPr>
      </w:pPr>
    </w:p>
    <w:p w:rsidRPr="005D4836" w:rsidR="005D4836" w:rsidP="006A0A13" w:rsidRDefault="2DDF5798" w14:paraId="3CC7FE4F" w14:textId="77777777">
      <w:pPr>
        <w:spacing w:after="0" w:line="360" w:lineRule="auto"/>
        <w:rPr>
          <w:rFonts w:ascii="Verdana" w:hAnsi="Verdana"/>
          <w:b/>
          <w:bCs/>
          <w:sz w:val="24"/>
          <w:szCs w:val="24"/>
        </w:rPr>
      </w:pPr>
      <w:r w:rsidRPr="180099B3">
        <w:rPr>
          <w:rFonts w:ascii="Verdana" w:hAnsi="Verdana"/>
          <w:b/>
          <w:bCs/>
          <w:sz w:val="24"/>
          <w:szCs w:val="24"/>
        </w:rPr>
        <w:t>POLÍTICA DE DERECHOS HUMANOS</w:t>
      </w:r>
    </w:p>
    <w:p w:rsidR="180099B3" w:rsidP="006A0A13" w:rsidRDefault="180099B3" w14:paraId="5F73F6FC" w14:textId="77777777">
      <w:pPr>
        <w:spacing w:after="0" w:line="360" w:lineRule="auto"/>
        <w:jc w:val="both"/>
        <w:rPr>
          <w:rFonts w:ascii="Verdana" w:hAnsi="Verdana"/>
          <w:sz w:val="24"/>
          <w:szCs w:val="24"/>
        </w:rPr>
      </w:pPr>
    </w:p>
    <w:p w:rsidR="005D4836" w:rsidP="006A0A13" w:rsidRDefault="005D4836" w14:paraId="7ED71D06" w14:textId="77777777">
      <w:pPr>
        <w:spacing w:after="0" w:line="360" w:lineRule="auto"/>
        <w:jc w:val="both"/>
        <w:rPr>
          <w:rFonts w:ascii="Verdana" w:hAnsi="Verdana"/>
          <w:sz w:val="24"/>
          <w:szCs w:val="24"/>
        </w:rPr>
      </w:pPr>
      <w:r w:rsidRPr="005D4836">
        <w:rPr>
          <w:rFonts w:ascii="Verdana" w:hAnsi="Verdana"/>
          <w:sz w:val="24"/>
          <w:szCs w:val="24"/>
        </w:rPr>
        <w:t>Se actualizó la Política Pública de Derechos Humanos del sector minero-energético para fortalecer la protección, garantía y promoción de derechos en los territorios, con enfoque preventivo frente a conflictividades socioambientales.</w:t>
      </w:r>
    </w:p>
    <w:p w:rsidRPr="005D4836" w:rsidR="005D4836" w:rsidP="006A0A13" w:rsidRDefault="005D4836" w14:paraId="1D817C92" w14:textId="77777777">
      <w:pPr>
        <w:spacing w:after="0" w:line="360" w:lineRule="auto"/>
        <w:jc w:val="both"/>
        <w:rPr>
          <w:rFonts w:ascii="Verdana" w:hAnsi="Verdana"/>
          <w:sz w:val="24"/>
          <w:szCs w:val="24"/>
        </w:rPr>
      </w:pPr>
    </w:p>
    <w:p w:rsidRPr="005D4836" w:rsidR="005D4836" w:rsidP="006A0A13" w:rsidRDefault="08BE19F9" w14:paraId="643A0772" w14:textId="0A28A32B">
      <w:pPr>
        <w:spacing w:after="0" w:line="360" w:lineRule="auto"/>
        <w:jc w:val="both"/>
        <w:rPr>
          <w:rFonts w:ascii="Verdana" w:hAnsi="Verdana"/>
          <w:sz w:val="24"/>
          <w:szCs w:val="24"/>
        </w:rPr>
      </w:pPr>
      <w:r w:rsidRPr="0FF05B1B">
        <w:rPr>
          <w:rFonts w:ascii="Verdana" w:hAnsi="Verdana"/>
          <w:sz w:val="24"/>
          <w:szCs w:val="24"/>
        </w:rPr>
        <w:t>Hito 1. Diagnóstico Territorial de Conflictividades</w:t>
      </w:r>
      <w:r w:rsidRPr="0FF05B1B" w:rsidR="5164B300">
        <w:rPr>
          <w:rFonts w:ascii="Verdana" w:hAnsi="Verdana"/>
          <w:sz w:val="24"/>
          <w:szCs w:val="24"/>
        </w:rPr>
        <w:t xml:space="preserve">: </w:t>
      </w:r>
      <w:r w:rsidRPr="0FF05B1B">
        <w:rPr>
          <w:rFonts w:ascii="Verdana" w:hAnsi="Verdana"/>
          <w:sz w:val="24"/>
          <w:szCs w:val="24"/>
        </w:rPr>
        <w:t>Se identificaron tensiones socioambientales y brechas de garantía de derechos en zonas de influencia del sector.</w:t>
      </w:r>
    </w:p>
    <w:p w:rsidR="005D4836" w:rsidP="006A0A13" w:rsidRDefault="005D4836" w14:paraId="213C8618" w14:textId="77777777">
      <w:pPr>
        <w:spacing w:after="0" w:line="360" w:lineRule="auto"/>
        <w:jc w:val="both"/>
        <w:rPr>
          <w:rFonts w:ascii="Verdana" w:hAnsi="Verdana"/>
          <w:sz w:val="24"/>
          <w:szCs w:val="24"/>
        </w:rPr>
      </w:pPr>
    </w:p>
    <w:p w:rsidRPr="005D4836" w:rsidR="005D4836" w:rsidP="006A0A13" w:rsidRDefault="08BE19F9" w14:paraId="1F86E1A3" w14:textId="724F3B8D">
      <w:pPr>
        <w:spacing w:after="0" w:line="360" w:lineRule="auto"/>
        <w:jc w:val="both"/>
        <w:rPr>
          <w:rFonts w:ascii="Verdana" w:hAnsi="Verdana"/>
          <w:sz w:val="24"/>
          <w:szCs w:val="24"/>
        </w:rPr>
      </w:pPr>
      <w:r w:rsidRPr="0FF05B1B">
        <w:rPr>
          <w:rFonts w:ascii="Verdana" w:hAnsi="Verdana"/>
          <w:sz w:val="24"/>
          <w:szCs w:val="24"/>
        </w:rPr>
        <w:t>Hito 2. Diálogos Territoriales</w:t>
      </w:r>
      <w:r w:rsidRPr="0FF05B1B" w:rsidR="1E5D81AA">
        <w:rPr>
          <w:rFonts w:ascii="Verdana" w:hAnsi="Verdana"/>
          <w:sz w:val="24"/>
          <w:szCs w:val="24"/>
        </w:rPr>
        <w:t xml:space="preserve">: </w:t>
      </w:r>
      <w:r w:rsidRPr="0FF05B1B">
        <w:rPr>
          <w:rFonts w:ascii="Verdana" w:hAnsi="Verdana"/>
          <w:sz w:val="24"/>
          <w:szCs w:val="24"/>
        </w:rPr>
        <w:t>Se realizaron procesos participativos con comunidades, entidades del sector y actores sociales para retroalimentar la política pública.</w:t>
      </w:r>
    </w:p>
    <w:p w:rsidR="005D4836" w:rsidP="006A0A13" w:rsidRDefault="005D4836" w14:paraId="148AE6E9" w14:textId="77777777">
      <w:pPr>
        <w:spacing w:after="0" w:line="360" w:lineRule="auto"/>
        <w:jc w:val="both"/>
        <w:rPr>
          <w:rFonts w:ascii="Verdana" w:hAnsi="Verdana"/>
          <w:sz w:val="24"/>
          <w:szCs w:val="24"/>
        </w:rPr>
      </w:pPr>
    </w:p>
    <w:p w:rsidRPr="005D4836" w:rsidR="005D4836" w:rsidP="006A0A13" w:rsidRDefault="08BE19F9" w14:paraId="546C2A66" w14:textId="372A8E2D">
      <w:pPr>
        <w:spacing w:after="0" w:line="360" w:lineRule="auto"/>
        <w:jc w:val="both"/>
        <w:rPr>
          <w:rFonts w:ascii="Verdana" w:hAnsi="Verdana"/>
          <w:sz w:val="24"/>
          <w:szCs w:val="24"/>
        </w:rPr>
      </w:pPr>
      <w:r w:rsidRPr="0FF05B1B">
        <w:rPr>
          <w:rFonts w:ascii="Verdana" w:hAnsi="Verdana"/>
          <w:sz w:val="24"/>
          <w:szCs w:val="24"/>
        </w:rPr>
        <w:t>Hito 3. Coordinación Interinstitucional</w:t>
      </w:r>
      <w:r w:rsidRPr="0FF05B1B" w:rsidR="68BDA59B">
        <w:rPr>
          <w:rFonts w:ascii="Verdana" w:hAnsi="Verdana"/>
          <w:sz w:val="24"/>
          <w:szCs w:val="24"/>
        </w:rPr>
        <w:t xml:space="preserve">: </w:t>
      </w:r>
      <w:r w:rsidRPr="0FF05B1B">
        <w:rPr>
          <w:rFonts w:ascii="Verdana" w:hAnsi="Verdana"/>
          <w:sz w:val="24"/>
          <w:szCs w:val="24"/>
        </w:rPr>
        <w:t>Se fortaleció la coordinación entre entidades del sector para mejorar la gestión de derechos humanos y la gobernanza territorial.</w:t>
      </w:r>
    </w:p>
    <w:p w:rsidR="005D4836" w:rsidP="006A0A13" w:rsidRDefault="005D4836" w14:paraId="54A360FF" w14:textId="77777777">
      <w:pPr>
        <w:spacing w:after="0" w:line="360" w:lineRule="auto"/>
        <w:jc w:val="both"/>
        <w:rPr>
          <w:rFonts w:ascii="Verdana" w:hAnsi="Verdana"/>
          <w:sz w:val="24"/>
          <w:szCs w:val="24"/>
        </w:rPr>
      </w:pPr>
    </w:p>
    <w:p w:rsidRPr="005D4836" w:rsidR="005D4836" w:rsidP="006A0A13" w:rsidRDefault="08BE19F9" w14:paraId="4529535C" w14:textId="4E8890A3">
      <w:pPr>
        <w:spacing w:after="0" w:line="360" w:lineRule="auto"/>
        <w:jc w:val="both"/>
        <w:rPr>
          <w:rFonts w:ascii="Verdana" w:hAnsi="Verdana"/>
          <w:sz w:val="24"/>
          <w:szCs w:val="24"/>
        </w:rPr>
      </w:pPr>
      <w:r w:rsidRPr="0FF05B1B">
        <w:rPr>
          <w:rFonts w:ascii="Verdana" w:hAnsi="Verdana"/>
          <w:sz w:val="24"/>
          <w:szCs w:val="24"/>
        </w:rPr>
        <w:t>Hito 4. Incorporación de Enfoques Diferenciales</w:t>
      </w:r>
      <w:r w:rsidRPr="0FF05B1B" w:rsidR="65CFC743">
        <w:rPr>
          <w:rFonts w:ascii="Verdana" w:hAnsi="Verdana"/>
          <w:sz w:val="24"/>
          <w:szCs w:val="24"/>
        </w:rPr>
        <w:t xml:space="preserve">: </w:t>
      </w:r>
      <w:r w:rsidRPr="0FF05B1B">
        <w:rPr>
          <w:rFonts w:ascii="Verdana" w:hAnsi="Verdana"/>
          <w:sz w:val="24"/>
          <w:szCs w:val="24"/>
        </w:rPr>
        <w:t>Se integraron enfoques de género, territorio, paz, justicia ambiental y enfoque étnico para una intervención más integral.</w:t>
      </w:r>
    </w:p>
    <w:p w:rsidR="005D4836" w:rsidP="006A0A13" w:rsidRDefault="005D4836" w14:paraId="5D6FD187" w14:textId="77777777">
      <w:pPr>
        <w:spacing w:after="0" w:line="360" w:lineRule="auto"/>
        <w:jc w:val="both"/>
        <w:rPr>
          <w:rFonts w:ascii="Verdana" w:hAnsi="Verdana"/>
          <w:sz w:val="24"/>
          <w:szCs w:val="24"/>
        </w:rPr>
      </w:pPr>
    </w:p>
    <w:p w:rsidR="005D4836" w:rsidP="006A0A13" w:rsidRDefault="08BE19F9" w14:paraId="3A98F1E0" w14:textId="2803C854">
      <w:pPr>
        <w:spacing w:after="0" w:line="360" w:lineRule="auto"/>
        <w:jc w:val="both"/>
        <w:rPr>
          <w:rFonts w:ascii="Verdana" w:hAnsi="Verdana"/>
          <w:sz w:val="24"/>
          <w:szCs w:val="24"/>
        </w:rPr>
      </w:pPr>
      <w:r w:rsidRPr="0FF05B1B">
        <w:rPr>
          <w:rFonts w:ascii="Verdana" w:hAnsi="Verdana"/>
          <w:sz w:val="24"/>
          <w:szCs w:val="24"/>
        </w:rPr>
        <w:t>Hito 5. Consolidación de Política y Plan de Acción</w:t>
      </w:r>
      <w:r w:rsidRPr="0FF05B1B" w:rsidR="71CBF6BB">
        <w:rPr>
          <w:rFonts w:ascii="Verdana" w:hAnsi="Verdana"/>
          <w:sz w:val="24"/>
          <w:szCs w:val="24"/>
        </w:rPr>
        <w:t xml:space="preserve">: </w:t>
      </w:r>
      <w:r w:rsidRPr="0FF05B1B">
        <w:rPr>
          <w:rFonts w:ascii="Verdana" w:hAnsi="Verdana"/>
          <w:sz w:val="24"/>
          <w:szCs w:val="24"/>
        </w:rPr>
        <w:t>Se estructuró un documento de política con implementación piloto en territorios priorizados y horizonte al año 2032.</w:t>
      </w:r>
    </w:p>
    <w:p w:rsidR="005D4836" w:rsidP="006A0A13" w:rsidRDefault="005D4836" w14:paraId="1883EA94" w14:textId="77777777">
      <w:pPr>
        <w:spacing w:after="0" w:line="360" w:lineRule="auto"/>
        <w:jc w:val="both"/>
        <w:rPr>
          <w:rFonts w:ascii="Verdana" w:hAnsi="Verdana"/>
          <w:sz w:val="24"/>
          <w:szCs w:val="24"/>
        </w:rPr>
      </w:pPr>
    </w:p>
    <w:p w:rsidRPr="00C140A0" w:rsidR="00C04ED5" w:rsidP="006A0A13" w:rsidRDefault="00A82055" w14:paraId="17CAFF31" w14:textId="77777777">
      <w:pPr>
        <w:spacing w:after="0" w:line="360" w:lineRule="auto"/>
        <w:ind w:left="360"/>
        <w:outlineLvl w:val="1"/>
        <w:rPr>
          <w:rFonts w:ascii="Verdana" w:hAnsi="Verdana"/>
          <w:b/>
          <w:bCs/>
          <w:sz w:val="24"/>
          <w:szCs w:val="24"/>
        </w:rPr>
      </w:pPr>
      <w:bookmarkStart w:name="_Toc233996743" w:id="26"/>
      <w:r w:rsidRPr="00C140A0">
        <w:rPr>
          <w:rFonts w:ascii="Verdana" w:hAnsi="Verdana"/>
          <w:b/>
          <w:bCs/>
          <w:sz w:val="24"/>
          <w:szCs w:val="24"/>
        </w:rPr>
        <w:t>6.2 Género</w:t>
      </w:r>
      <w:bookmarkEnd w:id="26"/>
      <w:r w:rsidRPr="00C140A0">
        <w:rPr>
          <w:rFonts w:ascii="Verdana" w:hAnsi="Verdana"/>
          <w:b/>
          <w:bCs/>
          <w:sz w:val="24"/>
          <w:szCs w:val="24"/>
        </w:rPr>
        <w:t xml:space="preserve"> </w:t>
      </w:r>
    </w:p>
    <w:p w:rsidR="00C04ED5" w:rsidP="006A0A13" w:rsidRDefault="00C04ED5" w14:paraId="61ACC2F4" w14:textId="77777777">
      <w:pPr>
        <w:spacing w:after="0" w:line="360" w:lineRule="auto"/>
        <w:rPr>
          <w:rFonts w:ascii="Verdana" w:hAnsi="Verdana"/>
          <w:b/>
          <w:bCs/>
          <w:sz w:val="24"/>
          <w:szCs w:val="24"/>
        </w:rPr>
      </w:pPr>
    </w:p>
    <w:p w:rsidRPr="00C66231" w:rsidR="005D4836" w:rsidP="006A0A13" w:rsidRDefault="005D4836" w14:paraId="3BC007C5" w14:textId="77777777">
      <w:pPr>
        <w:spacing w:after="0" w:line="360" w:lineRule="auto"/>
        <w:jc w:val="both"/>
        <w:rPr>
          <w:rFonts w:ascii="Verdana" w:hAnsi="Verdana" w:eastAsia="Verdana" w:cs="Arial"/>
          <w:b/>
          <w:bCs/>
          <w:sz w:val="24"/>
          <w:szCs w:val="24"/>
        </w:rPr>
      </w:pPr>
      <w:r w:rsidRPr="00C66231">
        <w:rPr>
          <w:rFonts w:ascii="Verdana" w:hAnsi="Verdana" w:eastAsia="Verdana" w:cs="Arial"/>
          <w:b/>
          <w:bCs/>
          <w:sz w:val="24"/>
          <w:szCs w:val="24"/>
        </w:rPr>
        <w:t>POLÍTICA DE EQUIDAD DE GÉNERO</w:t>
      </w:r>
    </w:p>
    <w:p w:rsidR="00C66231" w:rsidP="006A0A13" w:rsidRDefault="00C66231" w14:paraId="50F6F771" w14:textId="77777777">
      <w:pPr>
        <w:spacing w:after="0" w:line="360" w:lineRule="auto"/>
        <w:jc w:val="both"/>
        <w:rPr>
          <w:rFonts w:ascii="Verdana" w:hAnsi="Verdana" w:eastAsia="Verdana" w:cs="Arial"/>
          <w:sz w:val="24"/>
          <w:szCs w:val="24"/>
        </w:rPr>
      </w:pPr>
    </w:p>
    <w:p w:rsidRPr="00C66231" w:rsidR="005D4836" w:rsidP="006A0A13" w:rsidRDefault="005D4836" w14:paraId="2D7F92F4" w14:textId="77777777">
      <w:pPr>
        <w:spacing w:after="0" w:line="360" w:lineRule="auto"/>
        <w:jc w:val="both"/>
        <w:rPr>
          <w:rFonts w:ascii="Verdana" w:hAnsi="Verdana" w:eastAsia="Verdana" w:cs="Arial"/>
          <w:sz w:val="24"/>
          <w:szCs w:val="24"/>
        </w:rPr>
      </w:pPr>
      <w:r w:rsidRPr="00C66231">
        <w:rPr>
          <w:rFonts w:ascii="Verdana" w:hAnsi="Verdana" w:eastAsia="Verdana" w:cs="Arial"/>
          <w:sz w:val="24"/>
          <w:szCs w:val="24"/>
        </w:rPr>
        <w:t>Se formuló la Política de Género del sector minero-energético como instrumento para la equidad, inclusión y transformación institucional, con énfasis en la participación efectiva de mujeres y personas LGBTIQ+.</w:t>
      </w:r>
    </w:p>
    <w:p w:rsidR="00C66231" w:rsidP="006A0A13" w:rsidRDefault="00C66231" w14:paraId="12355982" w14:textId="77777777">
      <w:pPr>
        <w:spacing w:after="0" w:line="360" w:lineRule="auto"/>
        <w:jc w:val="both"/>
        <w:rPr>
          <w:rFonts w:ascii="Verdana" w:hAnsi="Verdana" w:eastAsia="Verdana" w:cs="Arial"/>
          <w:b/>
          <w:bCs/>
          <w:sz w:val="24"/>
          <w:szCs w:val="24"/>
        </w:rPr>
      </w:pPr>
    </w:p>
    <w:p w:rsidRPr="00C66231" w:rsidR="005D4836" w:rsidP="006A0A13" w:rsidRDefault="08BE19F9" w14:paraId="548BE7CF" w14:textId="4B9DBF2B">
      <w:pPr>
        <w:spacing w:after="0" w:line="360" w:lineRule="auto"/>
        <w:jc w:val="both"/>
        <w:rPr>
          <w:rFonts w:ascii="Verdana" w:hAnsi="Verdana" w:eastAsia="Verdana" w:cs="Arial"/>
          <w:sz w:val="24"/>
          <w:szCs w:val="24"/>
        </w:rPr>
      </w:pPr>
      <w:r w:rsidRPr="0FF05B1B">
        <w:rPr>
          <w:rFonts w:ascii="Verdana" w:hAnsi="Verdana" w:eastAsia="Verdana" w:cs="Arial"/>
          <w:sz w:val="24"/>
          <w:szCs w:val="24"/>
        </w:rPr>
        <w:t>Hito 1. Estructura Institucional de Género</w:t>
      </w:r>
      <w:r w:rsidRPr="0FF05B1B" w:rsidR="25DC2CFE">
        <w:rPr>
          <w:rFonts w:ascii="Verdana" w:hAnsi="Verdana" w:eastAsia="Verdana" w:cs="Arial"/>
          <w:sz w:val="24"/>
          <w:szCs w:val="24"/>
        </w:rPr>
        <w:t xml:space="preserve">: </w:t>
      </w:r>
      <w:r w:rsidRPr="0FF05B1B">
        <w:rPr>
          <w:rFonts w:ascii="Verdana" w:hAnsi="Verdana" w:eastAsia="Verdana" w:cs="Arial"/>
          <w:sz w:val="24"/>
          <w:szCs w:val="24"/>
        </w:rPr>
        <w:t>Se conformó el Comité de Asuntos de Género para liderar la formulación de la política sectorial.</w:t>
      </w:r>
    </w:p>
    <w:p w:rsidRPr="00C66231" w:rsidR="00C66231" w:rsidP="006A0A13" w:rsidRDefault="00C66231" w14:paraId="1648D102" w14:textId="77777777">
      <w:pPr>
        <w:spacing w:after="0" w:line="360" w:lineRule="auto"/>
        <w:jc w:val="both"/>
        <w:rPr>
          <w:rFonts w:ascii="Verdana" w:hAnsi="Verdana" w:eastAsia="Verdana" w:cs="Arial"/>
          <w:sz w:val="24"/>
          <w:szCs w:val="24"/>
        </w:rPr>
      </w:pPr>
    </w:p>
    <w:p w:rsidRPr="00C66231" w:rsidR="005D4836" w:rsidP="006A0A13" w:rsidRDefault="08BE19F9" w14:paraId="112F088F" w14:textId="5C3574B5">
      <w:pPr>
        <w:spacing w:after="0" w:line="360" w:lineRule="auto"/>
        <w:jc w:val="both"/>
        <w:rPr>
          <w:rFonts w:ascii="Verdana" w:hAnsi="Verdana" w:eastAsia="Verdana" w:cs="Arial"/>
          <w:sz w:val="24"/>
          <w:szCs w:val="24"/>
        </w:rPr>
      </w:pPr>
      <w:r w:rsidRPr="0FF05B1B">
        <w:rPr>
          <w:rFonts w:ascii="Verdana" w:hAnsi="Verdana" w:eastAsia="Verdana" w:cs="Arial"/>
          <w:sz w:val="24"/>
          <w:szCs w:val="24"/>
        </w:rPr>
        <w:t>Hito 2. Estrategia Participativa Nacional</w:t>
      </w:r>
      <w:r w:rsidRPr="0FF05B1B" w:rsidR="6056438A">
        <w:rPr>
          <w:rFonts w:ascii="Verdana" w:hAnsi="Verdana" w:eastAsia="Verdana" w:cs="Arial"/>
          <w:sz w:val="24"/>
          <w:szCs w:val="24"/>
        </w:rPr>
        <w:t xml:space="preserve">: </w:t>
      </w:r>
      <w:r w:rsidRPr="0FF05B1B">
        <w:rPr>
          <w:rFonts w:ascii="Verdana" w:hAnsi="Verdana" w:eastAsia="Verdana" w:cs="Arial"/>
          <w:sz w:val="24"/>
          <w:szCs w:val="24"/>
        </w:rPr>
        <w:t>Se implementó el proceso “Construyamos juntxs la Política de Género”, con enfoque territorial.</w:t>
      </w:r>
    </w:p>
    <w:p w:rsidR="00C66231" w:rsidP="006A0A13" w:rsidRDefault="00C66231" w14:paraId="546820A7" w14:textId="77777777">
      <w:pPr>
        <w:spacing w:after="0" w:line="360" w:lineRule="auto"/>
        <w:jc w:val="both"/>
        <w:rPr>
          <w:rFonts w:ascii="Verdana" w:hAnsi="Verdana" w:eastAsia="Verdana" w:cs="Arial"/>
          <w:sz w:val="24"/>
          <w:szCs w:val="24"/>
        </w:rPr>
      </w:pPr>
    </w:p>
    <w:p w:rsidRPr="00C66231" w:rsidR="005D4836" w:rsidP="006A0A13" w:rsidRDefault="08BE19F9" w14:paraId="20831EDC" w14:textId="651AE7CC">
      <w:pPr>
        <w:spacing w:after="0" w:line="360" w:lineRule="auto"/>
        <w:jc w:val="both"/>
        <w:rPr>
          <w:rFonts w:ascii="Verdana" w:hAnsi="Verdana" w:eastAsia="Verdana" w:cs="Arial"/>
          <w:sz w:val="24"/>
          <w:szCs w:val="24"/>
        </w:rPr>
      </w:pPr>
      <w:r w:rsidRPr="0FF05B1B">
        <w:rPr>
          <w:rFonts w:ascii="Verdana" w:hAnsi="Verdana" w:eastAsia="Verdana" w:cs="Arial"/>
          <w:sz w:val="24"/>
          <w:szCs w:val="24"/>
        </w:rPr>
        <w:t>Hito 3. Participación Amplia y Diversa</w:t>
      </w:r>
      <w:r w:rsidRPr="0FF05B1B" w:rsidR="68CC8B64">
        <w:rPr>
          <w:rFonts w:ascii="Verdana" w:hAnsi="Verdana" w:eastAsia="Verdana" w:cs="Arial"/>
          <w:sz w:val="24"/>
          <w:szCs w:val="24"/>
        </w:rPr>
        <w:t xml:space="preserve">: </w:t>
      </w:r>
      <w:r w:rsidRPr="0FF05B1B">
        <w:rPr>
          <w:rFonts w:ascii="Verdana" w:hAnsi="Verdana" w:eastAsia="Verdana" w:cs="Arial"/>
          <w:sz w:val="24"/>
          <w:szCs w:val="24"/>
        </w:rPr>
        <w:t>Se realizaron encuentros con organizaciones de mujeres, comunidades étnicas, sindicatos, empresas, academia y entidades públicas.</w:t>
      </w:r>
    </w:p>
    <w:p w:rsidR="00C66231" w:rsidP="006A0A13" w:rsidRDefault="00C66231" w14:paraId="6143AE05" w14:textId="77777777">
      <w:pPr>
        <w:spacing w:after="0" w:line="360" w:lineRule="auto"/>
        <w:jc w:val="both"/>
        <w:rPr>
          <w:rFonts w:ascii="Verdana" w:hAnsi="Verdana" w:eastAsia="Verdana" w:cs="Arial"/>
          <w:sz w:val="24"/>
          <w:szCs w:val="24"/>
        </w:rPr>
      </w:pPr>
    </w:p>
    <w:p w:rsidRPr="00C66231" w:rsidR="005D4836" w:rsidP="006A0A13" w:rsidRDefault="08BE19F9" w14:paraId="1C660632" w14:textId="4F220C8A">
      <w:pPr>
        <w:spacing w:after="0" w:line="360" w:lineRule="auto"/>
        <w:jc w:val="both"/>
        <w:rPr>
          <w:rFonts w:ascii="Verdana" w:hAnsi="Verdana" w:eastAsia="Verdana" w:cs="Arial"/>
          <w:sz w:val="24"/>
          <w:szCs w:val="24"/>
        </w:rPr>
      </w:pPr>
      <w:r w:rsidRPr="0FF05B1B">
        <w:rPr>
          <w:rFonts w:ascii="Verdana" w:hAnsi="Verdana" w:eastAsia="Verdana" w:cs="Arial"/>
          <w:sz w:val="24"/>
          <w:szCs w:val="24"/>
        </w:rPr>
        <w:t>Hito 4. Enfoque Interseccional</w:t>
      </w:r>
      <w:r w:rsidRPr="0FF05B1B" w:rsidR="005FE20B">
        <w:rPr>
          <w:rFonts w:ascii="Verdana" w:hAnsi="Verdana" w:eastAsia="Verdana" w:cs="Arial"/>
          <w:sz w:val="24"/>
          <w:szCs w:val="24"/>
        </w:rPr>
        <w:t xml:space="preserve">: </w:t>
      </w:r>
      <w:r w:rsidRPr="0FF05B1B">
        <w:rPr>
          <w:rFonts w:ascii="Verdana" w:hAnsi="Verdana" w:eastAsia="Verdana" w:cs="Arial"/>
          <w:sz w:val="24"/>
          <w:szCs w:val="24"/>
        </w:rPr>
        <w:t>Se incorporaron criterios de diversidad, inclusión y enfoque diferencial para poblaciones históricamente excluidas.</w:t>
      </w:r>
    </w:p>
    <w:p w:rsidR="00C66231" w:rsidP="006A0A13" w:rsidRDefault="00C66231" w14:paraId="11087021" w14:textId="77777777">
      <w:pPr>
        <w:spacing w:after="0" w:line="360" w:lineRule="auto"/>
        <w:jc w:val="both"/>
        <w:rPr>
          <w:rFonts w:ascii="Verdana" w:hAnsi="Verdana" w:eastAsia="Verdana" w:cs="Arial"/>
          <w:sz w:val="24"/>
          <w:szCs w:val="24"/>
        </w:rPr>
      </w:pPr>
    </w:p>
    <w:p w:rsidRPr="00C66231" w:rsidR="005D4836" w:rsidP="006A0A13" w:rsidRDefault="08BE19F9" w14:paraId="37E2B896" w14:textId="7623FF72">
      <w:pPr>
        <w:spacing w:after="0" w:line="360" w:lineRule="auto"/>
        <w:jc w:val="both"/>
        <w:rPr>
          <w:rFonts w:ascii="Verdana" w:hAnsi="Verdana" w:eastAsia="Verdana" w:cs="Arial"/>
          <w:sz w:val="24"/>
          <w:szCs w:val="24"/>
        </w:rPr>
      </w:pPr>
      <w:r w:rsidRPr="0FF05B1B">
        <w:rPr>
          <w:rFonts w:ascii="Verdana" w:hAnsi="Verdana" w:eastAsia="Verdana" w:cs="Arial"/>
          <w:sz w:val="24"/>
          <w:szCs w:val="24"/>
        </w:rPr>
        <w:t>Hito 5. Lineamientos Estratégicos</w:t>
      </w:r>
      <w:r w:rsidRPr="0FF05B1B" w:rsidR="32EFC67D">
        <w:rPr>
          <w:rFonts w:ascii="Verdana" w:hAnsi="Verdana" w:eastAsia="Verdana" w:cs="Arial"/>
          <w:sz w:val="24"/>
          <w:szCs w:val="24"/>
        </w:rPr>
        <w:t xml:space="preserve">: </w:t>
      </w:r>
      <w:r w:rsidRPr="0FF05B1B">
        <w:rPr>
          <w:rFonts w:ascii="Verdana" w:hAnsi="Verdana" w:eastAsia="Verdana" w:cs="Arial"/>
          <w:sz w:val="24"/>
          <w:szCs w:val="24"/>
        </w:rPr>
        <w:t>Se definieron objetivos orientados al cierre de brechas laborales, fortalecimiento institucional y transformación cultural del sector.</w:t>
      </w:r>
    </w:p>
    <w:p w:rsidR="00C66231" w:rsidP="006A0A13" w:rsidRDefault="00C66231" w14:paraId="0FD0266A" w14:textId="77777777">
      <w:pPr>
        <w:spacing w:after="0" w:line="360" w:lineRule="auto"/>
        <w:jc w:val="both"/>
        <w:rPr>
          <w:rFonts w:ascii="Verdana" w:hAnsi="Verdana" w:eastAsia="Verdana" w:cs="Arial"/>
          <w:sz w:val="24"/>
          <w:szCs w:val="24"/>
        </w:rPr>
      </w:pPr>
    </w:p>
    <w:p w:rsidR="005D4836" w:rsidP="006A0A13" w:rsidRDefault="08BE19F9" w14:paraId="25B26F40" w14:textId="6A2069BC">
      <w:pPr>
        <w:spacing w:after="0" w:line="360" w:lineRule="auto"/>
        <w:jc w:val="both"/>
        <w:rPr>
          <w:rFonts w:ascii="Verdana" w:hAnsi="Verdana" w:eastAsia="Verdana" w:cs="Arial"/>
          <w:color w:val="1A1A1A" w:themeColor="background1" w:themeShade="1A"/>
          <w:sz w:val="24"/>
          <w:szCs w:val="24"/>
        </w:rPr>
      </w:pPr>
      <w:r w:rsidRPr="0FF05B1B">
        <w:rPr>
          <w:rFonts w:ascii="Verdana" w:hAnsi="Verdana" w:eastAsia="Verdana" w:cs="Arial"/>
          <w:sz w:val="24"/>
          <w:szCs w:val="24"/>
        </w:rPr>
        <w:t>Hito 6. Consolidación de Política</w:t>
      </w:r>
      <w:r w:rsidRPr="0FF05B1B" w:rsidR="6571E605">
        <w:rPr>
          <w:rFonts w:ascii="Verdana" w:hAnsi="Verdana" w:eastAsia="Verdana" w:cs="Arial"/>
          <w:sz w:val="24"/>
          <w:szCs w:val="24"/>
        </w:rPr>
        <w:t xml:space="preserve">: </w:t>
      </w:r>
      <w:r w:rsidRPr="0FF05B1B">
        <w:rPr>
          <w:rFonts w:ascii="Verdana" w:hAnsi="Verdana" w:eastAsia="Verdana" w:cs="Arial"/>
          <w:color w:val="1A1A1A"/>
          <w:sz w:val="24"/>
          <w:szCs w:val="24"/>
        </w:rPr>
        <w:t>Se estructuró un documento de Política de Equidad de Género que tiene como objetivo, a 2035, avanzar en el acceso equitativo de las mujeres al empleo formal y de calidad en el sector minero energético, así como, en la distribución equitativa de los beneficios derivados de la actividad extractiva y la Transición Energética Justa.</w:t>
      </w:r>
    </w:p>
    <w:p w:rsidRPr="00C66231" w:rsidR="00C66231" w:rsidP="006A0A13" w:rsidRDefault="00C66231" w14:paraId="4962C13E" w14:textId="77777777">
      <w:pPr>
        <w:spacing w:after="0" w:line="360" w:lineRule="auto"/>
        <w:jc w:val="both"/>
        <w:rPr>
          <w:rFonts w:ascii="Verdana" w:hAnsi="Verdana" w:eastAsia="Verdana" w:cs="Arial"/>
          <w:color w:val="1A1A1A" w:themeColor="background1" w:themeShade="1A"/>
          <w:sz w:val="24"/>
          <w:szCs w:val="24"/>
        </w:rPr>
      </w:pPr>
    </w:p>
    <w:p w:rsidRPr="00C66231" w:rsidR="005D4836" w:rsidP="006A0A13" w:rsidRDefault="00C66231" w14:paraId="6C9C3CF0" w14:textId="77777777">
      <w:pPr>
        <w:spacing w:after="0" w:line="360" w:lineRule="auto"/>
        <w:jc w:val="both"/>
        <w:rPr>
          <w:rFonts w:ascii="Verdana" w:hAnsi="Verdana" w:eastAsia="Verdana" w:cs="Arial"/>
          <w:b/>
          <w:bCs/>
          <w:sz w:val="24"/>
          <w:szCs w:val="24"/>
        </w:rPr>
      </w:pPr>
      <w:r w:rsidRPr="00C66231">
        <w:rPr>
          <w:rFonts w:ascii="Verdana" w:hAnsi="Verdana" w:eastAsia="Verdana" w:cs="Arial"/>
          <w:b/>
          <w:bCs/>
          <w:sz w:val="24"/>
          <w:szCs w:val="24"/>
        </w:rPr>
        <w:t xml:space="preserve">Energía Limpia </w:t>
      </w:r>
      <w:r>
        <w:rPr>
          <w:rFonts w:ascii="Verdana" w:hAnsi="Verdana" w:eastAsia="Verdana" w:cs="Arial"/>
          <w:b/>
          <w:bCs/>
          <w:sz w:val="24"/>
          <w:szCs w:val="24"/>
        </w:rPr>
        <w:t>y</w:t>
      </w:r>
      <w:r w:rsidRPr="00C66231">
        <w:rPr>
          <w:rFonts w:ascii="Verdana" w:hAnsi="Verdana" w:eastAsia="Verdana" w:cs="Arial"/>
          <w:b/>
          <w:bCs/>
          <w:sz w:val="24"/>
          <w:szCs w:val="24"/>
        </w:rPr>
        <w:t xml:space="preserve"> Transformación Productiva</w:t>
      </w:r>
    </w:p>
    <w:p w:rsidR="00C66231" w:rsidP="006A0A13" w:rsidRDefault="00C66231" w14:paraId="40DAC616" w14:textId="77777777">
      <w:pPr>
        <w:spacing w:after="0" w:line="360" w:lineRule="auto"/>
        <w:jc w:val="both"/>
        <w:rPr>
          <w:rFonts w:ascii="Verdana" w:hAnsi="Verdana" w:eastAsia="Verdana" w:cs="Arial"/>
          <w:color w:val="000000" w:themeColor="text1"/>
          <w:sz w:val="24"/>
          <w:szCs w:val="24"/>
        </w:rPr>
      </w:pPr>
    </w:p>
    <w:p w:rsidR="005D4836" w:rsidP="006A0A13" w:rsidRDefault="005D4836" w14:paraId="23EE206C" w14:textId="77777777">
      <w:pPr>
        <w:spacing w:after="0" w:line="360" w:lineRule="auto"/>
        <w:jc w:val="both"/>
        <w:rPr>
          <w:rFonts w:ascii="Verdana" w:hAnsi="Verdana" w:eastAsia="Verdana" w:cs="Arial"/>
          <w:sz w:val="24"/>
          <w:szCs w:val="24"/>
        </w:rPr>
      </w:pPr>
      <w:r w:rsidRPr="00C66231">
        <w:rPr>
          <w:rFonts w:ascii="Verdana" w:hAnsi="Verdana" w:eastAsia="Verdana" w:cs="Arial"/>
          <w:color w:val="000000" w:themeColor="text1"/>
          <w:sz w:val="24"/>
          <w:szCs w:val="24"/>
        </w:rPr>
        <w:t>La Transformación Productiva, Internacionalización y Acción Climática como objetivo del Plan Nacional de Desarrollo es fundamental para el Ministerio de Minas y Energía porque impulsa</w:t>
      </w:r>
      <w:r w:rsidRPr="00C66231">
        <w:rPr>
          <w:rFonts w:ascii="Verdana" w:hAnsi="Verdana" w:eastAsia="Verdana" w:cs="Arial"/>
          <w:sz w:val="24"/>
          <w:szCs w:val="24"/>
        </w:rPr>
        <w:t xml:space="preserve"> un modelo energético sostenible basado en energías limpias, descarbonización y desarrollo territorial.</w:t>
      </w:r>
    </w:p>
    <w:p w:rsidRPr="00C66231" w:rsidR="00C66231" w:rsidP="006A0A13" w:rsidRDefault="00C66231" w14:paraId="015E8E54" w14:textId="77777777">
      <w:pPr>
        <w:spacing w:after="0" w:line="360" w:lineRule="auto"/>
        <w:jc w:val="both"/>
        <w:rPr>
          <w:rFonts w:ascii="Verdana" w:hAnsi="Verdana" w:eastAsia="Verdana" w:cs="Arial"/>
          <w:sz w:val="24"/>
          <w:szCs w:val="24"/>
        </w:rPr>
      </w:pPr>
    </w:p>
    <w:p w:rsidRPr="00C66231" w:rsidR="005D4836" w:rsidP="006A0A13" w:rsidRDefault="00C66231" w14:paraId="2386DDBF" w14:textId="77777777">
      <w:pPr>
        <w:spacing w:after="0" w:line="360" w:lineRule="auto"/>
        <w:jc w:val="both"/>
        <w:rPr>
          <w:rFonts w:ascii="Verdana" w:hAnsi="Verdana" w:eastAsia="Verdana" w:cs="Arial"/>
          <w:b/>
          <w:bCs/>
          <w:sz w:val="24"/>
          <w:szCs w:val="24"/>
        </w:rPr>
      </w:pPr>
      <w:r w:rsidRPr="00C66231">
        <w:rPr>
          <w:rFonts w:ascii="Verdana" w:hAnsi="Verdana" w:eastAsia="Verdana" w:cs="Arial"/>
          <w:b/>
          <w:bCs/>
          <w:sz w:val="24"/>
          <w:szCs w:val="24"/>
        </w:rPr>
        <w:t xml:space="preserve">Gerencia Guajira </w:t>
      </w:r>
    </w:p>
    <w:p w:rsidR="00C66231" w:rsidP="006A0A13" w:rsidRDefault="00C66231" w14:paraId="07F5A8D4" w14:textId="77777777">
      <w:pPr>
        <w:spacing w:after="0" w:line="360" w:lineRule="auto"/>
        <w:jc w:val="both"/>
        <w:rPr>
          <w:rFonts w:ascii="Verdana" w:hAnsi="Verdana" w:eastAsia="Verdana" w:cs="Arial"/>
          <w:sz w:val="24"/>
          <w:szCs w:val="24"/>
        </w:rPr>
      </w:pPr>
    </w:p>
    <w:p w:rsidRPr="00C66231" w:rsidR="005D4836" w:rsidP="006A0A13" w:rsidRDefault="005D4836" w14:paraId="765A9415" w14:textId="77777777">
      <w:pPr>
        <w:spacing w:after="0" w:line="360" w:lineRule="auto"/>
        <w:jc w:val="both"/>
        <w:rPr>
          <w:rFonts w:ascii="Verdana" w:hAnsi="Verdana" w:eastAsia="Verdana" w:cs="Arial"/>
          <w:sz w:val="24"/>
          <w:szCs w:val="24"/>
        </w:rPr>
      </w:pPr>
      <w:r w:rsidRPr="00C66231">
        <w:rPr>
          <w:rFonts w:ascii="Verdana" w:hAnsi="Verdana" w:eastAsia="Verdana" w:cs="Arial"/>
          <w:sz w:val="24"/>
          <w:szCs w:val="24"/>
        </w:rPr>
        <w:t xml:space="preserve">En el marco de la Transición Energética Justa, el Ministerio implementó la estrategia Gerencia Guajira para fortalecer la articulación institucional, </w:t>
      </w:r>
      <w:r w:rsidRPr="00C66231">
        <w:rPr>
          <w:rFonts w:ascii="Verdana" w:hAnsi="Verdana" w:eastAsia="Verdana" w:cs="Arial"/>
          <w:sz w:val="24"/>
          <w:szCs w:val="24"/>
        </w:rPr>
        <w:t xml:space="preserve">garantizar los derechos étnicos y promover la participación de las comunidades wayuu en el desarrollo energético del departamento. </w:t>
      </w:r>
    </w:p>
    <w:p w:rsidRPr="00C66231" w:rsidR="005D4836" w:rsidP="006A0A13" w:rsidRDefault="005D4836" w14:paraId="0BEFE1A1" w14:textId="77777777">
      <w:pPr>
        <w:spacing w:after="0" w:line="360" w:lineRule="auto"/>
        <w:jc w:val="both"/>
        <w:rPr>
          <w:rFonts w:ascii="Verdana" w:hAnsi="Verdana" w:eastAsia="Verdana" w:cs="Arial"/>
          <w:sz w:val="24"/>
          <w:szCs w:val="24"/>
        </w:rPr>
      </w:pPr>
    </w:p>
    <w:p w:rsidRPr="00C66231" w:rsidR="005D4836" w:rsidP="006A0A13" w:rsidRDefault="005D4836" w14:paraId="0CAFA041" w14:textId="77777777">
      <w:pPr>
        <w:spacing w:after="0" w:line="360" w:lineRule="auto"/>
        <w:jc w:val="both"/>
        <w:rPr>
          <w:rFonts w:ascii="Verdana" w:hAnsi="Verdana" w:eastAsia="Verdana" w:cs="Arial"/>
          <w:sz w:val="24"/>
          <w:szCs w:val="24"/>
        </w:rPr>
      </w:pPr>
      <w:r w:rsidRPr="00C66231">
        <w:rPr>
          <w:rFonts w:ascii="Verdana" w:hAnsi="Verdana" w:eastAsia="Verdana" w:cs="Arial"/>
          <w:sz w:val="24"/>
          <w:szCs w:val="24"/>
        </w:rPr>
        <w:t>Como principal resultado, en 2023 se consolidó el Pacto por la Transición Energética Justa en La Guajira “La Guajira 2050”, construido junto con comunidades, autoridades, empresas y entidades públicas para fortalecer la gobernanza territorial, la justicia social y ambiental, y la sostenibilidad de los proyectos de energías renovables en la región.</w:t>
      </w:r>
    </w:p>
    <w:p w:rsidRPr="00C66231" w:rsidR="005D4836" w:rsidP="006A0A13" w:rsidRDefault="005D4836" w14:paraId="48A38B05" w14:textId="77777777">
      <w:pPr>
        <w:spacing w:after="0" w:line="360" w:lineRule="auto"/>
        <w:jc w:val="both"/>
        <w:rPr>
          <w:rFonts w:ascii="Verdana" w:hAnsi="Verdana" w:eastAsia="Verdana" w:cs="Arial"/>
          <w:sz w:val="24"/>
          <w:szCs w:val="24"/>
        </w:rPr>
      </w:pPr>
    </w:p>
    <w:p w:rsidRPr="00C66231" w:rsidR="005D4836" w:rsidP="006A0A13" w:rsidRDefault="00C66231" w14:paraId="45191B81" w14:textId="77777777">
      <w:pPr>
        <w:spacing w:after="0" w:line="360" w:lineRule="auto"/>
        <w:jc w:val="both"/>
        <w:rPr>
          <w:rFonts w:ascii="Verdana" w:hAnsi="Verdana" w:cs="Arial"/>
          <w:b/>
          <w:bCs/>
          <w:sz w:val="24"/>
          <w:szCs w:val="24"/>
        </w:rPr>
      </w:pPr>
      <w:r w:rsidRPr="00C66231">
        <w:rPr>
          <w:rFonts w:ascii="Verdana" w:hAnsi="Verdana" w:cs="Arial"/>
          <w:b/>
          <w:bCs/>
          <w:sz w:val="24"/>
          <w:szCs w:val="24"/>
        </w:rPr>
        <w:t xml:space="preserve">Línea Estratégica </w:t>
      </w:r>
      <w:r>
        <w:rPr>
          <w:rFonts w:ascii="Verdana" w:hAnsi="Verdana" w:cs="Arial"/>
          <w:b/>
          <w:bCs/>
          <w:sz w:val="24"/>
          <w:szCs w:val="24"/>
        </w:rPr>
        <w:t>d</w:t>
      </w:r>
      <w:r w:rsidRPr="00C66231">
        <w:rPr>
          <w:rFonts w:ascii="Verdana" w:hAnsi="Verdana" w:cs="Arial"/>
          <w:b/>
          <w:bCs/>
          <w:sz w:val="24"/>
          <w:szCs w:val="24"/>
        </w:rPr>
        <w:t xml:space="preserve">e Gestión </w:t>
      </w:r>
      <w:r>
        <w:rPr>
          <w:rFonts w:ascii="Verdana" w:hAnsi="Verdana" w:cs="Arial"/>
          <w:b/>
          <w:bCs/>
          <w:sz w:val="24"/>
          <w:szCs w:val="24"/>
        </w:rPr>
        <w:t>d</w:t>
      </w:r>
      <w:r w:rsidRPr="00C66231">
        <w:rPr>
          <w:rFonts w:ascii="Verdana" w:hAnsi="Verdana" w:cs="Arial"/>
          <w:b/>
          <w:bCs/>
          <w:sz w:val="24"/>
          <w:szCs w:val="24"/>
        </w:rPr>
        <w:t>e Conflictos</w:t>
      </w:r>
    </w:p>
    <w:p w:rsidR="00C66231" w:rsidP="006A0A13" w:rsidRDefault="00C66231" w14:paraId="6F40F1C9" w14:textId="77777777">
      <w:pPr>
        <w:spacing w:after="0" w:line="360" w:lineRule="auto"/>
        <w:jc w:val="both"/>
        <w:rPr>
          <w:rFonts w:ascii="Verdana" w:hAnsi="Verdana" w:cs="Arial"/>
          <w:b/>
          <w:bCs/>
          <w:sz w:val="24"/>
          <w:szCs w:val="24"/>
        </w:rPr>
      </w:pPr>
    </w:p>
    <w:p w:rsidRPr="00C66231" w:rsidR="005D4836" w:rsidP="006A0A13" w:rsidRDefault="515C5378" w14:paraId="479FDFBF" w14:textId="3854F9D6">
      <w:pPr>
        <w:spacing w:after="0" w:line="360" w:lineRule="auto"/>
        <w:jc w:val="both"/>
        <w:rPr>
          <w:rFonts w:ascii="Verdana" w:hAnsi="Verdana" w:eastAsia="Times New Roman" w:cs="Arial"/>
          <w:sz w:val="24"/>
          <w:szCs w:val="24"/>
        </w:rPr>
      </w:pPr>
      <w:r w:rsidRPr="0FF05B1B">
        <w:rPr>
          <w:rFonts w:ascii="Verdana" w:hAnsi="Verdana" w:cs="Arial"/>
          <w:sz w:val="24"/>
          <w:szCs w:val="24"/>
        </w:rPr>
        <w:t xml:space="preserve">Hito 1. </w:t>
      </w:r>
      <w:r w:rsidRPr="0FF05B1B">
        <w:rPr>
          <w:rFonts w:ascii="Verdana" w:hAnsi="Verdana" w:eastAsia="Times New Roman" w:cs="Arial"/>
          <w:sz w:val="24"/>
          <w:szCs w:val="24"/>
        </w:rPr>
        <w:t>Acompañamiento a procesos de consulta previa de los proyectos de energías limpias y líneas de transmisión asociadas</w:t>
      </w:r>
      <w:r w:rsidRPr="0FF05B1B" w:rsidR="4B130470">
        <w:rPr>
          <w:rFonts w:ascii="Verdana" w:hAnsi="Verdana" w:eastAsia="Times New Roman" w:cs="Arial"/>
          <w:sz w:val="24"/>
          <w:szCs w:val="24"/>
        </w:rPr>
        <w:t xml:space="preserve">: </w:t>
      </w:r>
      <w:r w:rsidRPr="0FF05B1B" w:rsidR="08BE19F9">
        <w:rPr>
          <w:rFonts w:ascii="Verdana" w:hAnsi="Verdana" w:eastAsia="Times New Roman" w:cs="Arial"/>
          <w:sz w:val="24"/>
          <w:szCs w:val="24"/>
        </w:rPr>
        <w:t>La Gerencia Guajira de la OAAS ha acompañado los procesos de consulta previa a los cuales ha sido convocada por parte del Ministerio del Interior y su Dirección de la Autoridad Nacional de Consulta Previa. Por lo anterior, se ha acompañado la etapa de Seguimiento de Acuerdos para el Proyecto Parque Eólico Wimpeshi y su línea de Transmisión Eléctrica en el proceso de entrega entre ENEL y Ecopetrol. Lo anterior, significó el acompañamiento a las reuniones de consulta previa convocadas, para este caso con 14 comunidades que se encuentran en el área de afectación directa del Parque Eólico y 22 comunidades de la Línea de Transmisión Eléctrica.</w:t>
      </w:r>
    </w:p>
    <w:p w:rsidRPr="00C66231" w:rsidR="005D4836" w:rsidP="006A0A13" w:rsidRDefault="005D4836" w14:paraId="5B578105" w14:textId="77777777">
      <w:pPr>
        <w:spacing w:after="0" w:line="360" w:lineRule="auto"/>
        <w:jc w:val="both"/>
        <w:rPr>
          <w:rFonts w:ascii="Verdana" w:hAnsi="Verdana" w:eastAsia="Times New Roman" w:cs="Arial"/>
          <w:sz w:val="24"/>
          <w:szCs w:val="24"/>
        </w:rPr>
      </w:pPr>
    </w:p>
    <w:p w:rsidR="005D4836" w:rsidP="006A0A13" w:rsidRDefault="005D4836" w14:paraId="46FD8677" w14:textId="77777777">
      <w:pPr>
        <w:spacing w:after="0" w:line="360" w:lineRule="auto"/>
        <w:jc w:val="both"/>
        <w:rPr>
          <w:rFonts w:ascii="Verdana" w:hAnsi="Verdana" w:eastAsia="Times New Roman" w:cs="Arial"/>
          <w:sz w:val="24"/>
          <w:szCs w:val="24"/>
        </w:rPr>
      </w:pPr>
      <w:r w:rsidRPr="00C66231">
        <w:rPr>
          <w:rFonts w:ascii="Verdana" w:hAnsi="Verdana" w:eastAsia="Times New Roman" w:cs="Arial"/>
          <w:sz w:val="24"/>
          <w:szCs w:val="24"/>
        </w:rPr>
        <w:t xml:space="preserve">De la misma forma, la Gerencia Guajira ha participado en las reuniones de consulta previa que se han convocado para el proyecto Colectora a cargo de la empresa ENLAZA, al igual que en los proyectos Eólicos de la empresa AES Colombia en la Alta Guajira, en consideración a la ocurrencia de complejidades sociales que requieren de un acompañamiento por parte de la Gerencia Guajira con el fin de aportar las claridades durante el </w:t>
      </w:r>
      <w:r w:rsidRPr="00C66231">
        <w:rPr>
          <w:rFonts w:ascii="Verdana" w:hAnsi="Verdana" w:eastAsia="Times New Roman" w:cs="Arial"/>
          <w:sz w:val="24"/>
          <w:szCs w:val="24"/>
        </w:rPr>
        <w:t>proceso de consulta previa y asegurar el buen relacionamiento del sector con las comunidades wayuu.</w:t>
      </w:r>
    </w:p>
    <w:p w:rsidRPr="00C66231" w:rsidR="00C66231" w:rsidP="006A0A13" w:rsidRDefault="00C66231" w14:paraId="071C616B" w14:textId="77777777">
      <w:pPr>
        <w:spacing w:after="0" w:line="360" w:lineRule="auto"/>
        <w:jc w:val="both"/>
        <w:rPr>
          <w:rFonts w:ascii="Verdana" w:hAnsi="Verdana" w:cs="Arial"/>
          <w:b/>
          <w:bCs/>
          <w:sz w:val="24"/>
          <w:szCs w:val="24"/>
        </w:rPr>
      </w:pPr>
    </w:p>
    <w:p w:rsidRPr="00C66231" w:rsidR="005D4836" w:rsidP="006A0A13" w:rsidRDefault="515C5378" w14:paraId="6F9148B6" w14:textId="4A3E86D0">
      <w:pPr>
        <w:spacing w:after="0" w:line="360" w:lineRule="auto"/>
        <w:jc w:val="both"/>
        <w:rPr>
          <w:rFonts w:ascii="Verdana" w:hAnsi="Verdana" w:cs="Arial"/>
          <w:sz w:val="24"/>
          <w:szCs w:val="24"/>
        </w:rPr>
      </w:pPr>
      <w:r w:rsidRPr="0FF05B1B">
        <w:rPr>
          <w:rFonts w:ascii="Verdana" w:hAnsi="Verdana" w:cs="Arial"/>
          <w:sz w:val="24"/>
          <w:szCs w:val="24"/>
        </w:rPr>
        <w:t>Hito 2. Línea Estratégica de Gestión Social de Conflictos</w:t>
      </w:r>
      <w:r w:rsidRPr="0FF05B1B" w:rsidR="18C71959">
        <w:rPr>
          <w:rFonts w:ascii="Verdana" w:hAnsi="Verdana" w:cs="Arial"/>
          <w:sz w:val="24"/>
          <w:szCs w:val="24"/>
        </w:rPr>
        <w:t xml:space="preserve">: </w:t>
      </w:r>
      <w:r w:rsidRPr="0FF05B1B" w:rsidR="08BE19F9">
        <w:rPr>
          <w:rFonts w:ascii="Verdana" w:hAnsi="Verdana" w:cs="Arial"/>
          <w:sz w:val="24"/>
          <w:szCs w:val="24"/>
        </w:rPr>
        <w:t>Avance en la superación de conflictividades sociales, alcanzando un 66% de casos con viabilidad operativa al cierre de 2023.</w:t>
      </w:r>
    </w:p>
    <w:p w:rsidRPr="00C66231" w:rsidR="005D4836" w:rsidP="006A0A13" w:rsidRDefault="005D4836" w14:paraId="339F53CC" w14:textId="77777777">
      <w:pPr>
        <w:spacing w:after="0" w:line="360" w:lineRule="auto"/>
        <w:jc w:val="both"/>
        <w:rPr>
          <w:rFonts w:ascii="Verdana" w:hAnsi="Verdana" w:cs="Arial"/>
          <w:sz w:val="24"/>
          <w:szCs w:val="24"/>
        </w:rPr>
      </w:pPr>
    </w:p>
    <w:p w:rsidRPr="00C66231" w:rsidR="005D4836" w:rsidP="006A0A13" w:rsidRDefault="005D4836" w14:paraId="025E7F52" w14:textId="77777777">
      <w:pPr>
        <w:spacing w:after="0" w:line="360" w:lineRule="auto"/>
        <w:jc w:val="both"/>
        <w:rPr>
          <w:rFonts w:ascii="Verdana" w:hAnsi="Verdana" w:eastAsia="Times New Roman" w:cs="Arial"/>
          <w:sz w:val="24"/>
          <w:szCs w:val="24"/>
        </w:rPr>
      </w:pPr>
      <w:r w:rsidRPr="00C66231">
        <w:rPr>
          <w:rFonts w:ascii="Verdana" w:hAnsi="Verdana" w:eastAsia="Times New Roman" w:cs="Arial"/>
          <w:sz w:val="24"/>
          <w:szCs w:val="24"/>
        </w:rPr>
        <w:t xml:space="preserve">La línea estratégica de Gestión Social de Conflictos se formula como un mecanismo de articulación institucional y atención territorial a casos de conflictos que se dan en el marco de los proyectos de Transición Energética Justa en La Guajira priorizados por el gobierno nacional. </w:t>
      </w:r>
    </w:p>
    <w:p w:rsidRPr="00C66231" w:rsidR="005D4836" w:rsidP="006A0A13" w:rsidRDefault="005D4836" w14:paraId="7E4727D4" w14:textId="77777777">
      <w:pPr>
        <w:spacing w:after="0" w:line="360" w:lineRule="auto"/>
        <w:jc w:val="both"/>
        <w:rPr>
          <w:rFonts w:ascii="Verdana" w:hAnsi="Verdana" w:eastAsia="Times New Roman" w:cs="Arial"/>
          <w:sz w:val="24"/>
          <w:szCs w:val="24"/>
        </w:rPr>
      </w:pPr>
    </w:p>
    <w:p w:rsidRPr="00C66231" w:rsidR="005D4836" w:rsidP="006A0A13" w:rsidRDefault="005D4836" w14:paraId="0ACFF552" w14:textId="77777777">
      <w:pPr>
        <w:spacing w:after="0" w:line="360" w:lineRule="auto"/>
        <w:jc w:val="both"/>
        <w:rPr>
          <w:rFonts w:ascii="Verdana" w:hAnsi="Verdana" w:eastAsia="Times New Roman" w:cs="Arial"/>
          <w:sz w:val="24"/>
          <w:szCs w:val="24"/>
        </w:rPr>
      </w:pPr>
      <w:r w:rsidRPr="00C66231">
        <w:rPr>
          <w:rFonts w:ascii="Verdana" w:hAnsi="Verdana" w:eastAsia="Times New Roman" w:cs="Arial"/>
          <w:sz w:val="24"/>
          <w:szCs w:val="24"/>
        </w:rPr>
        <w:t>En el año 2022, la atención de conflictos sociales del pueblo wayuu fue atendida por el Ministerio del Interior, específicamente la Dirección de Asuntos Indígenas, Rom y Minorías en el marco de sus competencias. Es a partir del año 2023, que la OAAS, de acuerdo con las competencias establecidas en el Decreto 381 de 2012, asume el liderazgo en el establecimiento de una estrategia para la gestión social de conflictos caracterizada por la articulación institucional (nacional, regional y local) y una presencia territorial con equipo experto en Sistema Normativo Wayuu que permitiera atender las dificultades relacionadas con el avance de los proyectos de Transición Energética Justa bajo el respeto de las formas de gobierno propio y la comprensión intercultural.</w:t>
      </w:r>
    </w:p>
    <w:p w:rsidRPr="00C66231" w:rsidR="005D4836" w:rsidP="006A0A13" w:rsidRDefault="005D4836" w14:paraId="6702F439" w14:textId="77777777">
      <w:pPr>
        <w:spacing w:after="0" w:line="360" w:lineRule="auto"/>
        <w:jc w:val="both"/>
        <w:rPr>
          <w:rFonts w:ascii="Verdana" w:hAnsi="Verdana" w:eastAsia="Times New Roman" w:cs="Arial"/>
          <w:sz w:val="24"/>
          <w:szCs w:val="24"/>
        </w:rPr>
      </w:pPr>
    </w:p>
    <w:p w:rsidRPr="00C66231" w:rsidR="005D4836" w:rsidP="006A0A13" w:rsidRDefault="005D4836" w14:paraId="776019B4" w14:textId="77777777">
      <w:pPr>
        <w:spacing w:after="0" w:line="360" w:lineRule="auto"/>
        <w:jc w:val="both"/>
        <w:rPr>
          <w:rFonts w:ascii="Verdana" w:hAnsi="Verdana" w:eastAsia="Times New Roman" w:cs="Arial"/>
          <w:sz w:val="24"/>
          <w:szCs w:val="24"/>
        </w:rPr>
      </w:pPr>
      <w:r w:rsidRPr="00C66231">
        <w:rPr>
          <w:rFonts w:ascii="Verdana" w:hAnsi="Verdana" w:eastAsia="Times New Roman" w:cs="Arial"/>
          <w:sz w:val="24"/>
          <w:szCs w:val="24"/>
        </w:rPr>
        <w:t>En consecuencia, entre 2023 y 2026 se han gestionado los siguientes casos:</w:t>
      </w:r>
    </w:p>
    <w:p w:rsidRPr="00C66231" w:rsidR="005D4836" w:rsidP="006A0A13" w:rsidRDefault="005D4836" w14:paraId="3CC6F6EB" w14:textId="77777777">
      <w:pPr>
        <w:spacing w:after="0" w:line="360" w:lineRule="auto"/>
        <w:jc w:val="both"/>
        <w:rPr>
          <w:rFonts w:ascii="Verdana" w:hAnsi="Verdana" w:eastAsia="Times New Roman" w:cs="Arial"/>
          <w:sz w:val="24"/>
          <w:szCs w:val="24"/>
        </w:rPr>
      </w:pPr>
    </w:p>
    <w:p w:rsidRPr="00C66231" w:rsidR="005D4836" w:rsidP="006A0A13" w:rsidRDefault="005D4836" w14:paraId="37FB57D5" w14:textId="77777777">
      <w:pPr>
        <w:spacing w:after="0" w:line="360" w:lineRule="auto"/>
        <w:jc w:val="both"/>
        <w:rPr>
          <w:rFonts w:ascii="Verdana" w:hAnsi="Verdana" w:eastAsia="Times New Roman" w:cs="Arial"/>
          <w:sz w:val="24"/>
          <w:szCs w:val="24"/>
          <w:u w:val="single"/>
        </w:rPr>
      </w:pPr>
      <w:r w:rsidRPr="00C66231">
        <w:rPr>
          <w:rFonts w:ascii="Verdana" w:hAnsi="Verdana" w:eastAsia="Times New Roman" w:cs="Arial"/>
          <w:sz w:val="24"/>
          <w:szCs w:val="24"/>
          <w:u w:val="single"/>
        </w:rPr>
        <w:t>Gestión total priorizada cuatrienio:</w:t>
      </w:r>
    </w:p>
    <w:p w:rsidRPr="00C66231" w:rsidR="005D4836" w:rsidP="006A0A13" w:rsidRDefault="005D4836" w14:paraId="406564A4" w14:textId="77777777">
      <w:pPr>
        <w:spacing w:after="0" w:line="360" w:lineRule="auto"/>
        <w:jc w:val="both"/>
        <w:rPr>
          <w:rFonts w:ascii="Verdana" w:hAnsi="Verdana" w:eastAsia="Times New Roman" w:cs="Arial"/>
          <w:sz w:val="24"/>
          <w:szCs w:val="24"/>
        </w:rPr>
      </w:pPr>
      <w:r w:rsidRPr="00C66231">
        <w:rPr>
          <w:rFonts w:ascii="Verdana" w:hAnsi="Verdana" w:eastAsia="Times New Roman" w:cs="Arial"/>
          <w:sz w:val="24"/>
          <w:szCs w:val="24"/>
        </w:rPr>
        <w:t>Número total de casos priorizados cuatrienio: 206 casos de conflictividad.</w:t>
      </w:r>
    </w:p>
    <w:p w:rsidRPr="00C66231" w:rsidR="005D4836" w:rsidP="006A0A13" w:rsidRDefault="005D4836" w14:paraId="0CD2AE64" w14:textId="77777777">
      <w:pPr>
        <w:spacing w:after="0" w:line="360" w:lineRule="auto"/>
        <w:jc w:val="both"/>
        <w:rPr>
          <w:rFonts w:ascii="Verdana" w:hAnsi="Verdana" w:eastAsia="Times New Roman" w:cs="Arial"/>
          <w:sz w:val="24"/>
          <w:szCs w:val="24"/>
        </w:rPr>
      </w:pPr>
      <w:r w:rsidRPr="00C66231">
        <w:rPr>
          <w:rFonts w:ascii="Verdana" w:hAnsi="Verdana" w:eastAsia="Times New Roman" w:cs="Arial"/>
          <w:sz w:val="24"/>
          <w:szCs w:val="24"/>
        </w:rPr>
        <w:t>Número total de comunidades involucradas cuatrienio: 346 comunidades étnicas.</w:t>
      </w:r>
    </w:p>
    <w:p w:rsidRPr="00C66231" w:rsidR="005D4836" w:rsidP="006A0A13" w:rsidRDefault="005D4836" w14:paraId="0978D865" w14:textId="77777777">
      <w:pPr>
        <w:spacing w:after="0" w:line="360" w:lineRule="auto"/>
        <w:jc w:val="both"/>
        <w:rPr>
          <w:rFonts w:ascii="Verdana" w:hAnsi="Verdana" w:eastAsia="Times New Roman" w:cs="Arial"/>
          <w:sz w:val="24"/>
          <w:szCs w:val="24"/>
        </w:rPr>
      </w:pPr>
    </w:p>
    <w:p w:rsidRPr="00C66231" w:rsidR="005D4836" w:rsidP="006A0A13" w:rsidRDefault="005D4836" w14:paraId="7C1258A7" w14:textId="77777777">
      <w:pPr>
        <w:spacing w:after="0" w:line="360" w:lineRule="auto"/>
        <w:jc w:val="both"/>
        <w:rPr>
          <w:rFonts w:ascii="Verdana" w:hAnsi="Verdana" w:eastAsia="Times New Roman" w:cs="Arial"/>
          <w:sz w:val="24"/>
          <w:szCs w:val="24"/>
          <w:u w:val="single"/>
        </w:rPr>
      </w:pPr>
      <w:r w:rsidRPr="00C66231">
        <w:rPr>
          <w:rFonts w:ascii="Verdana" w:hAnsi="Verdana" w:eastAsia="Times New Roman" w:cs="Arial"/>
          <w:sz w:val="24"/>
          <w:szCs w:val="24"/>
          <w:u w:val="single"/>
        </w:rPr>
        <w:t>Ejecutor – Proyectos – Número de casos priorizados cuatrienio:</w:t>
      </w:r>
    </w:p>
    <w:p w:rsidRPr="00C66231" w:rsidR="005D4836" w:rsidP="006A0A13" w:rsidRDefault="005D4836" w14:paraId="66E0072F" w14:textId="77777777">
      <w:pPr>
        <w:spacing w:after="0" w:line="360" w:lineRule="auto"/>
        <w:jc w:val="both"/>
        <w:rPr>
          <w:rFonts w:ascii="Verdana" w:hAnsi="Verdana" w:eastAsia="Times New Roman" w:cs="Arial"/>
          <w:sz w:val="24"/>
          <w:szCs w:val="24"/>
        </w:rPr>
      </w:pPr>
      <w:r w:rsidRPr="00C66231">
        <w:rPr>
          <w:rFonts w:ascii="Verdana" w:hAnsi="Verdana" w:eastAsia="Times New Roman" w:cs="Arial"/>
          <w:sz w:val="24"/>
          <w:szCs w:val="24"/>
        </w:rPr>
        <w:t>1. Enlaza del Grupo Energía de Bogotá</w:t>
      </w:r>
    </w:p>
    <w:p w:rsidRPr="00C66231" w:rsidR="005D4836" w:rsidP="006A0A13" w:rsidRDefault="005D4836" w14:paraId="3B80947B" w14:textId="77777777">
      <w:pPr>
        <w:spacing w:after="0" w:line="360" w:lineRule="auto"/>
        <w:jc w:val="both"/>
        <w:rPr>
          <w:rFonts w:ascii="Verdana" w:hAnsi="Verdana" w:eastAsia="Times New Roman" w:cs="Arial"/>
          <w:sz w:val="24"/>
          <w:szCs w:val="24"/>
        </w:rPr>
      </w:pPr>
      <w:r w:rsidRPr="00C66231">
        <w:rPr>
          <w:rFonts w:ascii="Verdana" w:hAnsi="Verdana" w:eastAsia="Times New Roman" w:cs="Arial"/>
          <w:sz w:val="24"/>
          <w:szCs w:val="24"/>
        </w:rPr>
        <w:t>Línea de Transmisión Colectora – Cuestecitas 500 kV: 102</w:t>
      </w:r>
    </w:p>
    <w:p w:rsidRPr="00C66231" w:rsidR="005D4836" w:rsidP="006A0A13" w:rsidRDefault="005D4836" w14:paraId="4ECCF691" w14:textId="77777777">
      <w:pPr>
        <w:spacing w:after="0" w:line="360" w:lineRule="auto"/>
        <w:jc w:val="both"/>
        <w:rPr>
          <w:rFonts w:ascii="Verdana" w:hAnsi="Verdana" w:eastAsia="Times New Roman" w:cs="Arial"/>
          <w:sz w:val="24"/>
          <w:szCs w:val="24"/>
        </w:rPr>
      </w:pPr>
      <w:r w:rsidRPr="00C66231">
        <w:rPr>
          <w:rFonts w:ascii="Verdana" w:hAnsi="Verdana" w:eastAsia="Times New Roman" w:cs="Arial"/>
          <w:sz w:val="24"/>
          <w:szCs w:val="24"/>
        </w:rPr>
        <w:t>Línea de Transmisión Cuestecitas – La Loma 500 kV: 1</w:t>
      </w:r>
    </w:p>
    <w:p w:rsidRPr="00C66231" w:rsidR="005D4836" w:rsidP="006A0A13" w:rsidRDefault="005D4836" w14:paraId="281C083F" w14:textId="77777777">
      <w:pPr>
        <w:spacing w:after="0" w:line="360" w:lineRule="auto"/>
        <w:jc w:val="both"/>
        <w:rPr>
          <w:rFonts w:ascii="Verdana" w:hAnsi="Verdana" w:eastAsia="Times New Roman" w:cs="Arial"/>
          <w:sz w:val="24"/>
          <w:szCs w:val="24"/>
          <w:highlight w:val="yellow"/>
        </w:rPr>
      </w:pPr>
    </w:p>
    <w:p w:rsidRPr="00C66231" w:rsidR="005D4836" w:rsidP="006A0A13" w:rsidRDefault="005D4836" w14:paraId="56751E1F" w14:textId="77777777">
      <w:pPr>
        <w:spacing w:after="0" w:line="360" w:lineRule="auto"/>
        <w:jc w:val="both"/>
        <w:rPr>
          <w:rFonts w:ascii="Verdana" w:hAnsi="Verdana" w:eastAsia="Times New Roman" w:cs="Arial"/>
          <w:sz w:val="24"/>
          <w:szCs w:val="24"/>
        </w:rPr>
      </w:pPr>
      <w:r w:rsidRPr="00C66231">
        <w:rPr>
          <w:rFonts w:ascii="Verdana" w:hAnsi="Verdana" w:eastAsia="Times New Roman" w:cs="Arial"/>
          <w:sz w:val="24"/>
          <w:szCs w:val="24"/>
        </w:rPr>
        <w:t>EDP Renewables</w:t>
      </w:r>
    </w:p>
    <w:p w:rsidRPr="00C66231" w:rsidR="005D4836" w:rsidP="006A0A13" w:rsidRDefault="005D4836" w14:paraId="66115ECE" w14:textId="77777777">
      <w:pPr>
        <w:spacing w:after="0" w:line="360" w:lineRule="auto"/>
        <w:jc w:val="both"/>
        <w:rPr>
          <w:rFonts w:ascii="Verdana" w:hAnsi="Verdana" w:eastAsia="Times New Roman" w:cs="Arial"/>
          <w:sz w:val="24"/>
          <w:szCs w:val="24"/>
        </w:rPr>
      </w:pPr>
      <w:r w:rsidRPr="00C66231">
        <w:rPr>
          <w:rFonts w:ascii="Verdana" w:hAnsi="Verdana" w:eastAsia="Times New Roman" w:cs="Arial"/>
          <w:sz w:val="24"/>
          <w:szCs w:val="24"/>
        </w:rPr>
        <w:t>Parque eólico Beta de 280 MW: 9</w:t>
      </w:r>
    </w:p>
    <w:p w:rsidRPr="00C66231" w:rsidR="005D4836" w:rsidP="006A0A13" w:rsidRDefault="005D4836" w14:paraId="436EF2FB" w14:textId="77777777">
      <w:pPr>
        <w:spacing w:after="0" w:line="360" w:lineRule="auto"/>
        <w:jc w:val="both"/>
        <w:rPr>
          <w:rFonts w:ascii="Verdana" w:hAnsi="Verdana" w:eastAsia="Times New Roman" w:cs="Arial"/>
          <w:sz w:val="24"/>
          <w:szCs w:val="24"/>
        </w:rPr>
      </w:pPr>
      <w:r w:rsidRPr="00C66231">
        <w:rPr>
          <w:rFonts w:ascii="Verdana" w:hAnsi="Verdana" w:eastAsia="Times New Roman" w:cs="Arial"/>
          <w:sz w:val="24"/>
          <w:szCs w:val="24"/>
        </w:rPr>
        <w:t>Parque eólico Alpha de 212 MW: 4</w:t>
      </w:r>
    </w:p>
    <w:p w:rsidRPr="00C66231" w:rsidR="005D4836" w:rsidP="006A0A13" w:rsidRDefault="005D4836" w14:paraId="126C617A" w14:textId="77777777">
      <w:pPr>
        <w:spacing w:after="0" w:line="360" w:lineRule="auto"/>
        <w:jc w:val="both"/>
        <w:rPr>
          <w:rFonts w:ascii="Verdana" w:hAnsi="Verdana" w:eastAsia="Times New Roman" w:cs="Arial"/>
          <w:sz w:val="24"/>
          <w:szCs w:val="24"/>
        </w:rPr>
      </w:pPr>
      <w:r w:rsidRPr="00C66231">
        <w:rPr>
          <w:rFonts w:ascii="Verdana" w:hAnsi="Verdana" w:eastAsia="Times New Roman" w:cs="Arial"/>
          <w:sz w:val="24"/>
          <w:szCs w:val="24"/>
        </w:rPr>
        <w:t>Vía de acceso parque eólico Beta de 280 MW: 7</w:t>
      </w:r>
    </w:p>
    <w:p w:rsidRPr="00C66231" w:rsidR="005D4836" w:rsidP="006A0A13" w:rsidRDefault="005D4836" w14:paraId="62E43413" w14:textId="77777777">
      <w:pPr>
        <w:spacing w:after="0" w:line="360" w:lineRule="auto"/>
        <w:jc w:val="both"/>
        <w:rPr>
          <w:rFonts w:ascii="Verdana" w:hAnsi="Verdana" w:eastAsia="Times New Roman" w:cs="Arial"/>
          <w:sz w:val="24"/>
          <w:szCs w:val="24"/>
        </w:rPr>
      </w:pPr>
      <w:r w:rsidRPr="00C66231">
        <w:rPr>
          <w:rFonts w:ascii="Verdana" w:hAnsi="Verdana" w:eastAsia="Times New Roman" w:cs="Arial"/>
          <w:sz w:val="24"/>
          <w:szCs w:val="24"/>
        </w:rPr>
        <w:t>Línea de conexión parques eólicos Beta y Alpha a la subestación Cuestecitas 500 kV: 15</w:t>
      </w:r>
    </w:p>
    <w:p w:rsidRPr="00C66231" w:rsidR="005D4836" w:rsidP="006A0A13" w:rsidRDefault="005D4836" w14:paraId="67AEA3ED" w14:textId="77777777">
      <w:pPr>
        <w:spacing w:after="0" w:line="360" w:lineRule="auto"/>
        <w:jc w:val="both"/>
        <w:rPr>
          <w:rFonts w:ascii="Verdana" w:hAnsi="Verdana" w:eastAsia="Times New Roman" w:cs="Arial"/>
          <w:sz w:val="24"/>
          <w:szCs w:val="24"/>
        </w:rPr>
      </w:pPr>
    </w:p>
    <w:p w:rsidRPr="00CB4CE5" w:rsidR="005D4836" w:rsidP="006A0A13" w:rsidRDefault="005D4836" w14:paraId="31D3B1EF" w14:textId="77777777">
      <w:pPr>
        <w:spacing w:after="0" w:line="360" w:lineRule="auto"/>
        <w:jc w:val="both"/>
        <w:rPr>
          <w:rFonts w:ascii="Verdana" w:hAnsi="Verdana" w:eastAsia="Times New Roman" w:cs="Arial"/>
          <w:sz w:val="24"/>
          <w:szCs w:val="24"/>
          <w:lang w:val="pt-PT"/>
        </w:rPr>
      </w:pPr>
      <w:r w:rsidRPr="00CB4CE5">
        <w:rPr>
          <w:rFonts w:ascii="Verdana" w:hAnsi="Verdana" w:eastAsia="Times New Roman" w:cs="Arial"/>
          <w:sz w:val="24"/>
          <w:szCs w:val="24"/>
          <w:lang w:val="pt-PT"/>
        </w:rPr>
        <w:t>Celsia</w:t>
      </w:r>
    </w:p>
    <w:p w:rsidRPr="00CB4CE5" w:rsidR="005D4836" w:rsidP="006A0A13" w:rsidRDefault="005D4836" w14:paraId="215DFAD0" w14:textId="77777777">
      <w:pPr>
        <w:spacing w:after="0" w:line="360" w:lineRule="auto"/>
        <w:jc w:val="both"/>
        <w:rPr>
          <w:rFonts w:ascii="Verdana" w:hAnsi="Verdana" w:eastAsia="Times New Roman" w:cs="Arial"/>
          <w:sz w:val="24"/>
          <w:szCs w:val="24"/>
          <w:lang w:val="pt-PT"/>
        </w:rPr>
      </w:pPr>
      <w:r w:rsidRPr="00CB4CE5">
        <w:rPr>
          <w:rFonts w:ascii="Verdana" w:hAnsi="Verdana" w:eastAsia="Times New Roman" w:cs="Arial"/>
          <w:sz w:val="24"/>
          <w:szCs w:val="24"/>
          <w:lang w:val="pt-PT"/>
        </w:rPr>
        <w:t>Parque eólico Camelias de 250 MW: 5</w:t>
      </w:r>
    </w:p>
    <w:p w:rsidRPr="00CB4CE5" w:rsidR="005D4836" w:rsidP="006A0A13" w:rsidRDefault="005D4836" w14:paraId="2D6BC100" w14:textId="77777777">
      <w:pPr>
        <w:spacing w:after="0" w:line="360" w:lineRule="auto"/>
        <w:jc w:val="both"/>
        <w:rPr>
          <w:rFonts w:ascii="Verdana" w:hAnsi="Verdana" w:eastAsia="Times New Roman" w:cs="Arial"/>
          <w:sz w:val="24"/>
          <w:szCs w:val="24"/>
          <w:lang w:val="pt-PT"/>
        </w:rPr>
      </w:pPr>
    </w:p>
    <w:p w:rsidRPr="00C66231" w:rsidR="005D4836" w:rsidP="006A0A13" w:rsidRDefault="005D4836" w14:paraId="19D7E2C3" w14:textId="77777777">
      <w:pPr>
        <w:spacing w:after="0" w:line="360" w:lineRule="auto"/>
        <w:jc w:val="both"/>
        <w:rPr>
          <w:rFonts w:ascii="Verdana" w:hAnsi="Verdana" w:eastAsia="Times New Roman" w:cs="Arial"/>
          <w:sz w:val="24"/>
          <w:szCs w:val="24"/>
        </w:rPr>
      </w:pPr>
      <w:r w:rsidRPr="00C66231">
        <w:rPr>
          <w:rFonts w:ascii="Verdana" w:hAnsi="Verdana" w:eastAsia="Times New Roman" w:cs="Arial"/>
          <w:sz w:val="24"/>
          <w:szCs w:val="24"/>
        </w:rPr>
        <w:t>AES Colombia</w:t>
      </w:r>
    </w:p>
    <w:p w:rsidRPr="00C66231" w:rsidR="005D4836" w:rsidP="006A0A13" w:rsidRDefault="005D4836" w14:paraId="0A230A71" w14:textId="77777777">
      <w:pPr>
        <w:spacing w:after="0" w:line="360" w:lineRule="auto"/>
        <w:jc w:val="both"/>
        <w:rPr>
          <w:rFonts w:ascii="Verdana" w:hAnsi="Verdana" w:eastAsia="Times New Roman" w:cs="Arial"/>
          <w:sz w:val="24"/>
          <w:szCs w:val="24"/>
        </w:rPr>
      </w:pPr>
      <w:r w:rsidRPr="00C66231">
        <w:rPr>
          <w:rFonts w:ascii="Verdana" w:hAnsi="Verdana" w:eastAsia="Times New Roman" w:cs="Arial"/>
          <w:sz w:val="24"/>
          <w:szCs w:val="24"/>
        </w:rPr>
        <w:t>Parque eólico JK1 – JK2 de 255 MW: 23</w:t>
      </w:r>
    </w:p>
    <w:p w:rsidRPr="00C66231" w:rsidR="005D4836" w:rsidP="006A0A13" w:rsidRDefault="005D4836" w14:paraId="7D543BFB" w14:textId="77777777">
      <w:pPr>
        <w:spacing w:after="0" w:line="360" w:lineRule="auto"/>
        <w:jc w:val="both"/>
        <w:rPr>
          <w:rFonts w:ascii="Verdana" w:hAnsi="Verdana" w:eastAsia="Times New Roman" w:cs="Arial"/>
          <w:sz w:val="24"/>
          <w:szCs w:val="24"/>
        </w:rPr>
      </w:pPr>
      <w:r w:rsidRPr="00C66231">
        <w:rPr>
          <w:rFonts w:ascii="Verdana" w:hAnsi="Verdana" w:eastAsia="Times New Roman" w:cs="Arial"/>
          <w:sz w:val="24"/>
          <w:szCs w:val="24"/>
        </w:rPr>
        <w:t>Parque eólico JK3 de 50 MW: 2</w:t>
      </w:r>
    </w:p>
    <w:p w:rsidRPr="00C66231" w:rsidR="005D4836" w:rsidP="006A0A13" w:rsidRDefault="005D4836" w14:paraId="238E0F76" w14:textId="77777777">
      <w:pPr>
        <w:spacing w:after="0" w:line="360" w:lineRule="auto"/>
        <w:jc w:val="both"/>
        <w:rPr>
          <w:rFonts w:ascii="Verdana" w:hAnsi="Verdana" w:eastAsia="Times New Roman" w:cs="Arial"/>
          <w:sz w:val="24"/>
          <w:szCs w:val="24"/>
        </w:rPr>
      </w:pPr>
      <w:r w:rsidRPr="00C66231">
        <w:rPr>
          <w:rFonts w:ascii="Verdana" w:hAnsi="Verdana" w:eastAsia="Times New Roman" w:cs="Arial"/>
          <w:sz w:val="24"/>
          <w:szCs w:val="24"/>
        </w:rPr>
        <w:t>Parque eólico JK4 de 259 MW: 10</w:t>
      </w:r>
    </w:p>
    <w:p w:rsidRPr="00C66231" w:rsidR="005D4836" w:rsidP="006A0A13" w:rsidRDefault="005D4836" w14:paraId="1BF3DE56" w14:textId="77777777">
      <w:pPr>
        <w:spacing w:after="0" w:line="360" w:lineRule="auto"/>
        <w:jc w:val="both"/>
        <w:rPr>
          <w:rFonts w:ascii="Verdana" w:hAnsi="Verdana" w:eastAsia="Times New Roman" w:cs="Arial"/>
          <w:sz w:val="24"/>
          <w:szCs w:val="24"/>
        </w:rPr>
      </w:pPr>
      <w:r w:rsidRPr="00C66231">
        <w:rPr>
          <w:rFonts w:ascii="Verdana" w:hAnsi="Verdana" w:eastAsia="Times New Roman" w:cs="Arial"/>
          <w:sz w:val="24"/>
          <w:szCs w:val="24"/>
        </w:rPr>
        <w:t>Línea de conexión parques eólicos Jemeiwaa KaI a la subestación Colectora 500 kV: 13</w:t>
      </w:r>
    </w:p>
    <w:p w:rsidRPr="00C66231" w:rsidR="005D4836" w:rsidP="006A0A13" w:rsidRDefault="005D4836" w14:paraId="75A5531E" w14:textId="77777777">
      <w:pPr>
        <w:spacing w:after="0" w:line="360" w:lineRule="auto"/>
        <w:jc w:val="both"/>
        <w:rPr>
          <w:rFonts w:ascii="Verdana" w:hAnsi="Verdana" w:eastAsia="Times New Roman" w:cs="Arial"/>
          <w:sz w:val="24"/>
          <w:szCs w:val="24"/>
        </w:rPr>
      </w:pPr>
    </w:p>
    <w:p w:rsidRPr="00C66231" w:rsidR="005D4836" w:rsidP="006A0A13" w:rsidRDefault="005D4836" w14:paraId="6272A9D8" w14:textId="77777777">
      <w:pPr>
        <w:spacing w:after="0" w:line="360" w:lineRule="auto"/>
        <w:jc w:val="both"/>
        <w:rPr>
          <w:rFonts w:ascii="Verdana" w:hAnsi="Verdana" w:eastAsia="Times New Roman" w:cs="Arial"/>
          <w:sz w:val="24"/>
          <w:szCs w:val="24"/>
        </w:rPr>
      </w:pPr>
      <w:r w:rsidRPr="00C66231">
        <w:rPr>
          <w:rFonts w:ascii="Verdana" w:hAnsi="Verdana" w:eastAsia="Times New Roman" w:cs="Arial"/>
          <w:sz w:val="24"/>
          <w:szCs w:val="24"/>
        </w:rPr>
        <w:t>Enel Colombia (proyecto ahora a cargo de Ecopetrol)</w:t>
      </w:r>
    </w:p>
    <w:p w:rsidRPr="00CB4CE5" w:rsidR="005D4836" w:rsidP="006A0A13" w:rsidRDefault="005D4836" w14:paraId="63EABEB9" w14:textId="77777777">
      <w:pPr>
        <w:spacing w:after="0" w:line="360" w:lineRule="auto"/>
        <w:jc w:val="both"/>
        <w:rPr>
          <w:rFonts w:ascii="Verdana" w:hAnsi="Verdana" w:eastAsia="Times New Roman" w:cs="Arial"/>
          <w:sz w:val="24"/>
          <w:szCs w:val="24"/>
          <w:lang w:val="pt-PT"/>
        </w:rPr>
      </w:pPr>
      <w:r w:rsidRPr="00CB4CE5">
        <w:rPr>
          <w:rFonts w:ascii="Verdana" w:hAnsi="Verdana" w:eastAsia="Times New Roman" w:cs="Arial"/>
          <w:sz w:val="24"/>
          <w:szCs w:val="24"/>
          <w:lang w:val="pt-PT"/>
        </w:rPr>
        <w:t>Parque eólico Windpeshi de 200 MW: 12</w:t>
      </w:r>
    </w:p>
    <w:p w:rsidRPr="00CB4CE5" w:rsidR="005D4836" w:rsidP="006A0A13" w:rsidRDefault="005D4836" w14:paraId="3FA3B7B1" w14:textId="77777777">
      <w:pPr>
        <w:spacing w:after="0" w:line="360" w:lineRule="auto"/>
        <w:jc w:val="both"/>
        <w:rPr>
          <w:rFonts w:ascii="Verdana" w:hAnsi="Verdana" w:eastAsia="Times New Roman" w:cs="Arial"/>
          <w:sz w:val="24"/>
          <w:szCs w:val="24"/>
          <w:highlight w:val="yellow"/>
          <w:lang w:val="pt-PT"/>
        </w:rPr>
      </w:pPr>
    </w:p>
    <w:p w:rsidRPr="00CB4CE5" w:rsidR="005D4836" w:rsidP="006A0A13" w:rsidRDefault="005D4836" w14:paraId="06CADE24" w14:textId="77777777">
      <w:pPr>
        <w:spacing w:after="0" w:line="360" w:lineRule="auto"/>
        <w:jc w:val="both"/>
        <w:rPr>
          <w:rFonts w:ascii="Verdana" w:hAnsi="Verdana" w:eastAsia="Times New Roman" w:cs="Arial"/>
          <w:sz w:val="24"/>
          <w:szCs w:val="24"/>
          <w:lang w:val="pt-PT"/>
        </w:rPr>
      </w:pPr>
      <w:r w:rsidRPr="00CB4CE5">
        <w:rPr>
          <w:rFonts w:ascii="Verdana" w:hAnsi="Verdana" w:eastAsia="Times New Roman" w:cs="Arial"/>
          <w:sz w:val="24"/>
          <w:szCs w:val="24"/>
          <w:lang w:val="pt-PT"/>
        </w:rPr>
        <w:t>Isagen:</w:t>
      </w:r>
    </w:p>
    <w:p w:rsidRPr="00CB4CE5" w:rsidR="005D4836" w:rsidP="006A0A13" w:rsidRDefault="005D4836" w14:paraId="2FB8C094" w14:textId="77777777">
      <w:pPr>
        <w:spacing w:after="0" w:line="360" w:lineRule="auto"/>
        <w:jc w:val="both"/>
        <w:rPr>
          <w:rFonts w:ascii="Verdana" w:hAnsi="Verdana" w:eastAsia="Times New Roman" w:cs="Arial"/>
          <w:sz w:val="24"/>
          <w:szCs w:val="24"/>
          <w:lang w:val="pt-PT"/>
        </w:rPr>
      </w:pPr>
      <w:r w:rsidRPr="00CB4CE5">
        <w:rPr>
          <w:rFonts w:ascii="Verdana" w:hAnsi="Verdana" w:eastAsia="Times New Roman" w:cs="Arial"/>
          <w:sz w:val="24"/>
          <w:szCs w:val="24"/>
          <w:lang w:val="pt-PT"/>
        </w:rPr>
        <w:t>Parque eólico Guajira I de 20 MW: 1</w:t>
      </w:r>
    </w:p>
    <w:p w:rsidRPr="00CB4CE5" w:rsidR="005D4836" w:rsidP="006A0A13" w:rsidRDefault="005D4836" w14:paraId="5DC0BBC4" w14:textId="77777777">
      <w:pPr>
        <w:spacing w:after="0" w:line="360" w:lineRule="auto"/>
        <w:jc w:val="both"/>
        <w:rPr>
          <w:rFonts w:ascii="Verdana" w:hAnsi="Verdana" w:eastAsia="Times New Roman" w:cs="Arial"/>
          <w:sz w:val="24"/>
          <w:szCs w:val="24"/>
          <w:lang w:val="pt-PT"/>
        </w:rPr>
      </w:pPr>
    </w:p>
    <w:p w:rsidRPr="00C66231" w:rsidR="005D4836" w:rsidP="006A0A13" w:rsidRDefault="005D4836" w14:paraId="45F02B6A" w14:textId="77777777">
      <w:pPr>
        <w:spacing w:after="0" w:line="360" w:lineRule="auto"/>
        <w:jc w:val="both"/>
        <w:rPr>
          <w:rFonts w:ascii="Verdana" w:hAnsi="Verdana" w:eastAsia="Times New Roman" w:cs="Arial"/>
          <w:sz w:val="24"/>
          <w:szCs w:val="24"/>
        </w:rPr>
      </w:pPr>
      <w:r w:rsidRPr="00C66231">
        <w:rPr>
          <w:rFonts w:ascii="Verdana" w:hAnsi="Verdana" w:eastAsia="Times New Roman" w:cs="Arial"/>
          <w:sz w:val="24"/>
          <w:szCs w:val="24"/>
        </w:rPr>
        <w:t>ISA Intercolombia</w:t>
      </w:r>
    </w:p>
    <w:p w:rsidRPr="00C66231" w:rsidR="005D4836" w:rsidP="006A0A13" w:rsidRDefault="005D4836" w14:paraId="29BE59DA" w14:textId="77777777">
      <w:pPr>
        <w:spacing w:after="0" w:line="360" w:lineRule="auto"/>
        <w:jc w:val="both"/>
        <w:rPr>
          <w:rFonts w:ascii="Verdana" w:hAnsi="Verdana" w:eastAsia="Times New Roman" w:cs="Arial"/>
          <w:sz w:val="24"/>
          <w:szCs w:val="24"/>
        </w:rPr>
      </w:pPr>
      <w:r w:rsidRPr="00C66231">
        <w:rPr>
          <w:rFonts w:ascii="Verdana" w:hAnsi="Verdana" w:eastAsia="Times New Roman" w:cs="Arial"/>
          <w:sz w:val="24"/>
          <w:szCs w:val="24"/>
        </w:rPr>
        <w:t>Interconexión Cuestecitas – Copey – Fundación 500/220 kV: 1</w:t>
      </w:r>
    </w:p>
    <w:p w:rsidRPr="00C66231" w:rsidR="005D4836" w:rsidP="006A0A13" w:rsidRDefault="005D4836" w14:paraId="0689B998" w14:textId="77777777">
      <w:pPr>
        <w:spacing w:after="0" w:line="360" w:lineRule="auto"/>
        <w:jc w:val="both"/>
        <w:rPr>
          <w:rFonts w:ascii="Verdana" w:hAnsi="Verdana" w:eastAsia="Times New Roman" w:cs="Arial"/>
          <w:sz w:val="24"/>
          <w:szCs w:val="24"/>
        </w:rPr>
      </w:pPr>
    </w:p>
    <w:p w:rsidRPr="00CB4CE5" w:rsidR="005D4836" w:rsidP="006A0A13" w:rsidRDefault="005D4836" w14:paraId="6CA1B4F0" w14:textId="77777777">
      <w:pPr>
        <w:spacing w:after="0" w:line="360" w:lineRule="auto"/>
        <w:jc w:val="both"/>
        <w:rPr>
          <w:rFonts w:ascii="Verdana" w:hAnsi="Verdana" w:eastAsia="Times New Roman" w:cs="Arial"/>
          <w:sz w:val="24"/>
          <w:szCs w:val="24"/>
          <w:lang w:val="pt-PT"/>
        </w:rPr>
      </w:pPr>
      <w:r w:rsidRPr="00CB4CE5">
        <w:rPr>
          <w:rFonts w:ascii="Verdana" w:hAnsi="Verdana" w:eastAsia="Times New Roman" w:cs="Arial"/>
          <w:sz w:val="24"/>
          <w:szCs w:val="24"/>
          <w:lang w:val="pt-PT"/>
        </w:rPr>
        <w:t>EPM</w:t>
      </w:r>
    </w:p>
    <w:p w:rsidR="180099B3" w:rsidP="006A0A13" w:rsidRDefault="08BE19F9" w14:paraId="552CA845" w14:textId="1FD66BF4">
      <w:pPr>
        <w:spacing w:after="0" w:line="360" w:lineRule="auto"/>
        <w:jc w:val="both"/>
        <w:rPr>
          <w:rFonts w:ascii="Verdana" w:hAnsi="Verdana" w:eastAsia="Times New Roman" w:cs="Arial"/>
          <w:sz w:val="24"/>
          <w:szCs w:val="24"/>
          <w:lang w:val="pt-PT"/>
        </w:rPr>
      </w:pPr>
      <w:r w:rsidRPr="0FF05B1B">
        <w:rPr>
          <w:rFonts w:ascii="Verdana" w:hAnsi="Verdana" w:eastAsia="Times New Roman" w:cs="Arial"/>
          <w:sz w:val="24"/>
          <w:szCs w:val="24"/>
          <w:lang w:val="pt-PT"/>
        </w:rPr>
        <w:t>Parque eólico Jepirachi de 19.5 MW: 1</w:t>
      </w:r>
    </w:p>
    <w:p w:rsidR="180099B3" w:rsidP="006A0A13" w:rsidRDefault="180099B3" w14:paraId="2D4040D9" w14:textId="77777777">
      <w:pPr>
        <w:spacing w:after="0" w:line="360" w:lineRule="auto"/>
        <w:jc w:val="both"/>
        <w:rPr>
          <w:rFonts w:ascii="Verdana" w:hAnsi="Verdana" w:cs="Arial"/>
          <w:b/>
          <w:bCs/>
          <w:sz w:val="24"/>
          <w:szCs w:val="24"/>
        </w:rPr>
      </w:pPr>
    </w:p>
    <w:p w:rsidR="460B7196" w:rsidP="460B7196" w:rsidRDefault="460B7196" w14:paraId="3E172BBA" w14:textId="25297AA6">
      <w:pPr>
        <w:spacing w:after="0" w:line="360" w:lineRule="auto"/>
        <w:jc w:val="both"/>
        <w:rPr>
          <w:rFonts w:ascii="Verdana" w:hAnsi="Verdana" w:cs="Arial"/>
          <w:b/>
          <w:bCs/>
          <w:sz w:val="24"/>
          <w:szCs w:val="24"/>
        </w:rPr>
      </w:pPr>
    </w:p>
    <w:p w:rsidR="460B7196" w:rsidP="460B7196" w:rsidRDefault="460B7196" w14:paraId="010778A0" w14:textId="79D40949">
      <w:pPr>
        <w:spacing w:after="0" w:line="360" w:lineRule="auto"/>
        <w:jc w:val="both"/>
        <w:rPr>
          <w:rFonts w:ascii="Verdana" w:hAnsi="Verdana" w:cs="Arial"/>
          <w:b/>
          <w:bCs/>
          <w:sz w:val="24"/>
          <w:szCs w:val="24"/>
        </w:rPr>
      </w:pPr>
    </w:p>
    <w:p w:rsidRPr="00C66231" w:rsidR="005D4836" w:rsidP="006A0A13" w:rsidRDefault="00C66231" w14:paraId="1504A03F" w14:textId="77777777">
      <w:pPr>
        <w:spacing w:after="0" w:line="360" w:lineRule="auto"/>
        <w:jc w:val="both"/>
        <w:rPr>
          <w:rFonts w:ascii="Verdana" w:hAnsi="Verdana" w:cs="Arial"/>
          <w:b/>
          <w:bCs/>
          <w:sz w:val="24"/>
          <w:szCs w:val="24"/>
        </w:rPr>
      </w:pPr>
      <w:r w:rsidRPr="00C66231">
        <w:rPr>
          <w:rFonts w:ascii="Verdana" w:hAnsi="Verdana" w:cs="Arial"/>
          <w:b/>
          <w:bCs/>
          <w:sz w:val="24"/>
          <w:szCs w:val="24"/>
        </w:rPr>
        <w:t xml:space="preserve">Línea Estratégica </w:t>
      </w:r>
      <w:r>
        <w:rPr>
          <w:rFonts w:ascii="Verdana" w:hAnsi="Verdana" w:cs="Arial"/>
          <w:b/>
          <w:bCs/>
          <w:sz w:val="24"/>
          <w:szCs w:val="24"/>
        </w:rPr>
        <w:t>d</w:t>
      </w:r>
      <w:r w:rsidRPr="00C66231">
        <w:rPr>
          <w:rFonts w:ascii="Verdana" w:hAnsi="Verdana" w:cs="Arial"/>
          <w:b/>
          <w:bCs/>
          <w:sz w:val="24"/>
          <w:szCs w:val="24"/>
        </w:rPr>
        <w:t>e Gobernanza Étnica</w:t>
      </w:r>
    </w:p>
    <w:p w:rsidR="00C66231" w:rsidP="006A0A13" w:rsidRDefault="00C66231" w14:paraId="6D845B70" w14:textId="77777777">
      <w:pPr>
        <w:spacing w:after="0" w:line="360" w:lineRule="auto"/>
        <w:jc w:val="both"/>
        <w:rPr>
          <w:rFonts w:ascii="Verdana" w:hAnsi="Verdana" w:cs="Arial"/>
          <w:sz w:val="24"/>
          <w:szCs w:val="24"/>
        </w:rPr>
      </w:pPr>
    </w:p>
    <w:p w:rsidRPr="00C66231" w:rsidR="005D4836" w:rsidP="006A0A13" w:rsidRDefault="08BE19F9" w14:paraId="7841495D" w14:textId="45830AC5">
      <w:pPr>
        <w:spacing w:after="0" w:line="360" w:lineRule="auto"/>
        <w:jc w:val="both"/>
        <w:rPr>
          <w:rFonts w:ascii="Verdana" w:hAnsi="Verdana" w:cs="Arial"/>
          <w:sz w:val="24"/>
          <w:szCs w:val="24"/>
        </w:rPr>
      </w:pPr>
      <w:r w:rsidRPr="0FF05B1B">
        <w:rPr>
          <w:rFonts w:ascii="Verdana" w:hAnsi="Verdana" w:cs="Arial"/>
          <w:sz w:val="24"/>
          <w:szCs w:val="24"/>
        </w:rPr>
        <w:t>Hito 1. Espacios de Diálogo</w:t>
      </w:r>
      <w:r w:rsidRPr="0FF05B1B" w:rsidR="14B505A5">
        <w:rPr>
          <w:rFonts w:ascii="Verdana" w:hAnsi="Verdana" w:cs="Arial"/>
          <w:sz w:val="24"/>
          <w:szCs w:val="24"/>
        </w:rPr>
        <w:t xml:space="preserve">: </w:t>
      </w:r>
      <w:r w:rsidRPr="0FF05B1B">
        <w:rPr>
          <w:rFonts w:ascii="Verdana" w:hAnsi="Verdana" w:cs="Arial"/>
          <w:sz w:val="24"/>
          <w:szCs w:val="24"/>
        </w:rPr>
        <w:t>Fortalecimiento de espacios de diálogo intercultural y participación de comunidades Wayuu en la Transición Energética Justa.</w:t>
      </w:r>
    </w:p>
    <w:p w:rsidR="00C66231" w:rsidP="006A0A13" w:rsidRDefault="00C66231" w14:paraId="7BA8779B" w14:textId="77777777">
      <w:pPr>
        <w:spacing w:after="0" w:line="360" w:lineRule="auto"/>
        <w:jc w:val="both"/>
        <w:rPr>
          <w:rFonts w:ascii="Verdana" w:hAnsi="Verdana" w:cs="Arial"/>
          <w:sz w:val="24"/>
          <w:szCs w:val="24"/>
        </w:rPr>
      </w:pPr>
    </w:p>
    <w:p w:rsidRPr="00C66231" w:rsidR="005D4836" w:rsidP="006A0A13" w:rsidRDefault="08BE19F9" w14:paraId="18E06A83" w14:textId="724A84A8">
      <w:pPr>
        <w:spacing w:after="0" w:line="360" w:lineRule="auto"/>
        <w:jc w:val="both"/>
        <w:rPr>
          <w:rFonts w:ascii="Verdana" w:hAnsi="Verdana" w:cs="Arial"/>
          <w:sz w:val="24"/>
          <w:szCs w:val="24"/>
        </w:rPr>
      </w:pPr>
      <w:r w:rsidRPr="0FF05B1B">
        <w:rPr>
          <w:rFonts w:ascii="Verdana" w:hAnsi="Verdana" w:cs="Arial"/>
          <w:sz w:val="24"/>
          <w:szCs w:val="24"/>
        </w:rPr>
        <w:t>Hito 2. Pacto TEJ</w:t>
      </w:r>
      <w:r w:rsidRPr="0FF05B1B" w:rsidR="3422033D">
        <w:rPr>
          <w:rFonts w:ascii="Verdana" w:hAnsi="Verdana" w:cs="Arial"/>
          <w:sz w:val="24"/>
          <w:szCs w:val="24"/>
        </w:rPr>
        <w:t xml:space="preserve">: </w:t>
      </w:r>
      <w:r w:rsidRPr="0FF05B1B">
        <w:rPr>
          <w:rFonts w:ascii="Verdana" w:hAnsi="Verdana" w:cs="Arial"/>
          <w:sz w:val="24"/>
          <w:szCs w:val="24"/>
        </w:rPr>
        <w:t>Construcción participativa del Plan Operativo del Pacto TEJ con más de 400 autoridades étnicas y 467 comunidades priorizadas.</w:t>
      </w:r>
    </w:p>
    <w:p w:rsidRPr="00C66231" w:rsidR="005D4836" w:rsidP="006A0A13" w:rsidRDefault="005D4836" w14:paraId="7462D74A" w14:textId="77777777">
      <w:pPr>
        <w:spacing w:after="0" w:line="360" w:lineRule="auto"/>
        <w:jc w:val="both"/>
        <w:rPr>
          <w:rFonts w:ascii="Verdana" w:hAnsi="Verdana" w:cs="Arial"/>
          <w:sz w:val="24"/>
          <w:szCs w:val="24"/>
        </w:rPr>
      </w:pPr>
    </w:p>
    <w:p w:rsidRPr="00C66231" w:rsidR="005D4836" w:rsidP="006A0A13" w:rsidRDefault="00C66231" w14:paraId="0EEA1877" w14:textId="77777777">
      <w:pPr>
        <w:spacing w:after="0" w:line="360" w:lineRule="auto"/>
        <w:jc w:val="both"/>
        <w:rPr>
          <w:rFonts w:ascii="Verdana" w:hAnsi="Verdana" w:cs="Arial"/>
          <w:b/>
          <w:bCs/>
          <w:sz w:val="24"/>
          <w:szCs w:val="24"/>
        </w:rPr>
      </w:pPr>
      <w:r w:rsidRPr="00C66231">
        <w:rPr>
          <w:rFonts w:ascii="Verdana" w:hAnsi="Verdana" w:cs="Arial"/>
          <w:b/>
          <w:bCs/>
          <w:sz w:val="24"/>
          <w:szCs w:val="24"/>
        </w:rPr>
        <w:t>Línea Estratégica Ambiente</w:t>
      </w:r>
    </w:p>
    <w:p w:rsidR="00C66231" w:rsidP="006A0A13" w:rsidRDefault="00C66231" w14:paraId="45B933F8" w14:textId="77777777">
      <w:pPr>
        <w:spacing w:after="0" w:line="360" w:lineRule="auto"/>
        <w:jc w:val="both"/>
        <w:rPr>
          <w:rFonts w:ascii="Verdana" w:hAnsi="Verdana" w:cs="Arial"/>
          <w:sz w:val="24"/>
          <w:szCs w:val="24"/>
        </w:rPr>
      </w:pPr>
    </w:p>
    <w:p w:rsidRPr="00C66231" w:rsidR="005D4836" w:rsidP="006A0A13" w:rsidRDefault="08BE19F9" w14:paraId="6E56AA92" w14:textId="3320327A">
      <w:pPr>
        <w:spacing w:after="0" w:line="360" w:lineRule="auto"/>
        <w:jc w:val="both"/>
        <w:rPr>
          <w:rFonts w:ascii="Verdana" w:hAnsi="Verdana" w:cs="Arial"/>
          <w:sz w:val="24"/>
          <w:szCs w:val="24"/>
        </w:rPr>
      </w:pPr>
      <w:r w:rsidRPr="0FF05B1B">
        <w:rPr>
          <w:rFonts w:ascii="Verdana" w:hAnsi="Verdana" w:cs="Arial"/>
          <w:sz w:val="24"/>
          <w:szCs w:val="24"/>
        </w:rPr>
        <w:t>Hito 1. Licencias Ambientales</w:t>
      </w:r>
      <w:r w:rsidRPr="0FF05B1B" w:rsidR="30BFDCCA">
        <w:rPr>
          <w:rFonts w:ascii="Verdana" w:hAnsi="Verdana" w:cs="Arial"/>
          <w:sz w:val="24"/>
          <w:szCs w:val="24"/>
        </w:rPr>
        <w:t xml:space="preserve">: </w:t>
      </w:r>
      <w:r w:rsidRPr="0FF05B1B">
        <w:rPr>
          <w:rFonts w:ascii="Verdana" w:hAnsi="Verdana" w:cs="Arial"/>
          <w:sz w:val="24"/>
          <w:szCs w:val="24"/>
        </w:rPr>
        <w:t>Optimización de trámites y otorgamiento de 9 licencias ambientales para proyectos de energías renovables y líneas de transmisión.</w:t>
      </w:r>
    </w:p>
    <w:p w:rsidR="00C66231" w:rsidP="006A0A13" w:rsidRDefault="00C66231" w14:paraId="0DDAA4BE" w14:textId="77777777">
      <w:pPr>
        <w:spacing w:after="0" w:line="360" w:lineRule="auto"/>
        <w:jc w:val="both"/>
        <w:rPr>
          <w:rFonts w:ascii="Verdana" w:hAnsi="Verdana" w:cs="Arial"/>
          <w:sz w:val="24"/>
          <w:szCs w:val="24"/>
        </w:rPr>
      </w:pPr>
    </w:p>
    <w:p w:rsidRPr="00C66231" w:rsidR="005D4836" w:rsidP="006A0A13" w:rsidRDefault="08BE19F9" w14:paraId="3FC8A43D" w14:textId="017386D3">
      <w:pPr>
        <w:spacing w:after="0" w:line="360" w:lineRule="auto"/>
        <w:jc w:val="both"/>
        <w:rPr>
          <w:rFonts w:ascii="Verdana" w:hAnsi="Verdana" w:cs="Arial"/>
          <w:sz w:val="24"/>
          <w:szCs w:val="24"/>
        </w:rPr>
      </w:pPr>
      <w:r w:rsidRPr="0FF05B1B">
        <w:rPr>
          <w:rFonts w:ascii="Verdana" w:hAnsi="Verdana" w:cs="Arial"/>
          <w:sz w:val="24"/>
          <w:szCs w:val="24"/>
        </w:rPr>
        <w:t>Hito 2. Instrumentos Normativos</w:t>
      </w:r>
      <w:r w:rsidRPr="0FF05B1B" w:rsidR="667E1050">
        <w:rPr>
          <w:rFonts w:ascii="Verdana" w:hAnsi="Verdana" w:cs="Arial"/>
          <w:sz w:val="24"/>
          <w:szCs w:val="24"/>
        </w:rPr>
        <w:t xml:space="preserve">: </w:t>
      </w:r>
      <w:r w:rsidRPr="0FF05B1B">
        <w:rPr>
          <w:rFonts w:ascii="Verdana" w:hAnsi="Verdana" w:cs="Arial"/>
          <w:sz w:val="24"/>
          <w:szCs w:val="24"/>
        </w:rPr>
        <w:t>Adopción de instrumentos normativos estratégicos como LASolar, LAEólica y la actualización del Manual de Compensaciones Bióticas.</w:t>
      </w:r>
    </w:p>
    <w:p w:rsidRPr="00C66231" w:rsidR="005D4836" w:rsidP="006A0A13" w:rsidRDefault="005D4836" w14:paraId="0F5189C3" w14:textId="77777777">
      <w:pPr>
        <w:spacing w:after="0" w:line="360" w:lineRule="auto"/>
        <w:jc w:val="both"/>
        <w:rPr>
          <w:rFonts w:ascii="Verdana" w:hAnsi="Verdana" w:cs="Arial"/>
          <w:sz w:val="24"/>
          <w:szCs w:val="24"/>
        </w:rPr>
      </w:pPr>
    </w:p>
    <w:p w:rsidRPr="00C66231" w:rsidR="005D4836" w:rsidP="006A0A13" w:rsidRDefault="00C66231" w14:paraId="461EA9E6" w14:textId="77777777">
      <w:pPr>
        <w:spacing w:after="0" w:line="360" w:lineRule="auto"/>
        <w:jc w:val="both"/>
        <w:rPr>
          <w:rFonts w:ascii="Verdana" w:hAnsi="Verdana" w:cs="Arial"/>
          <w:sz w:val="24"/>
          <w:szCs w:val="24"/>
        </w:rPr>
      </w:pPr>
      <w:r w:rsidRPr="00C66231">
        <w:rPr>
          <w:rFonts w:ascii="Verdana" w:hAnsi="Verdana" w:cs="Arial"/>
          <w:sz w:val="24"/>
          <w:szCs w:val="24"/>
        </w:rPr>
        <w:t xml:space="preserve">Línea </w:t>
      </w:r>
      <w:r>
        <w:rPr>
          <w:rFonts w:ascii="Verdana" w:hAnsi="Verdana" w:cs="Arial"/>
          <w:sz w:val="24"/>
          <w:szCs w:val="24"/>
        </w:rPr>
        <w:t>d</w:t>
      </w:r>
      <w:r w:rsidRPr="00C66231">
        <w:rPr>
          <w:rFonts w:ascii="Verdana" w:hAnsi="Verdana" w:cs="Arial"/>
          <w:sz w:val="24"/>
          <w:szCs w:val="24"/>
        </w:rPr>
        <w:t>e Gobernanza Territorial</w:t>
      </w:r>
    </w:p>
    <w:p w:rsidR="00C66231" w:rsidP="006A0A13" w:rsidRDefault="00C66231" w14:paraId="2168AEE7" w14:textId="77777777">
      <w:pPr>
        <w:spacing w:after="0" w:line="360" w:lineRule="auto"/>
        <w:jc w:val="both"/>
        <w:rPr>
          <w:rFonts w:ascii="Verdana" w:hAnsi="Verdana" w:cs="Arial"/>
          <w:sz w:val="24"/>
          <w:szCs w:val="24"/>
        </w:rPr>
      </w:pPr>
    </w:p>
    <w:p w:rsidRPr="00C66231" w:rsidR="005D4836" w:rsidP="006A0A13" w:rsidRDefault="08BE19F9" w14:paraId="5A8DF61B" w14:textId="70288865">
      <w:pPr>
        <w:spacing w:after="0" w:line="360" w:lineRule="auto"/>
        <w:jc w:val="both"/>
        <w:rPr>
          <w:rFonts w:ascii="Verdana" w:hAnsi="Verdana" w:cs="Arial"/>
          <w:sz w:val="24"/>
          <w:szCs w:val="24"/>
        </w:rPr>
      </w:pPr>
      <w:r w:rsidRPr="0FF05B1B">
        <w:rPr>
          <w:rFonts w:ascii="Verdana" w:hAnsi="Verdana" w:cs="Arial"/>
          <w:sz w:val="24"/>
          <w:szCs w:val="24"/>
        </w:rPr>
        <w:t>Hito 1. Comité Tripartito</w:t>
      </w:r>
      <w:r w:rsidRPr="0FF05B1B" w:rsidR="7E936F2E">
        <w:rPr>
          <w:rFonts w:ascii="Verdana" w:hAnsi="Verdana" w:cs="Arial"/>
          <w:sz w:val="24"/>
          <w:szCs w:val="24"/>
        </w:rPr>
        <w:t xml:space="preserve">: </w:t>
      </w:r>
      <w:r w:rsidRPr="0FF05B1B">
        <w:rPr>
          <w:rFonts w:ascii="Verdana" w:hAnsi="Verdana" w:cs="Arial"/>
          <w:sz w:val="24"/>
          <w:szCs w:val="24"/>
        </w:rPr>
        <w:t>Consolidación del Comité Tripartito de Transición Energética Justa en La Guajira como principal instancia de articulación y seguimiento territorial del Pacto TEJ.</w:t>
      </w:r>
    </w:p>
    <w:p w:rsidR="00C66231" w:rsidP="006A0A13" w:rsidRDefault="00C66231" w14:paraId="13275F4D" w14:textId="77777777">
      <w:pPr>
        <w:spacing w:after="0" w:line="360" w:lineRule="auto"/>
        <w:jc w:val="both"/>
        <w:rPr>
          <w:rFonts w:ascii="Verdana" w:hAnsi="Verdana" w:cs="Arial"/>
          <w:sz w:val="24"/>
          <w:szCs w:val="24"/>
        </w:rPr>
      </w:pPr>
    </w:p>
    <w:p w:rsidR="005D4836" w:rsidP="006A0A13" w:rsidRDefault="08BE19F9" w14:paraId="06F2D9DE" w14:textId="63B31451">
      <w:pPr>
        <w:spacing w:after="0" w:line="360" w:lineRule="auto"/>
        <w:jc w:val="both"/>
        <w:rPr>
          <w:rFonts w:ascii="Verdana" w:hAnsi="Verdana" w:cs="Arial"/>
          <w:sz w:val="24"/>
          <w:szCs w:val="24"/>
        </w:rPr>
      </w:pPr>
      <w:r w:rsidRPr="0FF05B1B">
        <w:rPr>
          <w:rFonts w:ascii="Verdana" w:hAnsi="Verdana" w:cs="Arial"/>
          <w:sz w:val="24"/>
          <w:szCs w:val="24"/>
        </w:rPr>
        <w:t>Hito 2. TEJ</w:t>
      </w:r>
      <w:r w:rsidRPr="0FF05B1B" w:rsidR="0DE0B947">
        <w:rPr>
          <w:rFonts w:ascii="Verdana" w:hAnsi="Verdana" w:cs="Arial"/>
          <w:sz w:val="24"/>
          <w:szCs w:val="24"/>
        </w:rPr>
        <w:t xml:space="preserve">: </w:t>
      </w:r>
      <w:r w:rsidRPr="0FF05B1B">
        <w:rPr>
          <w:rFonts w:ascii="Verdana" w:hAnsi="Verdana" w:cs="Arial"/>
          <w:sz w:val="24"/>
          <w:szCs w:val="24"/>
        </w:rPr>
        <w:t>Alcance de un 78% de avance en los ejes estratégicos priorizados del Plan Operativo de la Transición Energética Justa.</w:t>
      </w:r>
    </w:p>
    <w:p w:rsidRPr="00C66231" w:rsidR="00C66231" w:rsidP="006A0A13" w:rsidRDefault="00C66231" w14:paraId="2D9CD8AA" w14:textId="77777777">
      <w:pPr>
        <w:spacing w:after="0" w:line="360" w:lineRule="auto"/>
        <w:jc w:val="both"/>
        <w:rPr>
          <w:rFonts w:ascii="Verdana" w:hAnsi="Verdana" w:cs="Arial"/>
          <w:sz w:val="24"/>
          <w:szCs w:val="24"/>
        </w:rPr>
      </w:pPr>
    </w:p>
    <w:p w:rsidRPr="00C66231" w:rsidR="005D4836" w:rsidP="006A0A13" w:rsidRDefault="00C66231" w14:paraId="7530C261" w14:textId="77777777">
      <w:pPr>
        <w:spacing w:after="0" w:line="360" w:lineRule="auto"/>
        <w:jc w:val="both"/>
        <w:rPr>
          <w:rFonts w:ascii="Verdana" w:hAnsi="Verdana" w:eastAsia="Verdana" w:cs="Arial"/>
          <w:b/>
          <w:bCs/>
          <w:sz w:val="24"/>
          <w:szCs w:val="24"/>
        </w:rPr>
      </w:pPr>
      <w:r w:rsidRPr="00C66231">
        <w:rPr>
          <w:rFonts w:ascii="Verdana" w:hAnsi="Verdana" w:eastAsia="Verdana" w:cs="Arial"/>
          <w:b/>
          <w:bCs/>
          <w:sz w:val="24"/>
          <w:szCs w:val="24"/>
        </w:rPr>
        <w:t xml:space="preserve">Comunidades Energéticas y Escuela </w:t>
      </w:r>
      <w:r w:rsidRPr="00C66231" w:rsidR="005D4836">
        <w:rPr>
          <w:rFonts w:ascii="Verdana" w:hAnsi="Verdana" w:eastAsia="Verdana" w:cs="Arial"/>
          <w:b/>
          <w:bCs/>
          <w:sz w:val="24"/>
          <w:szCs w:val="24"/>
        </w:rPr>
        <w:t>TEJ</w:t>
      </w:r>
    </w:p>
    <w:p w:rsidR="00C66231" w:rsidP="006A0A13" w:rsidRDefault="00C66231" w14:paraId="6A9DEE29" w14:textId="77777777">
      <w:pPr>
        <w:spacing w:after="0" w:line="360" w:lineRule="auto"/>
        <w:jc w:val="both"/>
        <w:rPr>
          <w:rFonts w:ascii="Verdana" w:hAnsi="Verdana" w:eastAsia="Verdana" w:cs="Arial"/>
          <w:color w:val="000000" w:themeColor="text1"/>
          <w:sz w:val="24"/>
          <w:szCs w:val="24"/>
        </w:rPr>
      </w:pPr>
    </w:p>
    <w:p w:rsidRPr="00C66231" w:rsidR="005D4836" w:rsidP="006A0A13" w:rsidRDefault="005D4836" w14:paraId="47C67C87" w14:textId="77777777">
      <w:pPr>
        <w:spacing w:after="0" w:line="360" w:lineRule="auto"/>
        <w:jc w:val="both"/>
        <w:rPr>
          <w:rFonts w:ascii="Verdana" w:hAnsi="Verdana" w:eastAsia="Verdana" w:cs="Arial"/>
          <w:color w:val="000000" w:themeColor="text1"/>
          <w:sz w:val="24"/>
          <w:szCs w:val="24"/>
        </w:rPr>
      </w:pPr>
      <w:r w:rsidRPr="00C66231">
        <w:rPr>
          <w:rFonts w:ascii="Verdana" w:hAnsi="Verdana" w:eastAsia="Verdana" w:cs="Arial"/>
          <w:color w:val="000000" w:themeColor="text1"/>
          <w:sz w:val="24"/>
          <w:szCs w:val="24"/>
        </w:rPr>
        <w:t>La estrategia de Comunidades Energéticas busca garantizar acceso democrático, sostenible y descentralizado a la energía, priorizando poblaciones vulnerables y territorios excluidos, mediante la generación y gestión comunitaria.</w:t>
      </w:r>
    </w:p>
    <w:p w:rsidR="00C66231" w:rsidP="006A0A13" w:rsidRDefault="00C66231" w14:paraId="24A41485" w14:textId="77777777">
      <w:pPr>
        <w:spacing w:after="0" w:line="360" w:lineRule="auto"/>
        <w:jc w:val="both"/>
        <w:rPr>
          <w:rFonts w:ascii="Verdana" w:hAnsi="Verdana" w:eastAsia="Verdana" w:cs="Arial"/>
          <w:color w:val="000000" w:themeColor="text1"/>
          <w:sz w:val="24"/>
          <w:szCs w:val="24"/>
        </w:rPr>
      </w:pPr>
    </w:p>
    <w:p w:rsidRPr="00C66231" w:rsidR="005D4836" w:rsidP="006A0A13" w:rsidRDefault="005D4836" w14:paraId="45B4051D" w14:textId="77777777">
      <w:pPr>
        <w:spacing w:after="0" w:line="360" w:lineRule="auto"/>
        <w:jc w:val="both"/>
        <w:rPr>
          <w:rFonts w:ascii="Verdana" w:hAnsi="Verdana" w:eastAsia="Verdana" w:cs="Arial"/>
          <w:color w:val="000000" w:themeColor="text1"/>
          <w:sz w:val="24"/>
          <w:szCs w:val="24"/>
        </w:rPr>
      </w:pPr>
      <w:r w:rsidRPr="00C66231">
        <w:rPr>
          <w:rFonts w:ascii="Verdana" w:hAnsi="Verdana" w:eastAsia="Verdana" w:cs="Arial"/>
          <w:color w:val="000000" w:themeColor="text1"/>
          <w:sz w:val="24"/>
          <w:szCs w:val="24"/>
        </w:rPr>
        <w:t xml:space="preserve">Su importancia radica en democratizar el sistema energético, fomentar la </w:t>
      </w:r>
      <w:r w:rsidRPr="00C66231" w:rsidR="00C66231">
        <w:rPr>
          <w:rFonts w:ascii="Verdana" w:hAnsi="Verdana" w:eastAsia="Verdana" w:cs="Arial"/>
          <w:color w:val="000000" w:themeColor="text1"/>
          <w:sz w:val="24"/>
          <w:szCs w:val="24"/>
        </w:rPr>
        <w:t>participación</w:t>
      </w:r>
      <w:r w:rsidRPr="00C66231">
        <w:rPr>
          <w:rFonts w:ascii="Verdana" w:hAnsi="Verdana" w:eastAsia="Verdana" w:cs="Arial"/>
          <w:color w:val="000000" w:themeColor="text1"/>
          <w:sz w:val="24"/>
          <w:szCs w:val="24"/>
        </w:rPr>
        <w:t xml:space="preserve"> de las comunidades, fortalecer economías locales, reducir emisiones y avanzar hacia una transición energética justa con enfoque territorial, ambiental y participativo.</w:t>
      </w:r>
    </w:p>
    <w:p w:rsidR="00C66231" w:rsidP="006A0A13" w:rsidRDefault="00C66231" w14:paraId="2634F85D" w14:textId="77777777">
      <w:pPr>
        <w:spacing w:after="0" w:line="360" w:lineRule="auto"/>
        <w:jc w:val="both"/>
        <w:rPr>
          <w:rFonts w:ascii="Verdana" w:hAnsi="Verdana" w:eastAsia="Verdana" w:cs="Arial"/>
          <w:sz w:val="24"/>
          <w:szCs w:val="24"/>
        </w:rPr>
      </w:pPr>
    </w:p>
    <w:p w:rsidRPr="00C66231" w:rsidR="005D4836" w:rsidP="006A0A13" w:rsidRDefault="08BE19F9" w14:paraId="0B234553" w14:textId="3633CBEB">
      <w:pPr>
        <w:spacing w:after="0" w:line="360" w:lineRule="auto"/>
        <w:jc w:val="both"/>
        <w:rPr>
          <w:rFonts w:ascii="Verdana" w:hAnsi="Verdana" w:eastAsia="Verdana" w:cs="Arial"/>
          <w:sz w:val="24"/>
          <w:szCs w:val="24"/>
        </w:rPr>
      </w:pPr>
      <w:r w:rsidRPr="0FF05B1B">
        <w:rPr>
          <w:rFonts w:ascii="Verdana" w:hAnsi="Verdana" w:eastAsia="Verdana" w:cs="Arial"/>
          <w:sz w:val="24"/>
          <w:szCs w:val="24"/>
        </w:rPr>
        <w:t>Hito 1. Cooperación Internacional</w:t>
      </w:r>
      <w:r w:rsidRPr="0FF05B1B" w:rsidR="374D40D8">
        <w:rPr>
          <w:rFonts w:ascii="Verdana" w:hAnsi="Verdana" w:eastAsia="Verdana" w:cs="Arial"/>
          <w:sz w:val="24"/>
          <w:szCs w:val="24"/>
        </w:rPr>
        <w:t xml:space="preserve">: </w:t>
      </w:r>
      <w:r w:rsidRPr="0FF05B1B">
        <w:rPr>
          <w:rFonts w:ascii="Verdana" w:hAnsi="Verdana" w:eastAsia="Verdana" w:cs="Arial"/>
          <w:sz w:val="24"/>
          <w:szCs w:val="24"/>
        </w:rPr>
        <w:t>Se acordaron lineamientos con la Agencia Francesa de Desarrollo para incorporar enfoques sociales en la transición energética.</w:t>
      </w:r>
    </w:p>
    <w:p w:rsidR="00C66231" w:rsidP="006A0A13" w:rsidRDefault="00C66231" w14:paraId="63273EAB" w14:textId="77777777">
      <w:pPr>
        <w:spacing w:after="0" w:line="360" w:lineRule="auto"/>
        <w:jc w:val="both"/>
        <w:rPr>
          <w:rFonts w:ascii="Verdana" w:hAnsi="Verdana" w:eastAsia="Verdana" w:cs="Arial"/>
          <w:sz w:val="24"/>
          <w:szCs w:val="24"/>
        </w:rPr>
      </w:pPr>
    </w:p>
    <w:p w:rsidRPr="00C66231" w:rsidR="005D4836" w:rsidP="006A0A13" w:rsidRDefault="08BE19F9" w14:paraId="437229A2" w14:textId="7B173D7D">
      <w:pPr>
        <w:spacing w:after="0" w:line="360" w:lineRule="auto"/>
        <w:jc w:val="both"/>
        <w:rPr>
          <w:rFonts w:ascii="Verdana" w:hAnsi="Verdana" w:eastAsia="Verdana" w:cs="Arial"/>
          <w:sz w:val="24"/>
          <w:szCs w:val="24"/>
        </w:rPr>
      </w:pPr>
      <w:r w:rsidRPr="0FF05B1B">
        <w:rPr>
          <w:rFonts w:ascii="Verdana" w:hAnsi="Verdana" w:eastAsia="Verdana" w:cs="Arial"/>
          <w:sz w:val="24"/>
          <w:szCs w:val="24"/>
        </w:rPr>
        <w:t>Hito 2. Enfoque Diferencial</w:t>
      </w:r>
      <w:r w:rsidRPr="0FF05B1B" w:rsidR="06D591D5">
        <w:rPr>
          <w:rFonts w:ascii="Verdana" w:hAnsi="Verdana" w:eastAsia="Verdana" w:cs="Arial"/>
          <w:sz w:val="24"/>
          <w:szCs w:val="24"/>
        </w:rPr>
        <w:t xml:space="preserve">: </w:t>
      </w:r>
      <w:r w:rsidRPr="0FF05B1B">
        <w:rPr>
          <w:rFonts w:ascii="Verdana" w:hAnsi="Verdana" w:eastAsia="Verdana" w:cs="Arial"/>
          <w:sz w:val="24"/>
          <w:szCs w:val="24"/>
        </w:rPr>
        <w:t>Se integraron criterios de género, etnicidad y participación comunitaria en el diseño de la política.</w:t>
      </w:r>
    </w:p>
    <w:p w:rsidR="00C66231" w:rsidP="006A0A13" w:rsidRDefault="00C66231" w14:paraId="0DB405FE" w14:textId="77777777">
      <w:pPr>
        <w:spacing w:after="0" w:line="360" w:lineRule="auto"/>
        <w:jc w:val="both"/>
        <w:rPr>
          <w:rFonts w:ascii="Verdana" w:hAnsi="Verdana" w:eastAsia="Verdana" w:cs="Arial"/>
          <w:sz w:val="24"/>
          <w:szCs w:val="24"/>
        </w:rPr>
      </w:pPr>
    </w:p>
    <w:p w:rsidRPr="00C66231" w:rsidR="005D4836" w:rsidP="006A0A13" w:rsidRDefault="08BE19F9" w14:paraId="6D895968" w14:textId="7BA34CAF">
      <w:pPr>
        <w:spacing w:after="0" w:line="360" w:lineRule="auto"/>
        <w:jc w:val="both"/>
        <w:rPr>
          <w:rFonts w:ascii="Verdana" w:hAnsi="Verdana" w:eastAsia="Verdana" w:cs="Arial"/>
          <w:color w:val="000000" w:themeColor="text1"/>
          <w:sz w:val="24"/>
          <w:szCs w:val="24"/>
        </w:rPr>
      </w:pPr>
      <w:r w:rsidRPr="0FF05B1B">
        <w:rPr>
          <w:rFonts w:ascii="Verdana" w:hAnsi="Verdana" w:eastAsia="Verdana" w:cs="Arial"/>
          <w:sz w:val="24"/>
          <w:szCs w:val="24"/>
        </w:rPr>
        <w:t>Hito 3. Escuela de Transición Energética Justa</w:t>
      </w:r>
      <w:r w:rsidRPr="0FF05B1B" w:rsidR="04E8FE6A">
        <w:rPr>
          <w:rFonts w:ascii="Verdana" w:hAnsi="Verdana" w:eastAsia="Verdana" w:cs="Arial"/>
          <w:sz w:val="24"/>
          <w:szCs w:val="24"/>
        </w:rPr>
        <w:t xml:space="preserve">: </w:t>
      </w:r>
      <w:r w:rsidRPr="0FF05B1B">
        <w:rPr>
          <w:rFonts w:ascii="Verdana" w:hAnsi="Verdana" w:eastAsia="Verdana" w:cs="Arial"/>
          <w:sz w:val="24"/>
          <w:szCs w:val="24"/>
        </w:rPr>
        <w:t xml:space="preserve">Se fortalecieron capacidades técnicas, organizativas y sociales de las comunidades, </w:t>
      </w:r>
      <w:r w:rsidRPr="0FF05B1B">
        <w:rPr>
          <w:rFonts w:ascii="Verdana" w:hAnsi="Verdana" w:eastAsia="Verdana" w:cs="Arial"/>
          <w:color w:val="000000" w:themeColor="text1"/>
          <w:sz w:val="24"/>
          <w:szCs w:val="24"/>
        </w:rPr>
        <w:t>promoviendo su participación informada en el diseño e implementación de Comunidades Energéticas.</w:t>
      </w:r>
    </w:p>
    <w:p w:rsidR="00C66231" w:rsidP="006A0A13" w:rsidRDefault="00C66231" w14:paraId="4937E0DE" w14:textId="77777777">
      <w:pPr>
        <w:spacing w:after="0" w:line="360" w:lineRule="auto"/>
        <w:jc w:val="both"/>
        <w:rPr>
          <w:rFonts w:ascii="Verdana" w:hAnsi="Verdana" w:eastAsia="Verdana" w:cs="Arial"/>
          <w:sz w:val="24"/>
          <w:szCs w:val="24"/>
        </w:rPr>
      </w:pPr>
    </w:p>
    <w:p w:rsidRPr="00C66231" w:rsidR="005D4836" w:rsidP="006A0A13" w:rsidRDefault="08BE19F9" w14:paraId="321A417F" w14:textId="0D97E9E7">
      <w:pPr>
        <w:spacing w:after="0" w:line="360" w:lineRule="auto"/>
        <w:jc w:val="both"/>
        <w:rPr>
          <w:rFonts w:ascii="Verdana" w:hAnsi="Verdana" w:eastAsia="Verdana" w:cs="Arial"/>
          <w:sz w:val="24"/>
          <w:szCs w:val="24"/>
        </w:rPr>
      </w:pPr>
      <w:r w:rsidRPr="0FF05B1B">
        <w:rPr>
          <w:rFonts w:ascii="Verdana" w:hAnsi="Verdana" w:eastAsia="Verdana" w:cs="Arial"/>
          <w:sz w:val="24"/>
          <w:szCs w:val="24"/>
        </w:rPr>
        <w:t>Hito 4. Gestión Territorial</w:t>
      </w:r>
      <w:r w:rsidRPr="0FF05B1B" w:rsidR="3DC6C421">
        <w:rPr>
          <w:rFonts w:ascii="Verdana" w:hAnsi="Verdana" w:eastAsia="Verdana" w:cs="Arial"/>
          <w:sz w:val="24"/>
          <w:szCs w:val="24"/>
        </w:rPr>
        <w:t xml:space="preserve">: </w:t>
      </w:r>
      <w:r w:rsidRPr="0FF05B1B">
        <w:rPr>
          <w:rFonts w:ascii="Verdana" w:hAnsi="Verdana" w:eastAsia="Verdana" w:cs="Arial"/>
          <w:sz w:val="24"/>
          <w:szCs w:val="24"/>
        </w:rPr>
        <w:t>Se realizaron 622 visitas en 596 comunidades en 2024, fortaleciendo procesos de apropiación y participación.</w:t>
      </w:r>
    </w:p>
    <w:p w:rsidR="180099B3" w:rsidP="006A0A13" w:rsidRDefault="180099B3" w14:paraId="18991BB7" w14:textId="77777777">
      <w:pPr>
        <w:spacing w:after="0" w:line="360" w:lineRule="auto"/>
        <w:jc w:val="both"/>
        <w:rPr>
          <w:rFonts w:ascii="Verdana" w:hAnsi="Verdana" w:eastAsia="Verdana" w:cs="Arial"/>
          <w:sz w:val="24"/>
          <w:szCs w:val="24"/>
        </w:rPr>
      </w:pPr>
    </w:p>
    <w:p w:rsidRPr="00C66231" w:rsidR="005D4836" w:rsidP="006A0A13" w:rsidRDefault="124630B3" w14:paraId="44C90669" w14:textId="33FF7779">
      <w:pPr>
        <w:spacing w:after="0" w:line="360" w:lineRule="auto"/>
        <w:jc w:val="both"/>
        <w:rPr>
          <w:rFonts w:ascii="Verdana" w:hAnsi="Verdana" w:eastAsia="Verdana" w:cs="Arial"/>
          <w:b/>
          <w:bCs/>
          <w:sz w:val="24"/>
          <w:szCs w:val="24"/>
        </w:rPr>
      </w:pPr>
      <w:r w:rsidRPr="0FF05B1B">
        <w:rPr>
          <w:rFonts w:ascii="Verdana" w:hAnsi="Verdana" w:eastAsia="Verdana" w:cs="Arial"/>
          <w:b/>
          <w:bCs/>
          <w:sz w:val="24"/>
          <w:szCs w:val="24"/>
        </w:rPr>
        <w:t>Cambio Climático</w:t>
      </w:r>
    </w:p>
    <w:p w:rsidR="0FF05B1B" w:rsidP="006A0A13" w:rsidRDefault="0FF05B1B" w14:paraId="74EAE328" w14:textId="73B148DF">
      <w:pPr>
        <w:spacing w:after="0" w:line="360" w:lineRule="auto"/>
        <w:jc w:val="both"/>
        <w:rPr>
          <w:rFonts w:ascii="Verdana" w:hAnsi="Verdana" w:eastAsia="Verdana" w:cs="Arial"/>
          <w:sz w:val="24"/>
          <w:szCs w:val="24"/>
        </w:rPr>
      </w:pPr>
    </w:p>
    <w:p w:rsidRPr="00C66231" w:rsidR="005D4836" w:rsidP="006A0A13" w:rsidRDefault="005D4836" w14:paraId="6F07B632" w14:textId="77777777">
      <w:pPr>
        <w:spacing w:after="0" w:line="360" w:lineRule="auto"/>
        <w:jc w:val="both"/>
        <w:rPr>
          <w:rFonts w:ascii="Verdana" w:hAnsi="Verdana" w:eastAsia="Verdana" w:cs="Arial"/>
          <w:sz w:val="24"/>
          <w:szCs w:val="24"/>
        </w:rPr>
      </w:pPr>
      <w:r w:rsidRPr="00C66231">
        <w:rPr>
          <w:rFonts w:ascii="Verdana" w:hAnsi="Verdana" w:eastAsia="Verdana" w:cs="Arial"/>
          <w:sz w:val="24"/>
          <w:szCs w:val="24"/>
        </w:rPr>
        <w:t>Se avanzó en la consolidación de la acción climática del sector minero-energético mediante la actualización de la NDC 2.0 y el PIGCCme 2050.</w:t>
      </w:r>
    </w:p>
    <w:p w:rsidR="00C66231" w:rsidP="006A0A13" w:rsidRDefault="00C66231" w14:paraId="15E58405" w14:textId="77777777">
      <w:pPr>
        <w:spacing w:after="0" w:line="360" w:lineRule="auto"/>
        <w:jc w:val="both"/>
        <w:rPr>
          <w:rFonts w:ascii="Verdana" w:hAnsi="Verdana" w:eastAsia="Verdana" w:cs="Arial"/>
          <w:sz w:val="24"/>
          <w:szCs w:val="24"/>
        </w:rPr>
      </w:pPr>
    </w:p>
    <w:p w:rsidRPr="00C66231" w:rsidR="005D4836" w:rsidP="006A0A13" w:rsidRDefault="08BE19F9" w14:paraId="0C5109F5" w14:textId="024F8096">
      <w:pPr>
        <w:spacing w:after="0" w:line="360" w:lineRule="auto"/>
        <w:jc w:val="both"/>
        <w:rPr>
          <w:rFonts w:ascii="Verdana" w:hAnsi="Verdana" w:eastAsia="Verdana" w:cs="Arial"/>
          <w:sz w:val="24"/>
          <w:szCs w:val="24"/>
        </w:rPr>
      </w:pPr>
      <w:r w:rsidRPr="0FF05B1B">
        <w:rPr>
          <w:rFonts w:ascii="Verdana" w:hAnsi="Verdana" w:eastAsia="Verdana" w:cs="Arial"/>
          <w:sz w:val="24"/>
          <w:szCs w:val="24"/>
        </w:rPr>
        <w:t>Hito 1. Aumento de Ambición Climática</w:t>
      </w:r>
      <w:r w:rsidRPr="0FF05B1B" w:rsidR="0F7D90FB">
        <w:rPr>
          <w:rFonts w:ascii="Verdana" w:hAnsi="Verdana" w:eastAsia="Verdana" w:cs="Arial"/>
          <w:sz w:val="24"/>
          <w:szCs w:val="24"/>
        </w:rPr>
        <w:t xml:space="preserve">: </w:t>
      </w:r>
      <w:r w:rsidRPr="0FF05B1B">
        <w:rPr>
          <w:rFonts w:ascii="Verdana" w:hAnsi="Verdana" w:eastAsia="Verdana" w:cs="Arial"/>
          <w:sz w:val="24"/>
          <w:szCs w:val="24"/>
        </w:rPr>
        <w:t>Se definieron metas más exigentes de reducción de emisiones y adaptación.</w:t>
      </w:r>
    </w:p>
    <w:p w:rsidR="00C66231" w:rsidP="006A0A13" w:rsidRDefault="00C66231" w14:paraId="1BF7BB52" w14:textId="77777777">
      <w:pPr>
        <w:spacing w:after="0" w:line="360" w:lineRule="auto"/>
        <w:jc w:val="both"/>
        <w:rPr>
          <w:rFonts w:ascii="Verdana" w:hAnsi="Verdana" w:eastAsia="Verdana" w:cs="Arial"/>
          <w:sz w:val="24"/>
          <w:szCs w:val="24"/>
        </w:rPr>
      </w:pPr>
    </w:p>
    <w:p w:rsidRPr="00C66231" w:rsidR="005D4836" w:rsidP="006A0A13" w:rsidRDefault="08BE19F9" w14:paraId="0B157E2D" w14:textId="30086F2C">
      <w:pPr>
        <w:spacing w:after="0" w:line="360" w:lineRule="auto"/>
        <w:jc w:val="both"/>
        <w:rPr>
          <w:rFonts w:ascii="Verdana" w:hAnsi="Verdana" w:eastAsia="Verdana" w:cs="Arial"/>
          <w:sz w:val="24"/>
          <w:szCs w:val="24"/>
        </w:rPr>
      </w:pPr>
      <w:r w:rsidRPr="0FF05B1B">
        <w:rPr>
          <w:rFonts w:ascii="Verdana" w:hAnsi="Verdana" w:eastAsia="Verdana" w:cs="Arial"/>
          <w:sz w:val="24"/>
          <w:szCs w:val="24"/>
        </w:rPr>
        <w:t>Hito 2. Desarrollo Técnico del PIGCCme</w:t>
      </w:r>
      <w:r w:rsidRPr="0FF05B1B" w:rsidR="3EB8601D">
        <w:rPr>
          <w:rFonts w:ascii="Verdana" w:hAnsi="Verdana" w:eastAsia="Verdana" w:cs="Arial"/>
          <w:sz w:val="24"/>
          <w:szCs w:val="24"/>
        </w:rPr>
        <w:t xml:space="preserve">: </w:t>
      </w:r>
      <w:r w:rsidRPr="0FF05B1B">
        <w:rPr>
          <w:rFonts w:ascii="Verdana" w:hAnsi="Verdana" w:eastAsia="Verdana" w:cs="Arial"/>
          <w:sz w:val="24"/>
          <w:szCs w:val="24"/>
        </w:rPr>
        <w:t>Se ejecutaron 18 productos técnicos con la Universidad Nacional para fortalecer la gestión climática sectorial.</w:t>
      </w:r>
    </w:p>
    <w:p w:rsidR="00C66231" w:rsidP="006A0A13" w:rsidRDefault="00C66231" w14:paraId="5296410A" w14:textId="77777777">
      <w:pPr>
        <w:spacing w:after="0" w:line="360" w:lineRule="auto"/>
        <w:jc w:val="both"/>
        <w:rPr>
          <w:rFonts w:ascii="Verdana" w:hAnsi="Verdana" w:eastAsia="Verdana" w:cs="Arial"/>
          <w:sz w:val="24"/>
          <w:szCs w:val="24"/>
        </w:rPr>
      </w:pPr>
    </w:p>
    <w:p w:rsidRPr="00C66231" w:rsidR="005D4836" w:rsidP="006A0A13" w:rsidRDefault="08BE19F9" w14:paraId="563F0918" w14:textId="0EDCB990">
      <w:pPr>
        <w:spacing w:after="0" w:line="360" w:lineRule="auto"/>
        <w:jc w:val="both"/>
        <w:rPr>
          <w:rFonts w:ascii="Verdana" w:hAnsi="Verdana" w:eastAsia="Verdana" w:cs="Arial"/>
          <w:sz w:val="24"/>
          <w:szCs w:val="24"/>
        </w:rPr>
      </w:pPr>
      <w:r w:rsidRPr="0FF05B1B">
        <w:rPr>
          <w:rFonts w:ascii="Verdana" w:hAnsi="Verdana" w:eastAsia="Verdana" w:cs="Arial"/>
          <w:sz w:val="24"/>
          <w:szCs w:val="24"/>
        </w:rPr>
        <w:t>Hito 3. Gestión del Riesgo Climático</w:t>
      </w:r>
      <w:r w:rsidRPr="0FF05B1B" w:rsidR="4E827C12">
        <w:rPr>
          <w:rFonts w:ascii="Verdana" w:hAnsi="Verdana" w:eastAsia="Verdana" w:cs="Arial"/>
          <w:sz w:val="24"/>
          <w:szCs w:val="24"/>
        </w:rPr>
        <w:t xml:space="preserve">: </w:t>
      </w:r>
      <w:r w:rsidRPr="0FF05B1B">
        <w:rPr>
          <w:rFonts w:ascii="Verdana" w:hAnsi="Verdana" w:eastAsia="Verdana" w:cs="Arial"/>
          <w:sz w:val="24"/>
          <w:szCs w:val="24"/>
        </w:rPr>
        <w:t>Se elaboraron escenarios de vulnerabilidad frente a fenómenos climáticos como El Niño y La Niña.</w:t>
      </w:r>
    </w:p>
    <w:p w:rsidR="00C66231" w:rsidP="006A0A13" w:rsidRDefault="00C66231" w14:paraId="4B4CB3A9" w14:textId="77777777">
      <w:pPr>
        <w:spacing w:after="0" w:line="360" w:lineRule="auto"/>
        <w:jc w:val="both"/>
        <w:rPr>
          <w:rFonts w:ascii="Verdana" w:hAnsi="Verdana" w:eastAsia="Verdana" w:cs="Arial"/>
          <w:sz w:val="24"/>
          <w:szCs w:val="24"/>
        </w:rPr>
      </w:pPr>
    </w:p>
    <w:p w:rsidRPr="00C66231" w:rsidR="005D4836" w:rsidP="006A0A13" w:rsidRDefault="08BE19F9" w14:paraId="70F8BCD6" w14:textId="5511A84F">
      <w:pPr>
        <w:spacing w:after="0" w:line="360" w:lineRule="auto"/>
        <w:jc w:val="both"/>
        <w:rPr>
          <w:rFonts w:ascii="Verdana" w:hAnsi="Verdana" w:eastAsia="Verdana" w:cs="Arial"/>
          <w:sz w:val="24"/>
          <w:szCs w:val="24"/>
        </w:rPr>
      </w:pPr>
      <w:r w:rsidRPr="0FF05B1B">
        <w:rPr>
          <w:rFonts w:ascii="Verdana" w:hAnsi="Verdana" w:eastAsia="Verdana" w:cs="Arial"/>
          <w:sz w:val="24"/>
          <w:szCs w:val="24"/>
        </w:rPr>
        <w:t>Hito 4. Sistema de Información Climática</w:t>
      </w:r>
      <w:r w:rsidRPr="0FF05B1B" w:rsidR="46BBDFE8">
        <w:rPr>
          <w:rFonts w:ascii="Verdana" w:hAnsi="Verdana" w:eastAsia="Verdana" w:cs="Arial"/>
          <w:sz w:val="24"/>
          <w:szCs w:val="24"/>
        </w:rPr>
        <w:t xml:space="preserve">: </w:t>
      </w:r>
      <w:r w:rsidRPr="0FF05B1B">
        <w:rPr>
          <w:rFonts w:ascii="Verdana" w:hAnsi="Verdana" w:eastAsia="Verdana" w:cs="Arial"/>
          <w:sz w:val="24"/>
          <w:szCs w:val="24"/>
        </w:rPr>
        <w:t>Se consolidó una plataforma sectorial para monitoreo y toma de decisiones climáticas.</w:t>
      </w:r>
    </w:p>
    <w:p w:rsidR="00C66231" w:rsidP="006A0A13" w:rsidRDefault="00C66231" w14:paraId="11713EDA" w14:textId="77777777">
      <w:pPr>
        <w:spacing w:after="0" w:line="360" w:lineRule="auto"/>
        <w:jc w:val="both"/>
        <w:rPr>
          <w:rFonts w:ascii="Verdana" w:hAnsi="Verdana" w:eastAsia="Verdana" w:cs="Arial"/>
          <w:sz w:val="24"/>
          <w:szCs w:val="24"/>
        </w:rPr>
      </w:pPr>
    </w:p>
    <w:p w:rsidRPr="00C66231" w:rsidR="005D4836" w:rsidP="006A0A13" w:rsidRDefault="08BE19F9" w14:paraId="479B5142" w14:textId="7958C1E6">
      <w:pPr>
        <w:spacing w:after="0" w:line="360" w:lineRule="auto"/>
        <w:jc w:val="both"/>
        <w:rPr>
          <w:rFonts w:ascii="Verdana" w:hAnsi="Verdana" w:eastAsia="Verdana" w:cs="Arial"/>
          <w:sz w:val="24"/>
          <w:szCs w:val="24"/>
        </w:rPr>
      </w:pPr>
      <w:r w:rsidRPr="0FF05B1B">
        <w:rPr>
          <w:rFonts w:ascii="Verdana" w:hAnsi="Verdana" w:eastAsia="Verdana" w:cs="Arial"/>
          <w:sz w:val="24"/>
          <w:szCs w:val="24"/>
        </w:rPr>
        <w:t>Hito 5. Gobernanza Climática Empresarial</w:t>
      </w:r>
      <w:r w:rsidRPr="0FF05B1B" w:rsidR="65061814">
        <w:rPr>
          <w:rFonts w:ascii="Verdana" w:hAnsi="Verdana" w:eastAsia="Verdana" w:cs="Arial"/>
          <w:sz w:val="24"/>
          <w:szCs w:val="24"/>
        </w:rPr>
        <w:t xml:space="preserve">: </w:t>
      </w:r>
      <w:r w:rsidRPr="0FF05B1B">
        <w:rPr>
          <w:rFonts w:ascii="Verdana" w:hAnsi="Verdana" w:eastAsia="Verdana" w:cs="Arial"/>
          <w:sz w:val="24"/>
          <w:szCs w:val="24"/>
        </w:rPr>
        <w:t>Se fortalecieron capacidades del sector eléctrico con integración de biodiversidad y enfoque de género.</w:t>
      </w:r>
    </w:p>
    <w:p w:rsidR="00C66231" w:rsidP="006A0A13" w:rsidRDefault="00C66231" w14:paraId="2C891D2E" w14:textId="77777777">
      <w:pPr>
        <w:spacing w:after="0" w:line="360" w:lineRule="auto"/>
        <w:jc w:val="both"/>
        <w:rPr>
          <w:rFonts w:ascii="Verdana" w:hAnsi="Verdana" w:eastAsia="Verdana" w:cs="Arial"/>
          <w:color w:val="000000" w:themeColor="text1"/>
          <w:sz w:val="24"/>
          <w:szCs w:val="24"/>
        </w:rPr>
      </w:pPr>
    </w:p>
    <w:p w:rsidRPr="00C66231" w:rsidR="005D4836" w:rsidP="006A0A13" w:rsidRDefault="005D4836" w14:paraId="23313D23" w14:textId="77777777">
      <w:pPr>
        <w:spacing w:after="0" w:line="360" w:lineRule="auto"/>
        <w:jc w:val="both"/>
        <w:rPr>
          <w:rFonts w:ascii="Verdana" w:hAnsi="Verdana" w:eastAsia="Verdana" w:cs="Arial"/>
          <w:color w:val="000000" w:themeColor="text1"/>
          <w:sz w:val="24"/>
          <w:szCs w:val="24"/>
        </w:rPr>
      </w:pPr>
      <w:r w:rsidRPr="00C66231">
        <w:rPr>
          <w:rFonts w:ascii="Verdana" w:hAnsi="Verdana" w:eastAsia="Verdana" w:cs="Arial"/>
          <w:color w:val="000000" w:themeColor="text1"/>
          <w:sz w:val="24"/>
          <w:szCs w:val="24"/>
        </w:rPr>
        <w:t>Como resultado, se consolidaron capacidades empresariales en mitigación, adaptación y gobernanza climática, junto con metodologías de seguimiento alineadas con los sistemas MRV (Monitoreo, Reporte y Verificación) del Ministerio, contribuyendo a una transición energética resiliente y baja en carbono en el sector eléctrico colombiano.</w:t>
      </w:r>
    </w:p>
    <w:p w:rsidR="00C66231" w:rsidP="006A0A13" w:rsidRDefault="00C66231" w14:paraId="1C5054C8" w14:textId="367203D6">
      <w:pPr>
        <w:spacing w:after="0" w:line="360" w:lineRule="auto"/>
        <w:jc w:val="both"/>
        <w:rPr>
          <w:rFonts w:ascii="Verdana" w:hAnsi="Verdana"/>
          <w:b/>
          <w:bCs/>
          <w:sz w:val="24"/>
          <w:szCs w:val="24"/>
        </w:rPr>
      </w:pPr>
    </w:p>
    <w:p w:rsidR="00C66231" w:rsidP="006A0A13" w:rsidRDefault="00C66231" w14:paraId="50D13D2B" w14:textId="77777777">
      <w:pPr>
        <w:spacing w:after="0" w:line="360" w:lineRule="auto"/>
        <w:jc w:val="center"/>
        <w:rPr>
          <w:rFonts w:ascii="Verdana" w:hAnsi="Verdana" w:cs="Arial"/>
          <w:sz w:val="18"/>
          <w:szCs w:val="18"/>
        </w:rPr>
      </w:pPr>
    </w:p>
    <w:p w:rsidR="00C66231" w:rsidP="180099B3" w:rsidRDefault="60488BB4" w14:paraId="06248386" w14:textId="77777777">
      <w:pPr>
        <w:spacing w:after="0" w:line="240" w:lineRule="auto"/>
        <w:jc w:val="center"/>
        <w:rPr>
          <w:rFonts w:ascii="Verdana" w:hAnsi="Verdana" w:cs="Arial"/>
          <w:sz w:val="18"/>
          <w:szCs w:val="18"/>
        </w:rPr>
      </w:pPr>
      <w:r w:rsidRPr="180099B3">
        <w:rPr>
          <w:rFonts w:ascii="Verdana" w:hAnsi="Verdana" w:cs="Arial"/>
          <w:sz w:val="18"/>
          <w:szCs w:val="18"/>
        </w:rPr>
        <w:t>Tabla No.</w:t>
      </w:r>
      <w:r w:rsidRPr="180099B3" w:rsidR="7A17331E">
        <w:rPr>
          <w:rFonts w:ascii="Verdana" w:hAnsi="Verdana" w:cs="Arial"/>
          <w:sz w:val="18"/>
          <w:szCs w:val="18"/>
        </w:rPr>
        <w:t xml:space="preserve"> 68</w:t>
      </w:r>
      <w:r w:rsidRPr="180099B3">
        <w:rPr>
          <w:rFonts w:ascii="Verdana" w:hAnsi="Verdana" w:cs="Arial"/>
          <w:sz w:val="18"/>
          <w:szCs w:val="18"/>
        </w:rPr>
        <w:t>. Gestiones en Cambio Climático</w:t>
      </w:r>
    </w:p>
    <w:p w:rsidRPr="00C66231" w:rsidR="00C66231" w:rsidP="00C66231" w:rsidRDefault="00C66231" w14:paraId="41D66A8B" w14:textId="77777777">
      <w:pPr>
        <w:spacing w:after="0" w:line="240" w:lineRule="auto"/>
        <w:jc w:val="both"/>
        <w:rPr>
          <w:rFonts w:ascii="Verdana" w:hAnsi="Verdana" w:eastAsia="Verdana" w:cs="Arial"/>
          <w:color w:val="000000" w:themeColor="text1"/>
          <w:sz w:val="18"/>
          <w:szCs w:val="18"/>
        </w:rPr>
      </w:pPr>
    </w:p>
    <w:tbl>
      <w:tblPr>
        <w:tblStyle w:val="Tablaconcuadrcula4-nfasis6"/>
        <w:tblW w:w="5000" w:type="pct"/>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Look w:val="04A0" w:firstRow="1" w:lastRow="0" w:firstColumn="1" w:lastColumn="0" w:noHBand="0" w:noVBand="1"/>
      </w:tblPr>
      <w:tblGrid>
        <w:gridCol w:w="1280"/>
        <w:gridCol w:w="1268"/>
        <w:gridCol w:w="1649"/>
        <w:gridCol w:w="4631"/>
      </w:tblGrid>
      <w:tr w:rsidRPr="00C66231" w:rsidR="00C66231" w:rsidTr="180099B3" w14:paraId="109B26D1"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5" w:type="pct"/>
            <w:tcBorders>
              <w:top w:val="none" w:color="auto" w:sz="0" w:space="0"/>
              <w:left w:val="none" w:color="auto" w:sz="0" w:space="0"/>
              <w:bottom w:val="none" w:color="auto" w:sz="0" w:space="0"/>
              <w:right w:val="none" w:color="auto" w:sz="0" w:space="0"/>
            </w:tcBorders>
            <w:shd w:val="clear" w:color="auto" w:fill="A6A6A6" w:themeFill="background1" w:themeFillShade="A6"/>
            <w:vAlign w:val="center"/>
            <w:hideMark/>
          </w:tcPr>
          <w:p w:rsidRPr="00C66231" w:rsidR="00C66231" w:rsidP="00C66231" w:rsidRDefault="00C66231" w14:paraId="59C23F8B" w14:textId="77777777">
            <w:pPr>
              <w:jc w:val="center"/>
              <w:rPr>
                <w:rFonts w:ascii="Verdana" w:hAnsi="Verdana" w:eastAsia="Times New Roman" w:cs="Arial"/>
                <w:b w:val="0"/>
                <w:bCs w:val="0"/>
                <w:color w:val="auto"/>
                <w:sz w:val="18"/>
                <w:szCs w:val="18"/>
                <w:lang w:val="es-CO"/>
              </w:rPr>
            </w:pPr>
            <w:r w:rsidRPr="00C66231">
              <w:rPr>
                <w:rFonts w:ascii="Verdana" w:hAnsi="Verdana" w:eastAsia="Times New Roman" w:cs="Arial"/>
                <w:color w:val="auto"/>
                <w:sz w:val="18"/>
                <w:szCs w:val="18"/>
                <w:lang w:val="es-CO"/>
              </w:rPr>
              <w:t>Frente / subsector</w:t>
            </w:r>
          </w:p>
        </w:tc>
        <w:tc>
          <w:tcPr>
            <w:tcW w:w="718" w:type="pct"/>
            <w:tcBorders>
              <w:top w:val="none" w:color="auto" w:sz="0" w:space="0"/>
              <w:left w:val="none" w:color="auto" w:sz="0" w:space="0"/>
              <w:bottom w:val="none" w:color="auto" w:sz="0" w:space="0"/>
              <w:right w:val="none" w:color="auto" w:sz="0" w:space="0"/>
            </w:tcBorders>
            <w:shd w:val="clear" w:color="auto" w:fill="A6A6A6" w:themeFill="background1" w:themeFillShade="A6"/>
            <w:vAlign w:val="center"/>
            <w:hideMark/>
          </w:tcPr>
          <w:p w:rsidRPr="00C66231" w:rsidR="00C66231" w:rsidP="00C66231" w:rsidRDefault="00C66231" w14:paraId="0C0CAAAA" w14:textId="77777777">
            <w:pPr>
              <w:jc w:val="center"/>
              <w:cnfStyle w:val="100000000000" w:firstRow="1" w:lastRow="0" w:firstColumn="0" w:lastColumn="0" w:oddVBand="0" w:evenVBand="0" w:oddHBand="0" w:evenHBand="0" w:firstRowFirstColumn="0" w:firstRowLastColumn="0" w:lastRowFirstColumn="0" w:lastRowLastColumn="0"/>
              <w:rPr>
                <w:rFonts w:ascii="Verdana" w:hAnsi="Verdana" w:eastAsia="Times New Roman" w:cs="Arial"/>
                <w:b w:val="0"/>
                <w:bCs w:val="0"/>
                <w:color w:val="auto"/>
                <w:sz w:val="18"/>
                <w:szCs w:val="18"/>
                <w:lang w:val="es-CO"/>
              </w:rPr>
            </w:pPr>
            <w:r w:rsidRPr="00C66231">
              <w:rPr>
                <w:rFonts w:ascii="Verdana" w:hAnsi="Verdana" w:eastAsia="Times New Roman" w:cs="Arial"/>
                <w:color w:val="auto"/>
                <w:sz w:val="18"/>
                <w:szCs w:val="18"/>
                <w:lang w:val="es-CO"/>
              </w:rPr>
              <w:t>Cantidad de espacios</w:t>
            </w:r>
          </w:p>
        </w:tc>
        <w:tc>
          <w:tcPr>
            <w:tcW w:w="934" w:type="pct"/>
            <w:tcBorders>
              <w:top w:val="none" w:color="auto" w:sz="0" w:space="0"/>
              <w:left w:val="none" w:color="auto" w:sz="0" w:space="0"/>
              <w:bottom w:val="none" w:color="auto" w:sz="0" w:space="0"/>
              <w:right w:val="none" w:color="auto" w:sz="0" w:space="0"/>
            </w:tcBorders>
            <w:shd w:val="clear" w:color="auto" w:fill="A6A6A6" w:themeFill="background1" w:themeFillShade="A6"/>
            <w:vAlign w:val="center"/>
            <w:hideMark/>
          </w:tcPr>
          <w:p w:rsidRPr="00C66231" w:rsidR="00C66231" w:rsidP="00C66231" w:rsidRDefault="00C66231" w14:paraId="5CFBF633" w14:textId="77777777">
            <w:pPr>
              <w:jc w:val="center"/>
              <w:cnfStyle w:val="100000000000" w:firstRow="1" w:lastRow="0" w:firstColumn="0" w:lastColumn="0" w:oddVBand="0" w:evenVBand="0" w:oddHBand="0" w:evenHBand="0" w:firstRowFirstColumn="0" w:firstRowLastColumn="0" w:lastRowFirstColumn="0" w:lastRowLastColumn="0"/>
              <w:rPr>
                <w:rFonts w:ascii="Verdana" w:hAnsi="Verdana" w:eastAsia="Times New Roman" w:cs="Arial"/>
                <w:b w:val="0"/>
                <w:bCs w:val="0"/>
                <w:color w:val="auto"/>
                <w:sz w:val="18"/>
                <w:szCs w:val="18"/>
                <w:lang w:val="es-CO"/>
              </w:rPr>
            </w:pPr>
            <w:r w:rsidRPr="00C66231">
              <w:rPr>
                <w:rFonts w:ascii="Verdana" w:hAnsi="Verdana" w:eastAsia="Times New Roman" w:cs="Arial"/>
                <w:color w:val="auto"/>
                <w:sz w:val="18"/>
                <w:szCs w:val="18"/>
                <w:lang w:val="es-CO"/>
              </w:rPr>
              <w:t>Participantes reportados</w:t>
            </w:r>
          </w:p>
        </w:tc>
        <w:tc>
          <w:tcPr>
            <w:tcW w:w="2623" w:type="pct"/>
            <w:tcBorders>
              <w:top w:val="none" w:color="auto" w:sz="0" w:space="0"/>
              <w:left w:val="none" w:color="auto" w:sz="0" w:space="0"/>
              <w:bottom w:val="none" w:color="auto" w:sz="0" w:space="0"/>
              <w:right w:val="none" w:color="auto" w:sz="0" w:space="0"/>
            </w:tcBorders>
            <w:shd w:val="clear" w:color="auto" w:fill="A6A6A6" w:themeFill="background1" w:themeFillShade="A6"/>
            <w:vAlign w:val="center"/>
            <w:hideMark/>
          </w:tcPr>
          <w:p w:rsidRPr="00C66231" w:rsidR="00C66231" w:rsidP="00C66231" w:rsidRDefault="00C66231" w14:paraId="4920F671" w14:textId="77777777">
            <w:pPr>
              <w:jc w:val="center"/>
              <w:cnfStyle w:val="100000000000" w:firstRow="1" w:lastRow="0" w:firstColumn="0" w:lastColumn="0" w:oddVBand="0" w:evenVBand="0" w:oddHBand="0" w:evenHBand="0" w:firstRowFirstColumn="0" w:firstRowLastColumn="0" w:lastRowFirstColumn="0" w:lastRowLastColumn="0"/>
              <w:rPr>
                <w:rFonts w:ascii="Verdana" w:hAnsi="Verdana" w:eastAsia="Times New Roman" w:cs="Arial"/>
                <w:b w:val="0"/>
                <w:bCs w:val="0"/>
                <w:color w:val="auto"/>
                <w:sz w:val="18"/>
                <w:szCs w:val="18"/>
                <w:lang w:val="es-CO"/>
              </w:rPr>
            </w:pPr>
            <w:r w:rsidRPr="00C66231">
              <w:rPr>
                <w:rFonts w:ascii="Verdana" w:hAnsi="Verdana" w:eastAsia="Times New Roman" w:cs="Arial"/>
                <w:color w:val="auto"/>
                <w:sz w:val="18"/>
                <w:szCs w:val="18"/>
                <w:lang w:val="es-CO"/>
              </w:rPr>
              <w:t>Contexto</w:t>
            </w:r>
          </w:p>
        </w:tc>
      </w:tr>
      <w:tr w:rsidRPr="00C66231" w:rsidR="00C66231" w:rsidTr="180099B3" w14:paraId="3823030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5" w:type="pct"/>
            <w:shd w:val="clear" w:color="auto" w:fill="FFFFFF" w:themeFill="background1"/>
            <w:vAlign w:val="center"/>
            <w:hideMark/>
          </w:tcPr>
          <w:p w:rsidRPr="00C66231" w:rsidR="00C66231" w:rsidP="00C66231" w:rsidRDefault="00C66231" w14:paraId="2B2CEAA2" w14:textId="77777777">
            <w:pPr>
              <w:jc w:val="both"/>
              <w:rPr>
                <w:rFonts w:ascii="Verdana" w:hAnsi="Verdana" w:eastAsia="Times New Roman" w:cs="Arial"/>
                <w:sz w:val="18"/>
                <w:szCs w:val="18"/>
                <w:lang w:val="es-CO"/>
              </w:rPr>
            </w:pPr>
            <w:r w:rsidRPr="00C66231">
              <w:rPr>
                <w:rFonts w:ascii="Verdana" w:hAnsi="Verdana" w:eastAsia="Times New Roman" w:cs="Arial"/>
                <w:sz w:val="18"/>
                <w:szCs w:val="18"/>
                <w:lang w:val="es-CO"/>
              </w:rPr>
              <w:t>Cambio Climático</w:t>
            </w:r>
          </w:p>
        </w:tc>
        <w:tc>
          <w:tcPr>
            <w:tcW w:w="718" w:type="pct"/>
            <w:shd w:val="clear" w:color="auto" w:fill="FFFFFF" w:themeFill="background1"/>
            <w:vAlign w:val="center"/>
            <w:hideMark/>
          </w:tcPr>
          <w:p w:rsidRPr="00C66231" w:rsidR="00C66231" w:rsidP="00C66231" w:rsidRDefault="00C66231" w14:paraId="7531FFFF" w14:textId="77777777">
            <w:pPr>
              <w:jc w:val="center"/>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C66231">
              <w:rPr>
                <w:rFonts w:ascii="Verdana" w:hAnsi="Verdana" w:eastAsia="Times New Roman" w:cs="Arial"/>
                <w:b/>
                <w:bCs/>
                <w:sz w:val="18"/>
                <w:szCs w:val="18"/>
                <w:lang w:val="es-CO"/>
              </w:rPr>
              <w:t>4</w:t>
            </w:r>
          </w:p>
        </w:tc>
        <w:tc>
          <w:tcPr>
            <w:tcW w:w="934" w:type="pct"/>
            <w:shd w:val="clear" w:color="auto" w:fill="FFFFFF" w:themeFill="background1"/>
            <w:vAlign w:val="center"/>
            <w:hideMark/>
          </w:tcPr>
          <w:p w:rsidRPr="00C66231" w:rsidR="00C66231" w:rsidP="00C66231" w:rsidRDefault="00C66231" w14:paraId="1A36CDDA" w14:textId="77777777">
            <w:pPr>
              <w:jc w:val="center"/>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C66231">
              <w:rPr>
                <w:rFonts w:ascii="Verdana" w:hAnsi="Verdana" w:eastAsia="Times New Roman" w:cs="Arial"/>
                <w:b/>
                <w:bCs/>
                <w:sz w:val="18"/>
                <w:szCs w:val="18"/>
                <w:lang w:val="es-CO"/>
              </w:rPr>
              <w:t>58</w:t>
            </w:r>
          </w:p>
        </w:tc>
        <w:tc>
          <w:tcPr>
            <w:tcW w:w="2623" w:type="pct"/>
            <w:shd w:val="clear" w:color="auto" w:fill="FFFFFF" w:themeFill="background1"/>
            <w:vAlign w:val="center"/>
            <w:hideMark/>
          </w:tcPr>
          <w:p w:rsidRPr="00C66231" w:rsidR="00C66231" w:rsidP="00C66231" w:rsidRDefault="00C66231" w14:paraId="4383F38B" w14:textId="77777777">
            <w:pPr>
              <w:jc w:val="both"/>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C66231">
              <w:rPr>
                <w:rFonts w:ascii="Verdana" w:hAnsi="Verdana" w:eastAsia="Times New Roman" w:cs="Arial"/>
                <w:sz w:val="18"/>
                <w:szCs w:val="18"/>
                <w:lang w:val="es-CO"/>
              </w:rPr>
              <w:t xml:space="preserve">Incluye ejercicios de construcción de agenda territorial y socialización de resultados técnicos sobre vulnerabilidad, riesgo climático y articulación de instrumentos de planificación. Se identifican espacios en Putumayo, Cesar, San Andrés y Meta/Villavicencio. </w:t>
            </w:r>
          </w:p>
        </w:tc>
      </w:tr>
    </w:tbl>
    <w:p w:rsidRPr="00C66231" w:rsidR="00C66231" w:rsidP="180099B3" w:rsidRDefault="17AB1571" w14:paraId="3238BE40" w14:textId="77777777">
      <w:pPr>
        <w:spacing w:after="0" w:line="360" w:lineRule="auto"/>
        <w:jc w:val="center"/>
        <w:rPr>
          <w:rFonts w:ascii="Verdana" w:hAnsi="Verdana"/>
          <w:sz w:val="18"/>
          <w:szCs w:val="18"/>
        </w:rPr>
      </w:pPr>
      <w:r w:rsidRPr="180099B3">
        <w:rPr>
          <w:rFonts w:ascii="Verdana" w:hAnsi="Verdana"/>
          <w:sz w:val="18"/>
          <w:szCs w:val="18"/>
        </w:rPr>
        <w:t>Fuente: Oficina de Asuntos Ambientales y Sociales - OAAS</w:t>
      </w:r>
    </w:p>
    <w:p w:rsidRPr="00C66231" w:rsidR="00C66231" w:rsidP="006A0A13" w:rsidRDefault="00C66231" w14:paraId="45E75D63" w14:textId="77777777">
      <w:pPr>
        <w:spacing w:after="0" w:line="360" w:lineRule="auto"/>
        <w:jc w:val="both"/>
        <w:rPr>
          <w:rFonts w:ascii="Verdana" w:hAnsi="Verdana"/>
          <w:b/>
          <w:bCs/>
          <w:sz w:val="24"/>
          <w:szCs w:val="24"/>
        </w:rPr>
      </w:pPr>
    </w:p>
    <w:p w:rsidRPr="00C6347A" w:rsidR="00C6347A" w:rsidP="006A0A13" w:rsidRDefault="00C6347A" w14:paraId="57F68B63" w14:textId="77777777">
      <w:pPr>
        <w:spacing w:after="0" w:line="360" w:lineRule="auto"/>
        <w:jc w:val="both"/>
        <w:rPr>
          <w:rFonts w:ascii="Verdana" w:hAnsi="Verdana"/>
          <w:b/>
          <w:bCs/>
          <w:sz w:val="24"/>
          <w:szCs w:val="24"/>
        </w:rPr>
      </w:pPr>
      <w:r w:rsidRPr="00C6347A">
        <w:rPr>
          <w:rFonts w:ascii="Verdana" w:hAnsi="Verdana"/>
          <w:b/>
          <w:bCs/>
          <w:sz w:val="24"/>
          <w:szCs w:val="24"/>
        </w:rPr>
        <w:t>Convenios Étnicos</w:t>
      </w:r>
    </w:p>
    <w:p w:rsidR="00C6347A" w:rsidP="006A0A13" w:rsidRDefault="00C6347A" w14:paraId="284E2870" w14:textId="77777777">
      <w:pPr>
        <w:spacing w:after="0" w:line="360" w:lineRule="auto"/>
        <w:jc w:val="both"/>
        <w:rPr>
          <w:rFonts w:ascii="Verdana" w:hAnsi="Verdana"/>
          <w:sz w:val="24"/>
          <w:szCs w:val="24"/>
        </w:rPr>
      </w:pPr>
    </w:p>
    <w:p w:rsidRPr="00C6347A" w:rsidR="00C6347A" w:rsidP="006A0A13" w:rsidRDefault="00C6347A" w14:paraId="59721180" w14:textId="77777777">
      <w:pPr>
        <w:spacing w:after="0" w:line="360" w:lineRule="auto"/>
        <w:jc w:val="both"/>
        <w:rPr>
          <w:rFonts w:ascii="Verdana" w:hAnsi="Verdana"/>
          <w:sz w:val="24"/>
          <w:szCs w:val="24"/>
        </w:rPr>
      </w:pPr>
      <w:r w:rsidRPr="00C6347A">
        <w:rPr>
          <w:rFonts w:ascii="Verdana" w:hAnsi="Verdana"/>
          <w:sz w:val="24"/>
          <w:szCs w:val="24"/>
        </w:rPr>
        <w:t>En el marco de la Transición Energética Justa, los convenios con comunidades Negras, Afrocolombianas, Raizales y Palenqueras buscan, con enfoque de género y articulación diseñar proyectos adaptados a sus realidades territoriales. Su propósito es reducir brechas, fortalecer la autonomía energética y mejorar la calidad de vida en zonas de baja cobertura y difícil acceso.</w:t>
      </w:r>
    </w:p>
    <w:p w:rsidR="00C6347A" w:rsidP="006A0A13" w:rsidRDefault="00C6347A" w14:paraId="081639EA" w14:textId="77777777">
      <w:pPr>
        <w:spacing w:after="0" w:line="360" w:lineRule="auto"/>
        <w:jc w:val="both"/>
        <w:rPr>
          <w:rFonts w:ascii="Verdana" w:hAnsi="Verdana"/>
          <w:sz w:val="24"/>
          <w:szCs w:val="24"/>
        </w:rPr>
      </w:pPr>
    </w:p>
    <w:p w:rsidRPr="00C6347A" w:rsidR="00C6347A" w:rsidP="006A0A13" w:rsidRDefault="0671C53C" w14:paraId="5A55E483" w14:textId="06BF654F">
      <w:pPr>
        <w:spacing w:after="0" w:line="360" w:lineRule="auto"/>
        <w:jc w:val="both"/>
        <w:rPr>
          <w:rFonts w:ascii="Verdana" w:hAnsi="Verdana"/>
          <w:sz w:val="24"/>
          <w:szCs w:val="24"/>
        </w:rPr>
      </w:pPr>
      <w:r w:rsidRPr="0FF05B1B">
        <w:rPr>
          <w:rFonts w:ascii="Verdana" w:hAnsi="Verdana"/>
          <w:sz w:val="24"/>
          <w:szCs w:val="24"/>
        </w:rPr>
        <w:t>Hito 1. Caracterización Nacional</w:t>
      </w:r>
      <w:r w:rsidRPr="0FF05B1B" w:rsidR="6AB12206">
        <w:rPr>
          <w:rFonts w:ascii="Verdana" w:hAnsi="Verdana"/>
          <w:sz w:val="24"/>
          <w:szCs w:val="24"/>
        </w:rPr>
        <w:t xml:space="preserve">: </w:t>
      </w:r>
      <w:r w:rsidRPr="0FF05B1B">
        <w:rPr>
          <w:rFonts w:ascii="Verdana" w:hAnsi="Verdana"/>
          <w:sz w:val="24"/>
          <w:szCs w:val="24"/>
        </w:rPr>
        <w:t>Se identificaron comunidades con enfoque socioeconómico, cultural y energético.</w:t>
      </w:r>
    </w:p>
    <w:p w:rsidR="00C6347A" w:rsidP="006A0A13" w:rsidRDefault="00C6347A" w14:paraId="2C2C5AAB" w14:textId="77777777">
      <w:pPr>
        <w:spacing w:after="0" w:line="360" w:lineRule="auto"/>
        <w:jc w:val="both"/>
        <w:rPr>
          <w:rFonts w:ascii="Verdana" w:hAnsi="Verdana"/>
          <w:sz w:val="24"/>
          <w:szCs w:val="24"/>
        </w:rPr>
      </w:pPr>
    </w:p>
    <w:p w:rsidRPr="00C6347A" w:rsidR="00C6347A" w:rsidP="006A0A13" w:rsidRDefault="0671C53C" w14:paraId="41972BD7" w14:textId="15DCAD0A">
      <w:pPr>
        <w:spacing w:after="0" w:line="360" w:lineRule="auto"/>
        <w:jc w:val="both"/>
        <w:rPr>
          <w:rFonts w:ascii="Verdana" w:hAnsi="Verdana"/>
          <w:sz w:val="24"/>
          <w:szCs w:val="24"/>
        </w:rPr>
      </w:pPr>
      <w:r w:rsidRPr="0FF05B1B">
        <w:rPr>
          <w:rFonts w:ascii="Verdana" w:hAnsi="Verdana"/>
          <w:sz w:val="24"/>
          <w:szCs w:val="24"/>
        </w:rPr>
        <w:t>Hito 2. Línea Base de Proyectos Energéticos</w:t>
      </w:r>
      <w:r w:rsidRPr="0FF05B1B" w:rsidR="21C19A83">
        <w:rPr>
          <w:rFonts w:ascii="Verdana" w:hAnsi="Verdana"/>
          <w:sz w:val="24"/>
          <w:szCs w:val="24"/>
        </w:rPr>
        <w:t xml:space="preserve">: </w:t>
      </w:r>
      <w:r w:rsidRPr="0FF05B1B">
        <w:rPr>
          <w:rFonts w:ascii="Verdana" w:hAnsi="Verdana"/>
          <w:sz w:val="24"/>
          <w:szCs w:val="24"/>
        </w:rPr>
        <w:t>Se estructuró información para proyectos de Energías Limpias en territorios étnicos.</w:t>
      </w:r>
    </w:p>
    <w:p w:rsidR="00C6347A" w:rsidP="006A0A13" w:rsidRDefault="00C6347A" w14:paraId="5F79B729" w14:textId="77777777">
      <w:pPr>
        <w:spacing w:after="0" w:line="360" w:lineRule="auto"/>
        <w:jc w:val="both"/>
        <w:rPr>
          <w:rFonts w:ascii="Verdana" w:hAnsi="Verdana"/>
          <w:sz w:val="24"/>
          <w:szCs w:val="24"/>
        </w:rPr>
      </w:pPr>
    </w:p>
    <w:p w:rsidRPr="00C6347A" w:rsidR="00C6347A" w:rsidP="006A0A13" w:rsidRDefault="0671C53C" w14:paraId="236579CF" w14:textId="484FF876">
      <w:pPr>
        <w:spacing w:after="0" w:line="360" w:lineRule="auto"/>
        <w:jc w:val="both"/>
        <w:rPr>
          <w:rFonts w:ascii="Verdana" w:hAnsi="Verdana"/>
          <w:sz w:val="24"/>
          <w:szCs w:val="24"/>
        </w:rPr>
      </w:pPr>
      <w:r w:rsidRPr="0FF05B1B">
        <w:rPr>
          <w:rFonts w:ascii="Verdana" w:hAnsi="Verdana"/>
          <w:sz w:val="24"/>
          <w:szCs w:val="24"/>
        </w:rPr>
        <w:t>Hito 3. Fortalecimiento de Capacidades</w:t>
      </w:r>
      <w:r w:rsidRPr="0FF05B1B" w:rsidR="6AB6DDE2">
        <w:rPr>
          <w:rFonts w:ascii="Verdana" w:hAnsi="Verdana"/>
          <w:sz w:val="24"/>
          <w:szCs w:val="24"/>
        </w:rPr>
        <w:t xml:space="preserve">: </w:t>
      </w:r>
      <w:r w:rsidRPr="0FF05B1B">
        <w:rPr>
          <w:rFonts w:ascii="Verdana" w:hAnsi="Verdana"/>
          <w:sz w:val="24"/>
          <w:szCs w:val="24"/>
        </w:rPr>
        <w:t>Se formaron 40 comunidades en gobernanza energética.</w:t>
      </w:r>
    </w:p>
    <w:p w:rsidR="00C6347A" w:rsidP="006A0A13" w:rsidRDefault="00C6347A" w14:paraId="06FEC129" w14:textId="77777777">
      <w:pPr>
        <w:spacing w:after="0" w:line="360" w:lineRule="auto"/>
        <w:jc w:val="both"/>
        <w:rPr>
          <w:rFonts w:ascii="Verdana" w:hAnsi="Verdana"/>
          <w:sz w:val="24"/>
          <w:szCs w:val="24"/>
        </w:rPr>
      </w:pPr>
    </w:p>
    <w:p w:rsidR="00C6347A" w:rsidP="006A0A13" w:rsidRDefault="0671C53C" w14:paraId="4E9A2E47" w14:textId="27F55404">
      <w:pPr>
        <w:spacing w:after="0" w:line="360" w:lineRule="auto"/>
        <w:jc w:val="both"/>
      </w:pPr>
      <w:r w:rsidRPr="0FF05B1B">
        <w:rPr>
          <w:rFonts w:ascii="Verdana" w:hAnsi="Verdana"/>
          <w:sz w:val="24"/>
          <w:szCs w:val="24"/>
        </w:rPr>
        <w:t>Hito 4. Plan Estratégico Participativo</w:t>
      </w:r>
      <w:r w:rsidRPr="0FF05B1B" w:rsidR="24EC40ED">
        <w:rPr>
          <w:rFonts w:ascii="Verdana" w:hAnsi="Verdana"/>
          <w:sz w:val="24"/>
          <w:szCs w:val="24"/>
        </w:rPr>
        <w:t xml:space="preserve">: </w:t>
      </w:r>
      <w:r w:rsidRPr="0FF05B1B" w:rsidR="1D500AF3">
        <w:rPr>
          <w:rFonts w:ascii="Verdana" w:hAnsi="Verdana"/>
          <w:sz w:val="24"/>
          <w:szCs w:val="24"/>
        </w:rPr>
        <w:t>Se diseñó un instrumento de planificación con enfoque étnico diferencial.</w:t>
      </w:r>
    </w:p>
    <w:p w:rsidR="0FF05B1B" w:rsidP="006A0A13" w:rsidRDefault="0FF05B1B" w14:paraId="353CB429" w14:textId="70F68E59">
      <w:pPr>
        <w:spacing w:after="0" w:line="360" w:lineRule="auto"/>
        <w:jc w:val="both"/>
        <w:rPr>
          <w:rFonts w:ascii="Verdana" w:hAnsi="Verdana"/>
          <w:sz w:val="24"/>
          <w:szCs w:val="24"/>
        </w:rPr>
      </w:pPr>
    </w:p>
    <w:p w:rsidR="00C6347A" w:rsidP="006A0A13" w:rsidRDefault="0671C53C" w14:paraId="4D9E4FBF" w14:textId="44D6BD49">
      <w:pPr>
        <w:spacing w:after="0" w:line="360" w:lineRule="auto"/>
        <w:jc w:val="both"/>
        <w:rPr>
          <w:rFonts w:ascii="Verdana" w:hAnsi="Verdana"/>
          <w:sz w:val="24"/>
          <w:szCs w:val="24"/>
        </w:rPr>
      </w:pPr>
      <w:r w:rsidRPr="0FF05B1B">
        <w:rPr>
          <w:rFonts w:ascii="Verdana" w:hAnsi="Verdana"/>
          <w:sz w:val="24"/>
          <w:szCs w:val="24"/>
        </w:rPr>
        <w:t>Hito 5. Socialización Nacional</w:t>
      </w:r>
      <w:r w:rsidRPr="0FF05B1B" w:rsidR="4FF77F30">
        <w:rPr>
          <w:rFonts w:ascii="Verdana" w:hAnsi="Verdana"/>
          <w:sz w:val="24"/>
          <w:szCs w:val="24"/>
        </w:rPr>
        <w:t xml:space="preserve">: </w:t>
      </w:r>
      <w:r w:rsidRPr="0FF05B1B">
        <w:rPr>
          <w:rFonts w:ascii="Verdana" w:hAnsi="Verdana"/>
          <w:sz w:val="24"/>
          <w:szCs w:val="24"/>
        </w:rPr>
        <w:t>Se realizaron 33 encuentros territoriales en los 32 departamentos del país.</w:t>
      </w:r>
    </w:p>
    <w:p w:rsidRPr="00C6347A" w:rsidR="00C6347A" w:rsidP="006A0A13" w:rsidRDefault="00C6347A" w14:paraId="4D6627BB" w14:textId="77777777">
      <w:pPr>
        <w:spacing w:after="0" w:line="360" w:lineRule="auto"/>
        <w:jc w:val="both"/>
        <w:rPr>
          <w:rFonts w:ascii="Verdana" w:hAnsi="Verdana"/>
          <w:sz w:val="24"/>
          <w:szCs w:val="24"/>
        </w:rPr>
      </w:pPr>
    </w:p>
    <w:p w:rsidRPr="00C6347A" w:rsidR="00C6347A" w:rsidP="006A0A13" w:rsidRDefault="00C6347A" w14:paraId="630F0680" w14:textId="77777777">
      <w:pPr>
        <w:spacing w:after="0" w:line="360" w:lineRule="auto"/>
        <w:jc w:val="both"/>
        <w:rPr>
          <w:rFonts w:ascii="Verdana" w:hAnsi="Verdana"/>
          <w:b/>
          <w:bCs/>
          <w:sz w:val="24"/>
          <w:szCs w:val="24"/>
        </w:rPr>
      </w:pPr>
      <w:r w:rsidRPr="00C6347A">
        <w:rPr>
          <w:rFonts w:ascii="Verdana" w:hAnsi="Verdana"/>
          <w:b/>
          <w:bCs/>
          <w:sz w:val="24"/>
          <w:szCs w:val="24"/>
        </w:rPr>
        <w:t>Acompañamiento a Pactos Territoriales y Articulación Institucional</w:t>
      </w:r>
    </w:p>
    <w:p w:rsidR="00C6347A" w:rsidP="006A0A13" w:rsidRDefault="00C6347A" w14:paraId="527946F9" w14:textId="77777777">
      <w:pPr>
        <w:spacing w:after="0" w:line="360" w:lineRule="auto"/>
        <w:jc w:val="both"/>
        <w:rPr>
          <w:rFonts w:ascii="Verdana" w:hAnsi="Verdana"/>
          <w:sz w:val="24"/>
          <w:szCs w:val="24"/>
        </w:rPr>
      </w:pPr>
    </w:p>
    <w:p w:rsidRPr="00C6347A" w:rsidR="00C6347A" w:rsidP="006A0A13" w:rsidRDefault="00C6347A" w14:paraId="11A49C92" w14:textId="77777777">
      <w:pPr>
        <w:spacing w:after="0" w:line="360" w:lineRule="auto"/>
        <w:jc w:val="both"/>
        <w:rPr>
          <w:rFonts w:ascii="Verdana" w:hAnsi="Verdana"/>
          <w:sz w:val="24"/>
          <w:szCs w:val="24"/>
        </w:rPr>
      </w:pPr>
      <w:r w:rsidRPr="00C6347A">
        <w:rPr>
          <w:rFonts w:ascii="Verdana" w:hAnsi="Verdana"/>
          <w:sz w:val="24"/>
          <w:szCs w:val="24"/>
        </w:rPr>
        <w:t xml:space="preserve">La OAAS ha liderado el acompañamiento a la construcción de los Planes de Acción de los Pactos Territoriales en Catatumbo, Cauca, Chocó y Nariño, en articulación con las direcciones del Ministerio y entidades adscritas, asegurando el cumplimiento de compromisos del Plan Nacional de Desarrollo. </w:t>
      </w:r>
    </w:p>
    <w:p w:rsidR="00C6347A" w:rsidP="006A0A13" w:rsidRDefault="00C6347A" w14:paraId="731745E8" w14:textId="77777777">
      <w:pPr>
        <w:spacing w:after="0" w:line="360" w:lineRule="auto"/>
        <w:jc w:val="both"/>
        <w:rPr>
          <w:rFonts w:ascii="Verdana" w:hAnsi="Verdana"/>
          <w:sz w:val="24"/>
          <w:szCs w:val="24"/>
        </w:rPr>
      </w:pPr>
    </w:p>
    <w:p w:rsidRPr="00C6347A" w:rsidR="00C6347A" w:rsidP="006A0A13" w:rsidRDefault="0803A397" w14:paraId="5EE1D050" w14:textId="77777777">
      <w:pPr>
        <w:spacing w:after="0" w:line="360" w:lineRule="auto"/>
        <w:jc w:val="both"/>
        <w:rPr>
          <w:rFonts w:ascii="Verdana" w:hAnsi="Verdana"/>
          <w:sz w:val="24"/>
          <w:szCs w:val="24"/>
        </w:rPr>
      </w:pPr>
      <w:r w:rsidRPr="180099B3">
        <w:rPr>
          <w:rFonts w:ascii="Verdana" w:hAnsi="Verdana"/>
          <w:sz w:val="24"/>
          <w:szCs w:val="24"/>
        </w:rPr>
        <w:t xml:space="preserve">En este marco, también se han ejecutado convenios y contratos con comunidades étnicas a nivel nacional, con incidencia en estos territorios. </w:t>
      </w:r>
    </w:p>
    <w:p w:rsidR="180099B3" w:rsidP="006A0A13" w:rsidRDefault="180099B3" w14:paraId="180170CB" w14:textId="77777777">
      <w:pPr>
        <w:spacing w:after="0" w:line="360" w:lineRule="auto"/>
        <w:jc w:val="both"/>
        <w:rPr>
          <w:rFonts w:ascii="Verdana" w:hAnsi="Verdana"/>
          <w:sz w:val="24"/>
          <w:szCs w:val="24"/>
        </w:rPr>
      </w:pPr>
    </w:p>
    <w:p w:rsidRPr="00C6347A" w:rsidR="00C6347A" w:rsidP="006A0A13" w:rsidRDefault="00C6347A" w14:paraId="0A50EC86" w14:textId="77777777">
      <w:pPr>
        <w:spacing w:after="0" w:line="360" w:lineRule="auto"/>
        <w:jc w:val="both"/>
        <w:rPr>
          <w:rFonts w:ascii="Verdana" w:hAnsi="Verdana"/>
          <w:sz w:val="24"/>
          <w:szCs w:val="24"/>
        </w:rPr>
      </w:pPr>
      <w:r w:rsidRPr="00C6347A">
        <w:rPr>
          <w:rFonts w:ascii="Verdana" w:hAnsi="Verdana"/>
          <w:sz w:val="24"/>
          <w:szCs w:val="24"/>
        </w:rPr>
        <w:t>Estos pactos, con ejecución proyectada entre 2022 y 2026 y plazos de hasta 10 años, contemplan inversiones significativas, orientadas a promover la transición energética justa, la participación ciudadana y la construcción de paz. Los convenios son en:</w:t>
      </w:r>
    </w:p>
    <w:p w:rsidRPr="00C6347A" w:rsidR="00C6347A" w:rsidRDefault="00C6347A" w14:paraId="5D8E7CD0" w14:textId="77777777">
      <w:pPr>
        <w:pStyle w:val="Prrafodelista"/>
        <w:numPr>
          <w:ilvl w:val="1"/>
          <w:numId w:val="66"/>
        </w:numPr>
        <w:spacing w:after="0" w:line="360" w:lineRule="auto"/>
        <w:ind w:left="709" w:hanging="283"/>
        <w:jc w:val="both"/>
        <w:rPr>
          <w:rFonts w:ascii="Verdana" w:hAnsi="Verdana"/>
          <w:sz w:val="24"/>
          <w:szCs w:val="24"/>
        </w:rPr>
      </w:pPr>
      <w:r w:rsidRPr="00C6347A">
        <w:rPr>
          <w:rFonts w:ascii="Verdana" w:hAnsi="Verdana"/>
          <w:sz w:val="24"/>
          <w:szCs w:val="24"/>
        </w:rPr>
        <w:t xml:space="preserve">Chocó ($81.627 millones) </w:t>
      </w:r>
    </w:p>
    <w:p w:rsidRPr="00C6347A" w:rsidR="00C6347A" w:rsidRDefault="00C6347A" w14:paraId="3E5710E1" w14:textId="77777777">
      <w:pPr>
        <w:pStyle w:val="Prrafodelista"/>
        <w:numPr>
          <w:ilvl w:val="1"/>
          <w:numId w:val="66"/>
        </w:numPr>
        <w:spacing w:after="0" w:line="360" w:lineRule="auto"/>
        <w:ind w:left="709" w:hanging="283"/>
        <w:jc w:val="both"/>
        <w:rPr>
          <w:rFonts w:ascii="Verdana" w:hAnsi="Verdana"/>
          <w:sz w:val="24"/>
          <w:szCs w:val="24"/>
        </w:rPr>
      </w:pPr>
      <w:r w:rsidRPr="00C6347A">
        <w:rPr>
          <w:rFonts w:ascii="Verdana" w:hAnsi="Verdana"/>
          <w:sz w:val="24"/>
          <w:szCs w:val="24"/>
        </w:rPr>
        <w:t xml:space="preserve">Cauca ($77.543 millones) </w:t>
      </w:r>
    </w:p>
    <w:p w:rsidRPr="00C6347A" w:rsidR="00C6347A" w:rsidRDefault="00C6347A" w14:paraId="2D2F4EFF" w14:textId="77777777">
      <w:pPr>
        <w:pStyle w:val="Prrafodelista"/>
        <w:numPr>
          <w:ilvl w:val="1"/>
          <w:numId w:val="66"/>
        </w:numPr>
        <w:spacing w:after="0" w:line="360" w:lineRule="auto"/>
        <w:ind w:left="709" w:hanging="283"/>
        <w:jc w:val="both"/>
        <w:rPr>
          <w:rFonts w:ascii="Verdana" w:hAnsi="Verdana"/>
          <w:sz w:val="24"/>
          <w:szCs w:val="24"/>
        </w:rPr>
      </w:pPr>
      <w:r w:rsidRPr="00C6347A">
        <w:rPr>
          <w:rFonts w:ascii="Verdana" w:hAnsi="Verdana"/>
          <w:sz w:val="24"/>
          <w:szCs w:val="24"/>
        </w:rPr>
        <w:t xml:space="preserve">Catatumbo ($127.209 millones)  </w:t>
      </w:r>
    </w:p>
    <w:p w:rsidRPr="00C6347A" w:rsidR="00C6347A" w:rsidRDefault="00C6347A" w14:paraId="0AF65C84" w14:textId="77777777">
      <w:pPr>
        <w:pStyle w:val="Prrafodelista"/>
        <w:numPr>
          <w:ilvl w:val="1"/>
          <w:numId w:val="66"/>
        </w:numPr>
        <w:spacing w:after="0" w:line="360" w:lineRule="auto"/>
        <w:ind w:left="709" w:hanging="283"/>
        <w:jc w:val="both"/>
        <w:rPr>
          <w:rFonts w:ascii="Verdana" w:hAnsi="Verdana"/>
          <w:sz w:val="24"/>
          <w:szCs w:val="24"/>
        </w:rPr>
      </w:pPr>
      <w:r w:rsidRPr="00C6347A">
        <w:rPr>
          <w:rFonts w:ascii="Verdana" w:hAnsi="Verdana"/>
          <w:sz w:val="24"/>
          <w:szCs w:val="24"/>
        </w:rPr>
        <w:t xml:space="preserve">Nariño ($157.704 millones) </w:t>
      </w:r>
    </w:p>
    <w:p w:rsidR="00C6347A" w:rsidP="006A0A13" w:rsidRDefault="00C6347A" w14:paraId="2847D932" w14:textId="77777777">
      <w:pPr>
        <w:spacing w:after="0" w:line="360" w:lineRule="auto"/>
        <w:jc w:val="both"/>
        <w:rPr>
          <w:rFonts w:ascii="Verdana" w:hAnsi="Verdana"/>
          <w:sz w:val="24"/>
          <w:szCs w:val="24"/>
        </w:rPr>
      </w:pPr>
    </w:p>
    <w:p w:rsidRPr="00C6347A" w:rsidR="00C6347A" w:rsidP="006A0A13" w:rsidRDefault="00C6347A" w14:paraId="67641134" w14:textId="77777777">
      <w:pPr>
        <w:spacing w:after="0" w:line="360" w:lineRule="auto"/>
        <w:jc w:val="both"/>
        <w:rPr>
          <w:rFonts w:ascii="Verdana" w:hAnsi="Verdana"/>
          <w:b/>
          <w:bCs/>
          <w:sz w:val="24"/>
          <w:szCs w:val="24"/>
        </w:rPr>
      </w:pPr>
      <w:r w:rsidRPr="00C6347A">
        <w:rPr>
          <w:rFonts w:ascii="Verdana" w:hAnsi="Verdana"/>
          <w:b/>
          <w:bCs/>
          <w:sz w:val="24"/>
          <w:szCs w:val="24"/>
        </w:rPr>
        <w:t>Territorios Vivos: Agua y Justicia Ambiental</w:t>
      </w:r>
    </w:p>
    <w:p w:rsidR="00C6347A" w:rsidP="006A0A13" w:rsidRDefault="00C6347A" w14:paraId="04F4E105" w14:textId="77777777">
      <w:pPr>
        <w:spacing w:after="0" w:line="360" w:lineRule="auto"/>
        <w:jc w:val="both"/>
        <w:rPr>
          <w:rFonts w:ascii="Verdana" w:hAnsi="Verdana"/>
          <w:sz w:val="24"/>
          <w:szCs w:val="24"/>
        </w:rPr>
      </w:pPr>
    </w:p>
    <w:p w:rsidR="00C6347A" w:rsidP="006A0A13" w:rsidRDefault="00C6347A" w14:paraId="41692A39" w14:textId="77777777">
      <w:pPr>
        <w:spacing w:after="0" w:line="360" w:lineRule="auto"/>
        <w:jc w:val="both"/>
        <w:rPr>
          <w:rFonts w:ascii="Verdana" w:hAnsi="Verdana"/>
          <w:sz w:val="24"/>
          <w:szCs w:val="24"/>
        </w:rPr>
      </w:pPr>
      <w:r w:rsidRPr="00C6347A">
        <w:rPr>
          <w:rFonts w:ascii="Verdana" w:hAnsi="Verdana"/>
          <w:sz w:val="24"/>
          <w:szCs w:val="24"/>
        </w:rPr>
        <w:t xml:space="preserve">El objetivo de ordenamiento del territorio alrededor del agua y justicia ambiental es clave para el Ministerio de Minas y Energía porque orienta la planeación del sector hacia la protección del agua como eje estructurante </w:t>
      </w:r>
      <w:r w:rsidRPr="00C6347A">
        <w:rPr>
          <w:rFonts w:ascii="Verdana" w:hAnsi="Verdana"/>
          <w:sz w:val="24"/>
          <w:szCs w:val="24"/>
        </w:rPr>
        <w:t>del territorio y la garantía de la sostenibilidad ambiental. Este enfoque permite armonizar el desarrollo minero-energético con la preservación de los ecosistemas, reducir impactos socioambientales y promover una distribución más equitativa de beneficios y cargas.</w:t>
      </w:r>
    </w:p>
    <w:p w:rsidRPr="00C6347A" w:rsidR="00C6347A" w:rsidP="006A0A13" w:rsidRDefault="00C6347A" w14:paraId="7A85A964" w14:textId="77777777">
      <w:pPr>
        <w:spacing w:after="0" w:line="360" w:lineRule="auto"/>
        <w:jc w:val="both"/>
        <w:rPr>
          <w:rFonts w:ascii="Verdana" w:hAnsi="Verdana"/>
          <w:sz w:val="24"/>
          <w:szCs w:val="24"/>
        </w:rPr>
      </w:pPr>
    </w:p>
    <w:p w:rsidRPr="00C6347A" w:rsidR="00C6347A" w:rsidP="006A0A13" w:rsidRDefault="00C6347A" w14:paraId="74C0559D" w14:textId="77777777">
      <w:pPr>
        <w:spacing w:after="0" w:line="360" w:lineRule="auto"/>
        <w:jc w:val="both"/>
        <w:rPr>
          <w:rFonts w:ascii="Verdana" w:hAnsi="Verdana"/>
          <w:b/>
          <w:bCs/>
          <w:sz w:val="24"/>
          <w:szCs w:val="24"/>
        </w:rPr>
      </w:pPr>
      <w:r w:rsidRPr="00C6347A">
        <w:rPr>
          <w:rFonts w:ascii="Verdana" w:hAnsi="Verdana"/>
          <w:b/>
          <w:bCs/>
          <w:sz w:val="24"/>
          <w:szCs w:val="24"/>
        </w:rPr>
        <w:t>Gobernanza Ambiental</w:t>
      </w:r>
    </w:p>
    <w:p w:rsidRPr="00C6347A" w:rsidR="00C6347A" w:rsidP="006A0A13" w:rsidRDefault="00C6347A" w14:paraId="11A164A5" w14:textId="77777777">
      <w:pPr>
        <w:spacing w:after="0" w:line="360" w:lineRule="auto"/>
        <w:jc w:val="both"/>
        <w:rPr>
          <w:rFonts w:ascii="Verdana" w:hAnsi="Verdana"/>
          <w:sz w:val="24"/>
          <w:szCs w:val="24"/>
        </w:rPr>
      </w:pPr>
    </w:p>
    <w:p w:rsidRPr="00C6347A" w:rsidR="00C6347A" w:rsidP="006A0A13" w:rsidRDefault="00C6347A" w14:paraId="779EC41D" w14:textId="77777777">
      <w:pPr>
        <w:spacing w:after="0" w:line="360" w:lineRule="auto"/>
        <w:jc w:val="both"/>
        <w:rPr>
          <w:rFonts w:ascii="Verdana" w:hAnsi="Verdana"/>
          <w:sz w:val="24"/>
          <w:szCs w:val="24"/>
        </w:rPr>
      </w:pPr>
      <w:r w:rsidRPr="00C6347A">
        <w:rPr>
          <w:rFonts w:ascii="Verdana" w:hAnsi="Verdana"/>
          <w:sz w:val="24"/>
          <w:szCs w:val="24"/>
        </w:rPr>
        <w:t>En 2022 se identificó una brecha en la disponibilidad de información para evaluar integralmente la gestión ambiental y sus impactos territoriales, lo que limitaba la gobernanza ambiental.</w:t>
      </w:r>
    </w:p>
    <w:p w:rsidR="00C6347A" w:rsidP="006A0A13" w:rsidRDefault="00C6347A" w14:paraId="20D672E4" w14:textId="77777777">
      <w:pPr>
        <w:spacing w:after="0" w:line="360" w:lineRule="auto"/>
        <w:jc w:val="both"/>
        <w:rPr>
          <w:rFonts w:ascii="Verdana" w:hAnsi="Verdana"/>
          <w:sz w:val="24"/>
          <w:szCs w:val="24"/>
        </w:rPr>
      </w:pPr>
    </w:p>
    <w:p w:rsidRPr="00C6347A" w:rsidR="00C6347A" w:rsidP="006A0A13" w:rsidRDefault="00C6347A" w14:paraId="5E024D19" w14:textId="77777777">
      <w:pPr>
        <w:spacing w:after="0" w:line="360" w:lineRule="auto"/>
        <w:jc w:val="both"/>
        <w:rPr>
          <w:rFonts w:ascii="Verdana" w:hAnsi="Verdana"/>
          <w:sz w:val="24"/>
          <w:szCs w:val="24"/>
        </w:rPr>
      </w:pPr>
      <w:r w:rsidRPr="00C6347A">
        <w:rPr>
          <w:rFonts w:ascii="Verdana" w:hAnsi="Verdana"/>
          <w:sz w:val="24"/>
          <w:szCs w:val="24"/>
        </w:rPr>
        <w:t xml:space="preserve">Para responder a este desafío, se creó el Índice de Gobernanza Ambiental como herramienta estratégica, orientada a mejorar la planificación del sector, en coherencia con el Acuerdo de Escazú y la Transición Energética Justa, promoviendo mayor transparencia, participación y sostenibilidad </w:t>
      </w:r>
    </w:p>
    <w:p w:rsidR="00C6347A" w:rsidP="006A0A13" w:rsidRDefault="00C6347A" w14:paraId="1954A1BC" w14:textId="77777777">
      <w:pPr>
        <w:spacing w:after="0" w:line="360" w:lineRule="auto"/>
        <w:jc w:val="both"/>
        <w:rPr>
          <w:rFonts w:ascii="Verdana" w:hAnsi="Verdana"/>
          <w:sz w:val="24"/>
          <w:szCs w:val="24"/>
        </w:rPr>
      </w:pPr>
    </w:p>
    <w:p w:rsidRPr="00C6347A" w:rsidR="00C6347A" w:rsidP="006A0A13" w:rsidRDefault="0671C53C" w14:paraId="0813A21B" w14:textId="6D55918B">
      <w:pPr>
        <w:spacing w:after="0" w:line="360" w:lineRule="auto"/>
        <w:jc w:val="both"/>
      </w:pPr>
      <w:r w:rsidRPr="0FF05B1B">
        <w:rPr>
          <w:rFonts w:ascii="Verdana" w:hAnsi="Verdana"/>
          <w:sz w:val="24"/>
          <w:szCs w:val="24"/>
        </w:rPr>
        <w:t>Hito 1. Diseño Conceptual</w:t>
      </w:r>
      <w:r w:rsidRPr="0FF05B1B" w:rsidR="785A782F">
        <w:rPr>
          <w:rFonts w:ascii="Verdana" w:hAnsi="Verdana"/>
          <w:sz w:val="24"/>
          <w:szCs w:val="24"/>
        </w:rPr>
        <w:t xml:space="preserve">: </w:t>
      </w:r>
      <w:r w:rsidRPr="0FF05B1B">
        <w:rPr>
          <w:rFonts w:ascii="Verdana" w:hAnsi="Verdana"/>
          <w:sz w:val="24"/>
          <w:szCs w:val="24"/>
        </w:rPr>
        <w:t>Se estructuró un marco con 51 indicadores en 7 dimensiones.</w:t>
      </w:r>
    </w:p>
    <w:p w:rsidR="0FF05B1B" w:rsidP="006A0A13" w:rsidRDefault="0FF05B1B" w14:paraId="721BBE21" w14:textId="070B3AE7">
      <w:pPr>
        <w:spacing w:after="0" w:line="360" w:lineRule="auto"/>
        <w:jc w:val="both"/>
        <w:rPr>
          <w:rFonts w:ascii="Verdana" w:hAnsi="Verdana"/>
          <w:sz w:val="24"/>
          <w:szCs w:val="24"/>
        </w:rPr>
      </w:pPr>
    </w:p>
    <w:p w:rsidRPr="00C6347A" w:rsidR="00C6347A" w:rsidP="006A0A13" w:rsidRDefault="0671C53C" w14:paraId="1F26E73B" w14:textId="526E24C0">
      <w:pPr>
        <w:spacing w:after="0" w:line="360" w:lineRule="auto"/>
        <w:jc w:val="both"/>
        <w:rPr>
          <w:rFonts w:ascii="Verdana" w:hAnsi="Verdana"/>
          <w:sz w:val="24"/>
          <w:szCs w:val="24"/>
        </w:rPr>
      </w:pPr>
      <w:r w:rsidRPr="0FF05B1B">
        <w:rPr>
          <w:rFonts w:ascii="Verdana" w:hAnsi="Verdana"/>
          <w:sz w:val="24"/>
          <w:szCs w:val="24"/>
        </w:rPr>
        <w:t>Hito 2. Implementación del Índice</w:t>
      </w:r>
      <w:r w:rsidRPr="0FF05B1B" w:rsidR="14AE755B">
        <w:rPr>
          <w:rFonts w:ascii="Verdana" w:hAnsi="Verdana"/>
          <w:sz w:val="24"/>
          <w:szCs w:val="24"/>
        </w:rPr>
        <w:t xml:space="preserve">: </w:t>
      </w:r>
      <w:r w:rsidRPr="0FF05B1B">
        <w:rPr>
          <w:rFonts w:ascii="Verdana" w:hAnsi="Verdana"/>
          <w:sz w:val="24"/>
          <w:szCs w:val="24"/>
        </w:rPr>
        <w:t>Se obtuvo un resultado de 0,54 en 2023, evidenciando nivel intermedio de gobernanza.</w:t>
      </w:r>
    </w:p>
    <w:p w:rsidR="00C6347A" w:rsidP="006A0A13" w:rsidRDefault="00C6347A" w14:paraId="328181E6" w14:textId="77777777">
      <w:pPr>
        <w:spacing w:after="0" w:line="360" w:lineRule="auto"/>
        <w:jc w:val="both"/>
        <w:rPr>
          <w:rFonts w:ascii="Verdana" w:hAnsi="Verdana"/>
          <w:sz w:val="24"/>
          <w:szCs w:val="24"/>
        </w:rPr>
      </w:pPr>
    </w:p>
    <w:p w:rsidRPr="00C6347A" w:rsidR="00C6347A" w:rsidP="006A0A13" w:rsidRDefault="0671C53C" w14:paraId="03605453" w14:textId="6C4C44DA">
      <w:pPr>
        <w:spacing w:after="0" w:line="360" w:lineRule="auto"/>
        <w:jc w:val="both"/>
        <w:rPr>
          <w:rFonts w:ascii="Verdana" w:hAnsi="Verdana"/>
          <w:sz w:val="24"/>
          <w:szCs w:val="24"/>
        </w:rPr>
      </w:pPr>
      <w:r w:rsidRPr="0FF05B1B">
        <w:rPr>
          <w:rFonts w:ascii="Verdana" w:hAnsi="Verdana"/>
          <w:sz w:val="24"/>
          <w:szCs w:val="24"/>
        </w:rPr>
        <w:t>Hito 3. Participación Ciudadana</w:t>
      </w:r>
      <w:r w:rsidRPr="0FF05B1B" w:rsidR="5468D1D1">
        <w:rPr>
          <w:rFonts w:ascii="Verdana" w:hAnsi="Verdana"/>
          <w:sz w:val="24"/>
          <w:szCs w:val="24"/>
        </w:rPr>
        <w:t xml:space="preserve">: </w:t>
      </w:r>
      <w:r w:rsidRPr="0FF05B1B">
        <w:rPr>
          <w:rFonts w:ascii="Verdana" w:hAnsi="Verdana"/>
          <w:sz w:val="24"/>
          <w:szCs w:val="24"/>
        </w:rPr>
        <w:t>Se vincularon más de 2.345 actores en el proceso de construcción y validación.</w:t>
      </w:r>
    </w:p>
    <w:p w:rsidR="00C6347A" w:rsidP="006A0A13" w:rsidRDefault="00C6347A" w14:paraId="218FB199" w14:textId="77777777">
      <w:pPr>
        <w:spacing w:after="0" w:line="360" w:lineRule="auto"/>
        <w:jc w:val="both"/>
        <w:rPr>
          <w:rFonts w:ascii="Verdana" w:hAnsi="Verdana"/>
          <w:sz w:val="24"/>
          <w:szCs w:val="24"/>
        </w:rPr>
      </w:pPr>
    </w:p>
    <w:p w:rsidR="005D4836" w:rsidP="006A0A13" w:rsidRDefault="0803A397" w14:paraId="209CEBF6" w14:textId="77777777">
      <w:pPr>
        <w:spacing w:after="0" w:line="360" w:lineRule="auto"/>
        <w:jc w:val="both"/>
        <w:rPr>
          <w:rFonts w:ascii="Verdana" w:hAnsi="Verdana"/>
          <w:sz w:val="24"/>
          <w:szCs w:val="24"/>
        </w:rPr>
      </w:pPr>
      <w:r w:rsidRPr="180099B3">
        <w:rPr>
          <w:rFonts w:ascii="Verdana" w:hAnsi="Verdana"/>
          <w:sz w:val="24"/>
          <w:szCs w:val="24"/>
        </w:rPr>
        <w:t>El Índice de Gobernanza Ambiental es una herramienta en Colombia que mide la capacidad institucional, social, jurídica, económica y ambiental del sector minero energético. Su proyección hacia 2031 busca fortalecer la gobernanza de datos, territorializar el análisis y mejorar la toma de decisiones.</w:t>
      </w:r>
    </w:p>
    <w:p w:rsidRPr="00C6347A" w:rsidR="00C6347A" w:rsidP="006A0A13" w:rsidRDefault="00C6347A" w14:paraId="3F150ABE" w14:textId="77777777">
      <w:pPr>
        <w:spacing w:after="0" w:line="360" w:lineRule="auto"/>
        <w:jc w:val="both"/>
        <w:rPr>
          <w:rFonts w:ascii="Verdana" w:hAnsi="Verdana"/>
          <w:sz w:val="24"/>
          <w:szCs w:val="24"/>
        </w:rPr>
      </w:pPr>
    </w:p>
    <w:p w:rsidRPr="00C6347A" w:rsidR="00C6347A" w:rsidP="00C6347A" w:rsidRDefault="0803A397" w14:paraId="2549F4B7" w14:textId="77777777">
      <w:pPr>
        <w:spacing w:after="0" w:line="240" w:lineRule="auto"/>
        <w:jc w:val="center"/>
        <w:rPr>
          <w:rFonts w:ascii="Verdana" w:hAnsi="Verdana" w:eastAsia="Verdana" w:cs="Arial"/>
          <w:color w:val="000000" w:themeColor="text1"/>
          <w:sz w:val="18"/>
          <w:szCs w:val="18"/>
        </w:rPr>
      </w:pPr>
      <w:r w:rsidRPr="180099B3">
        <w:rPr>
          <w:rFonts w:ascii="Verdana" w:hAnsi="Verdana" w:cs="Arial"/>
          <w:sz w:val="18"/>
          <w:szCs w:val="18"/>
        </w:rPr>
        <w:t>Tabla No.</w:t>
      </w:r>
      <w:r w:rsidRPr="180099B3" w:rsidR="491E14DA">
        <w:rPr>
          <w:rFonts w:ascii="Verdana" w:hAnsi="Verdana" w:cs="Arial"/>
          <w:sz w:val="18"/>
          <w:szCs w:val="18"/>
        </w:rPr>
        <w:t xml:space="preserve"> 69</w:t>
      </w:r>
      <w:r w:rsidRPr="180099B3">
        <w:rPr>
          <w:rFonts w:ascii="Verdana" w:hAnsi="Verdana" w:cs="Arial"/>
          <w:sz w:val="18"/>
          <w:szCs w:val="18"/>
        </w:rPr>
        <w:t>. Gestiones en Gobernanza Ambiental</w:t>
      </w:r>
    </w:p>
    <w:tbl>
      <w:tblPr>
        <w:tblStyle w:val="Tablaconcuadrcula4-nfasis6"/>
        <w:tblW w:w="5000" w:type="pct"/>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Look w:val="04A0" w:firstRow="1" w:lastRow="0" w:firstColumn="1" w:lastColumn="0" w:noHBand="0" w:noVBand="1"/>
      </w:tblPr>
      <w:tblGrid>
        <w:gridCol w:w="1996"/>
        <w:gridCol w:w="1195"/>
        <w:gridCol w:w="1552"/>
        <w:gridCol w:w="4085"/>
      </w:tblGrid>
      <w:tr w:rsidRPr="00C6347A" w:rsidR="00C6347A" w:rsidTr="180099B3" w14:paraId="2D0F6BDE"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42" w:type="pct"/>
            <w:tcBorders>
              <w:top w:val="none" w:color="auto" w:sz="0" w:space="0"/>
              <w:left w:val="none" w:color="auto" w:sz="0" w:space="0"/>
              <w:bottom w:val="none" w:color="auto" w:sz="0" w:space="0"/>
              <w:right w:val="none" w:color="auto" w:sz="0" w:space="0"/>
            </w:tcBorders>
            <w:shd w:val="clear" w:color="auto" w:fill="A6A6A6" w:themeFill="background1" w:themeFillShade="A6"/>
            <w:vAlign w:val="center"/>
            <w:hideMark/>
          </w:tcPr>
          <w:p w:rsidRPr="00C6347A" w:rsidR="00C6347A" w:rsidRDefault="00C6347A" w14:paraId="213DD438" w14:textId="77777777">
            <w:pPr>
              <w:jc w:val="center"/>
              <w:rPr>
                <w:rFonts w:ascii="Verdana" w:hAnsi="Verdana" w:eastAsia="Times New Roman" w:cs="Arial"/>
                <w:b w:val="0"/>
                <w:bCs w:val="0"/>
                <w:color w:val="auto"/>
                <w:sz w:val="18"/>
                <w:szCs w:val="18"/>
                <w:lang w:val="es-CO"/>
              </w:rPr>
            </w:pPr>
            <w:r w:rsidRPr="00C6347A">
              <w:rPr>
                <w:rFonts w:ascii="Verdana" w:hAnsi="Verdana" w:eastAsia="Times New Roman" w:cs="Arial"/>
                <w:color w:val="auto"/>
                <w:sz w:val="18"/>
                <w:szCs w:val="18"/>
                <w:lang w:val="es-CO"/>
              </w:rPr>
              <w:t>Frente / subsector</w:t>
            </w:r>
          </w:p>
        </w:tc>
        <w:tc>
          <w:tcPr>
            <w:tcW w:w="688" w:type="pct"/>
            <w:tcBorders>
              <w:top w:val="none" w:color="auto" w:sz="0" w:space="0"/>
              <w:left w:val="none" w:color="auto" w:sz="0" w:space="0"/>
              <w:bottom w:val="none" w:color="auto" w:sz="0" w:space="0"/>
              <w:right w:val="none" w:color="auto" w:sz="0" w:space="0"/>
            </w:tcBorders>
            <w:shd w:val="clear" w:color="auto" w:fill="A6A6A6" w:themeFill="background1" w:themeFillShade="A6"/>
            <w:vAlign w:val="center"/>
            <w:hideMark/>
          </w:tcPr>
          <w:p w:rsidRPr="00C6347A" w:rsidR="00C6347A" w:rsidRDefault="00C6347A" w14:paraId="5C03239C" w14:textId="77777777">
            <w:pPr>
              <w:jc w:val="center"/>
              <w:cnfStyle w:val="100000000000" w:firstRow="1" w:lastRow="0" w:firstColumn="0" w:lastColumn="0" w:oddVBand="0" w:evenVBand="0" w:oddHBand="0" w:evenHBand="0" w:firstRowFirstColumn="0" w:firstRowLastColumn="0" w:lastRowFirstColumn="0" w:lastRowLastColumn="0"/>
              <w:rPr>
                <w:rFonts w:ascii="Verdana" w:hAnsi="Verdana" w:eastAsia="Times New Roman" w:cs="Arial"/>
                <w:b w:val="0"/>
                <w:bCs w:val="0"/>
                <w:color w:val="auto"/>
                <w:sz w:val="18"/>
                <w:szCs w:val="18"/>
                <w:lang w:val="es-CO"/>
              </w:rPr>
            </w:pPr>
            <w:r w:rsidRPr="00C6347A">
              <w:rPr>
                <w:rFonts w:ascii="Verdana" w:hAnsi="Verdana" w:eastAsia="Times New Roman" w:cs="Arial"/>
                <w:color w:val="auto"/>
                <w:sz w:val="18"/>
                <w:szCs w:val="18"/>
                <w:lang w:val="es-CO"/>
              </w:rPr>
              <w:t>Cantidad de espacios</w:t>
            </w:r>
          </w:p>
        </w:tc>
        <w:tc>
          <w:tcPr>
            <w:tcW w:w="845" w:type="pct"/>
            <w:tcBorders>
              <w:top w:val="none" w:color="auto" w:sz="0" w:space="0"/>
              <w:left w:val="none" w:color="auto" w:sz="0" w:space="0"/>
              <w:bottom w:val="none" w:color="auto" w:sz="0" w:space="0"/>
              <w:right w:val="none" w:color="auto" w:sz="0" w:space="0"/>
            </w:tcBorders>
            <w:shd w:val="clear" w:color="auto" w:fill="A6A6A6" w:themeFill="background1" w:themeFillShade="A6"/>
            <w:vAlign w:val="center"/>
            <w:hideMark/>
          </w:tcPr>
          <w:p w:rsidRPr="00C6347A" w:rsidR="00C6347A" w:rsidRDefault="00C6347A" w14:paraId="7F7A0B82" w14:textId="77777777">
            <w:pPr>
              <w:jc w:val="center"/>
              <w:cnfStyle w:val="100000000000" w:firstRow="1" w:lastRow="0" w:firstColumn="0" w:lastColumn="0" w:oddVBand="0" w:evenVBand="0" w:oddHBand="0" w:evenHBand="0" w:firstRowFirstColumn="0" w:firstRowLastColumn="0" w:lastRowFirstColumn="0" w:lastRowLastColumn="0"/>
              <w:rPr>
                <w:rFonts w:ascii="Verdana" w:hAnsi="Verdana" w:eastAsia="Times New Roman" w:cs="Arial"/>
                <w:b w:val="0"/>
                <w:bCs w:val="0"/>
                <w:color w:val="auto"/>
                <w:sz w:val="18"/>
                <w:szCs w:val="18"/>
                <w:lang w:val="es-CO"/>
              </w:rPr>
            </w:pPr>
            <w:r w:rsidRPr="00C6347A">
              <w:rPr>
                <w:rFonts w:ascii="Verdana" w:hAnsi="Verdana" w:eastAsia="Times New Roman" w:cs="Arial"/>
                <w:color w:val="auto"/>
                <w:sz w:val="18"/>
                <w:szCs w:val="18"/>
                <w:lang w:val="es-CO"/>
              </w:rPr>
              <w:t>Participantes reportados</w:t>
            </w:r>
          </w:p>
        </w:tc>
        <w:tc>
          <w:tcPr>
            <w:tcW w:w="2325" w:type="pct"/>
            <w:tcBorders>
              <w:top w:val="none" w:color="auto" w:sz="0" w:space="0"/>
              <w:left w:val="none" w:color="auto" w:sz="0" w:space="0"/>
              <w:bottom w:val="none" w:color="auto" w:sz="0" w:space="0"/>
              <w:right w:val="none" w:color="auto" w:sz="0" w:space="0"/>
            </w:tcBorders>
            <w:shd w:val="clear" w:color="auto" w:fill="A6A6A6" w:themeFill="background1" w:themeFillShade="A6"/>
            <w:vAlign w:val="center"/>
            <w:hideMark/>
          </w:tcPr>
          <w:p w:rsidRPr="00C6347A" w:rsidR="00C6347A" w:rsidRDefault="00C6347A" w14:paraId="08187364" w14:textId="77777777">
            <w:pPr>
              <w:jc w:val="center"/>
              <w:cnfStyle w:val="100000000000" w:firstRow="1" w:lastRow="0" w:firstColumn="0" w:lastColumn="0" w:oddVBand="0" w:evenVBand="0" w:oddHBand="0" w:evenHBand="0" w:firstRowFirstColumn="0" w:firstRowLastColumn="0" w:lastRowFirstColumn="0" w:lastRowLastColumn="0"/>
              <w:rPr>
                <w:rFonts w:ascii="Verdana" w:hAnsi="Verdana" w:eastAsia="Times New Roman" w:cs="Arial"/>
                <w:b w:val="0"/>
                <w:bCs w:val="0"/>
                <w:color w:val="auto"/>
                <w:sz w:val="18"/>
                <w:szCs w:val="18"/>
                <w:lang w:val="es-CO"/>
              </w:rPr>
            </w:pPr>
            <w:r w:rsidRPr="00C6347A">
              <w:rPr>
                <w:rFonts w:ascii="Verdana" w:hAnsi="Verdana" w:eastAsia="Times New Roman" w:cs="Arial"/>
                <w:color w:val="auto"/>
                <w:sz w:val="18"/>
                <w:szCs w:val="18"/>
                <w:lang w:val="es-CO"/>
              </w:rPr>
              <w:t>Contexto</w:t>
            </w:r>
          </w:p>
        </w:tc>
      </w:tr>
      <w:tr w:rsidRPr="00C6347A" w:rsidR="00C6347A" w:rsidTr="180099B3" w14:paraId="7FA61DE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42" w:type="pct"/>
            <w:shd w:val="clear" w:color="auto" w:fill="FFFFFF" w:themeFill="background1"/>
            <w:vAlign w:val="center"/>
            <w:hideMark/>
          </w:tcPr>
          <w:p w:rsidRPr="00C6347A" w:rsidR="00C6347A" w:rsidRDefault="00C6347A" w14:paraId="43A9E164" w14:textId="77777777">
            <w:pPr>
              <w:jc w:val="both"/>
              <w:rPr>
                <w:rFonts w:ascii="Verdana" w:hAnsi="Verdana" w:eastAsia="Times New Roman" w:cs="Arial"/>
                <w:sz w:val="18"/>
                <w:szCs w:val="18"/>
                <w:lang w:val="es-CO"/>
              </w:rPr>
            </w:pPr>
            <w:r w:rsidRPr="00C6347A">
              <w:rPr>
                <w:rFonts w:ascii="Verdana" w:hAnsi="Verdana" w:eastAsia="Times New Roman" w:cs="Arial"/>
                <w:sz w:val="18"/>
                <w:szCs w:val="18"/>
                <w:lang w:val="es-CO"/>
              </w:rPr>
              <w:t>Política y Relacionamiento Ambiental</w:t>
            </w:r>
          </w:p>
        </w:tc>
        <w:tc>
          <w:tcPr>
            <w:tcW w:w="688" w:type="pct"/>
            <w:shd w:val="clear" w:color="auto" w:fill="FFFFFF" w:themeFill="background1"/>
            <w:vAlign w:val="center"/>
            <w:hideMark/>
          </w:tcPr>
          <w:p w:rsidRPr="00C6347A" w:rsidR="00C6347A" w:rsidRDefault="00C6347A" w14:paraId="67388694" w14:textId="77777777">
            <w:pPr>
              <w:jc w:val="center"/>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C6347A">
              <w:rPr>
                <w:rFonts w:ascii="Verdana" w:hAnsi="Verdana" w:eastAsia="Times New Roman" w:cs="Arial"/>
                <w:sz w:val="18"/>
                <w:szCs w:val="18"/>
                <w:lang w:val="es-CO"/>
              </w:rPr>
              <w:t>48</w:t>
            </w:r>
          </w:p>
        </w:tc>
        <w:tc>
          <w:tcPr>
            <w:tcW w:w="845" w:type="pct"/>
            <w:shd w:val="clear" w:color="auto" w:fill="FFFFFF" w:themeFill="background1"/>
            <w:vAlign w:val="center"/>
            <w:hideMark/>
          </w:tcPr>
          <w:p w:rsidRPr="00C6347A" w:rsidR="00C6347A" w:rsidRDefault="00C6347A" w14:paraId="7E8FC004" w14:textId="77777777">
            <w:pPr>
              <w:jc w:val="center"/>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C6347A">
              <w:rPr>
                <w:rFonts w:ascii="Verdana" w:hAnsi="Verdana" w:eastAsia="Times New Roman" w:cs="Arial"/>
                <w:sz w:val="18"/>
                <w:szCs w:val="18"/>
                <w:lang w:val="es-CO"/>
              </w:rPr>
              <w:t>2.576</w:t>
            </w:r>
          </w:p>
        </w:tc>
        <w:tc>
          <w:tcPr>
            <w:tcW w:w="2325" w:type="pct"/>
            <w:shd w:val="clear" w:color="auto" w:fill="FFFFFF" w:themeFill="background1"/>
            <w:vAlign w:val="center"/>
            <w:hideMark/>
          </w:tcPr>
          <w:p w:rsidRPr="00C6347A" w:rsidR="00C6347A" w:rsidRDefault="00C6347A" w14:paraId="6BC65B00" w14:textId="77777777">
            <w:pPr>
              <w:jc w:val="both"/>
              <w:cnfStyle w:val="000000100000" w:firstRow="0" w:lastRow="0" w:firstColumn="0" w:lastColumn="0" w:oddVBand="0" w:evenVBand="0" w:oddHBand="1" w:evenHBand="0" w:firstRowFirstColumn="0" w:firstRowLastColumn="0" w:lastRowFirstColumn="0" w:lastRowLastColumn="0"/>
              <w:rPr>
                <w:rFonts w:ascii="Verdana" w:hAnsi="Verdana" w:cs="Arial"/>
                <w:sz w:val="18"/>
                <w:szCs w:val="18"/>
              </w:rPr>
            </w:pPr>
            <w:r w:rsidRPr="00C6347A">
              <w:rPr>
                <w:rFonts w:ascii="Verdana" w:hAnsi="Verdana" w:eastAsia="Times New Roman" w:cs="Arial"/>
                <w:sz w:val="18"/>
                <w:szCs w:val="18"/>
                <w:lang w:val="es-CO"/>
              </w:rPr>
              <w:t>Desarrollo de veintinueve (29) talleres de prácticas ambientales centrados en temas como compensaciones ambientales, energías limpias, licenciamiento ambiental de proyectos del sector, hidroenergía sostenible, ordenamiento territorial y ambiental, prácticas minero-ambientales, realizados en Bogotá Riohacha, Montería, Barranquilla, Bucaramanga, Cartagena, Tuluá, Yopal, Restrepo, Mocoa, Guaduas, Montería, Quibdó, Sincelejo, La Jagua de Ibirico, Montelíbano, La Unión, Segovia, y Sabanalarga.</w:t>
            </w:r>
            <w:r w:rsidRPr="00C6347A">
              <w:rPr>
                <w:rFonts w:ascii="Verdana" w:hAnsi="Verdana" w:cs="Arial"/>
                <w:sz w:val="18"/>
                <w:szCs w:val="18"/>
              </w:rPr>
              <w:t xml:space="preserve"> </w:t>
            </w:r>
          </w:p>
          <w:p w:rsidRPr="00C6347A" w:rsidR="00C6347A" w:rsidRDefault="00C6347A" w14:paraId="339E1174" w14:textId="77777777">
            <w:pPr>
              <w:jc w:val="both"/>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C6347A">
              <w:rPr>
                <w:rFonts w:ascii="Verdana" w:hAnsi="Verdana" w:eastAsia="Times New Roman" w:cs="Arial"/>
                <w:sz w:val="18"/>
                <w:szCs w:val="18"/>
                <w:lang w:val="es-CO"/>
              </w:rPr>
              <w:t xml:space="preserve">Seis (6) espacios de construcción de orientaciones de implementación del Acuerdo de Escazú en el sector minero energético, realizados en Bogotá y Valledupar. </w:t>
            </w:r>
          </w:p>
          <w:p w:rsidRPr="00C6347A" w:rsidR="00C6347A" w:rsidRDefault="00C6347A" w14:paraId="52104BC2" w14:textId="77777777">
            <w:pPr>
              <w:jc w:val="both"/>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p>
          <w:p w:rsidRPr="00C6347A" w:rsidR="00C6347A" w:rsidRDefault="00C6347A" w14:paraId="5637294B" w14:textId="77777777">
            <w:pPr>
              <w:jc w:val="both"/>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C6347A">
              <w:rPr>
                <w:rFonts w:ascii="Verdana" w:hAnsi="Verdana" w:eastAsia="Times New Roman" w:cs="Arial"/>
                <w:sz w:val="18"/>
                <w:szCs w:val="18"/>
                <w:lang w:val="es-CO"/>
              </w:rPr>
              <w:t xml:space="preserve">Dos (2) espacios de construcción y realimentación del índice de gobernanza ambientales del sector minero energético realizados en Valledupar y Villavicencio. </w:t>
            </w:r>
          </w:p>
          <w:p w:rsidRPr="00C6347A" w:rsidR="00C6347A" w:rsidRDefault="00C6347A" w14:paraId="1D37F798" w14:textId="77777777">
            <w:pPr>
              <w:jc w:val="both"/>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p>
          <w:p w:rsidRPr="00C6347A" w:rsidR="00C6347A" w:rsidRDefault="00C6347A" w14:paraId="0722316D" w14:textId="77777777">
            <w:pPr>
              <w:jc w:val="both"/>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C6347A">
              <w:rPr>
                <w:rFonts w:ascii="Verdana" w:hAnsi="Verdana" w:eastAsia="Times New Roman" w:cs="Arial"/>
                <w:sz w:val="18"/>
                <w:szCs w:val="18"/>
                <w:lang w:val="es-CO"/>
              </w:rPr>
              <w:t xml:space="preserve">Cuatro (4) encuentros de construcción participativa y colaborativa del lineamiento de Política Pública de Afectados por Represas, con consejos comunitarios, asociaciones de pescadores, juntas de acción comunal, organizaciones indígenas y organizaciones ambientales. </w:t>
            </w:r>
          </w:p>
          <w:p w:rsidRPr="00C6347A" w:rsidR="00C6347A" w:rsidRDefault="00C6347A" w14:paraId="45CEE6B5" w14:textId="77777777">
            <w:pPr>
              <w:jc w:val="both"/>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p>
          <w:p w:rsidRPr="00C6347A" w:rsidR="00C6347A" w:rsidRDefault="00C6347A" w14:paraId="2D758BDE" w14:textId="77777777">
            <w:pPr>
              <w:jc w:val="both"/>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C6347A">
              <w:rPr>
                <w:rFonts w:ascii="Verdana" w:hAnsi="Verdana" w:eastAsia="Times New Roman" w:cs="Arial"/>
                <w:sz w:val="18"/>
                <w:szCs w:val="18"/>
                <w:lang w:val="es-CO"/>
              </w:rPr>
              <w:t>Realización de una (1) Audiencia Pública Territorial de Pasivos Ambientales en la cual se recogieron las voces de las comunidades a fin de aportar a la formulación de los lineamientos de la política pública para la gestión de pasivos ambientales. Bucaramanga.</w:t>
            </w:r>
          </w:p>
          <w:p w:rsidRPr="00C6347A" w:rsidR="00C6347A" w:rsidRDefault="00C6347A" w14:paraId="11837C86" w14:textId="77777777">
            <w:pPr>
              <w:jc w:val="both"/>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p>
          <w:p w:rsidRPr="00C6347A" w:rsidR="00C6347A" w:rsidRDefault="00C6347A" w14:paraId="7C4CCEFB" w14:textId="77777777">
            <w:pPr>
              <w:jc w:val="both"/>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C6347A">
              <w:rPr>
                <w:rFonts w:ascii="Verdana" w:hAnsi="Verdana" w:eastAsia="Times New Roman" w:cs="Arial"/>
                <w:sz w:val="18"/>
                <w:szCs w:val="18"/>
                <w:lang w:val="es-CO"/>
              </w:rPr>
              <w:t>Desarrollo de seis (6) diálogos vinculantes de actualización de las Guías Minero-Ambientales con participación de comunidades y autoridades territoriales, realizados en Medellín, Ubaté, Quibdó, Pasto, San Gil, Buga y Bogotá.</w:t>
            </w:r>
          </w:p>
          <w:p w:rsidRPr="00C6347A" w:rsidR="00C6347A" w:rsidRDefault="00C6347A" w14:paraId="29AD7D21" w14:textId="77777777">
            <w:pPr>
              <w:jc w:val="both"/>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p>
        </w:tc>
      </w:tr>
    </w:tbl>
    <w:p w:rsidR="00C6347A" w:rsidP="180099B3" w:rsidRDefault="2C07AD65" w14:paraId="22D5E243" w14:textId="77777777">
      <w:pPr>
        <w:spacing w:after="0" w:line="360" w:lineRule="auto"/>
        <w:jc w:val="center"/>
        <w:rPr>
          <w:rFonts w:ascii="Verdana" w:hAnsi="Verdana"/>
          <w:b/>
          <w:bCs/>
          <w:sz w:val="24"/>
          <w:szCs w:val="24"/>
        </w:rPr>
      </w:pPr>
      <w:r w:rsidRPr="180099B3">
        <w:rPr>
          <w:rFonts w:ascii="Verdana" w:hAnsi="Verdana"/>
          <w:sz w:val="18"/>
          <w:szCs w:val="18"/>
        </w:rPr>
        <w:t xml:space="preserve">Fuente: Oficina de Asuntos Ambientales y Sociales - OAAS </w:t>
      </w:r>
    </w:p>
    <w:p w:rsidR="00C6347A" w:rsidP="006A0A13" w:rsidRDefault="00C6347A" w14:paraId="0255F8CA" w14:textId="77777777">
      <w:pPr>
        <w:spacing w:after="0" w:line="360" w:lineRule="auto"/>
        <w:rPr>
          <w:rFonts w:ascii="Verdana" w:hAnsi="Verdana"/>
          <w:b/>
          <w:bCs/>
          <w:sz w:val="24"/>
          <w:szCs w:val="24"/>
        </w:rPr>
      </w:pPr>
    </w:p>
    <w:p w:rsidR="00C6347A" w:rsidP="006A0A13" w:rsidRDefault="1D500AF3" w14:paraId="373605B2" w14:textId="77777777">
      <w:pPr>
        <w:spacing w:after="0" w:line="360" w:lineRule="auto"/>
        <w:rPr>
          <w:rFonts w:ascii="Verdana" w:hAnsi="Verdana"/>
          <w:b/>
          <w:bCs/>
          <w:sz w:val="24"/>
          <w:szCs w:val="24"/>
        </w:rPr>
      </w:pPr>
      <w:r w:rsidRPr="0FF05B1B">
        <w:rPr>
          <w:rFonts w:ascii="Verdana" w:hAnsi="Verdana"/>
          <w:b/>
          <w:bCs/>
          <w:sz w:val="24"/>
          <w:szCs w:val="24"/>
        </w:rPr>
        <w:t>Gestión del Riesgo de Desastres</w:t>
      </w:r>
    </w:p>
    <w:p w:rsidR="0FF05B1B" w:rsidP="006A0A13" w:rsidRDefault="0FF05B1B" w14:paraId="0BF9EB15" w14:textId="6F567D49">
      <w:pPr>
        <w:spacing w:after="0" w:line="360" w:lineRule="auto"/>
        <w:jc w:val="both"/>
        <w:rPr>
          <w:rFonts w:ascii="Verdana" w:hAnsi="Verdana"/>
          <w:sz w:val="24"/>
          <w:szCs w:val="24"/>
        </w:rPr>
      </w:pPr>
    </w:p>
    <w:p w:rsidRPr="00C6347A" w:rsidR="00C6347A" w:rsidP="006A0A13" w:rsidRDefault="00C6347A" w14:paraId="2E854CDE" w14:textId="77777777">
      <w:pPr>
        <w:spacing w:after="0" w:line="360" w:lineRule="auto"/>
        <w:jc w:val="both"/>
        <w:rPr>
          <w:rFonts w:ascii="Verdana" w:hAnsi="Verdana"/>
          <w:sz w:val="24"/>
          <w:szCs w:val="24"/>
        </w:rPr>
      </w:pPr>
      <w:r w:rsidRPr="00C6347A">
        <w:rPr>
          <w:rFonts w:ascii="Verdana" w:hAnsi="Verdana"/>
          <w:sz w:val="24"/>
          <w:szCs w:val="24"/>
        </w:rPr>
        <w:t>Se fortaleció la gestión del riesgo en el sector minero-energético para mejorar la resiliencia territorial, la seguridad de infraestructura y la protección de comunidades.</w:t>
      </w:r>
    </w:p>
    <w:p w:rsidR="00C6347A" w:rsidP="006A0A13" w:rsidRDefault="00C6347A" w14:paraId="4AE2AAE7" w14:textId="77777777">
      <w:pPr>
        <w:spacing w:after="0" w:line="360" w:lineRule="auto"/>
        <w:jc w:val="both"/>
        <w:rPr>
          <w:rFonts w:ascii="Verdana" w:hAnsi="Verdana"/>
          <w:sz w:val="24"/>
          <w:szCs w:val="24"/>
        </w:rPr>
      </w:pPr>
    </w:p>
    <w:p w:rsidRPr="00C6347A" w:rsidR="00C6347A" w:rsidP="006A0A13" w:rsidRDefault="0671C53C" w14:paraId="009438C4" w14:textId="6BADC727">
      <w:pPr>
        <w:spacing w:after="0" w:line="360" w:lineRule="auto"/>
        <w:jc w:val="both"/>
        <w:rPr>
          <w:rFonts w:ascii="Verdana" w:hAnsi="Verdana"/>
          <w:sz w:val="24"/>
          <w:szCs w:val="24"/>
        </w:rPr>
      </w:pPr>
      <w:r w:rsidRPr="0FF05B1B">
        <w:rPr>
          <w:rFonts w:ascii="Verdana" w:hAnsi="Verdana"/>
          <w:sz w:val="24"/>
          <w:szCs w:val="24"/>
        </w:rPr>
        <w:t>Hito 1. Sistema de Seguimiento</w:t>
      </w:r>
      <w:r w:rsidRPr="0FF05B1B" w:rsidR="25A74516">
        <w:rPr>
          <w:rFonts w:ascii="Verdana" w:hAnsi="Verdana"/>
          <w:sz w:val="24"/>
          <w:szCs w:val="24"/>
        </w:rPr>
        <w:t xml:space="preserve">: </w:t>
      </w:r>
      <w:r w:rsidRPr="0FF05B1B">
        <w:rPr>
          <w:rFonts w:ascii="Verdana" w:hAnsi="Verdana"/>
          <w:sz w:val="24"/>
          <w:szCs w:val="24"/>
        </w:rPr>
        <w:t>Se implementaron herramientas como PDNA (por sus siglas en inglés, Evaluación de necesidades de recuperación post desastre), tableros de control y micrositios.</w:t>
      </w:r>
    </w:p>
    <w:p w:rsidR="00C6347A" w:rsidP="006A0A13" w:rsidRDefault="00C6347A" w14:paraId="51525DF1" w14:textId="77777777">
      <w:pPr>
        <w:spacing w:after="0" w:line="360" w:lineRule="auto"/>
        <w:jc w:val="both"/>
        <w:rPr>
          <w:rFonts w:ascii="Verdana" w:hAnsi="Verdana"/>
          <w:sz w:val="24"/>
          <w:szCs w:val="24"/>
        </w:rPr>
      </w:pPr>
    </w:p>
    <w:p w:rsidRPr="00C6347A" w:rsidR="00C6347A" w:rsidP="006A0A13" w:rsidRDefault="0671C53C" w14:paraId="4B5C7F8B" w14:textId="46714992">
      <w:pPr>
        <w:spacing w:after="0" w:line="360" w:lineRule="auto"/>
        <w:jc w:val="both"/>
        <w:rPr>
          <w:rFonts w:ascii="Verdana" w:hAnsi="Verdana"/>
          <w:sz w:val="24"/>
          <w:szCs w:val="24"/>
        </w:rPr>
      </w:pPr>
      <w:r w:rsidRPr="0FF05B1B">
        <w:rPr>
          <w:rFonts w:ascii="Verdana" w:hAnsi="Verdana"/>
          <w:sz w:val="24"/>
          <w:szCs w:val="24"/>
        </w:rPr>
        <w:t>Hito 2. Infraestructura Crítica</w:t>
      </w:r>
      <w:r w:rsidRPr="0FF05B1B" w:rsidR="046996CE">
        <w:rPr>
          <w:rFonts w:ascii="Verdana" w:hAnsi="Verdana"/>
          <w:sz w:val="24"/>
          <w:szCs w:val="24"/>
        </w:rPr>
        <w:t xml:space="preserve">: </w:t>
      </w:r>
      <w:r w:rsidRPr="0FF05B1B">
        <w:rPr>
          <w:rFonts w:ascii="Verdana" w:hAnsi="Verdana"/>
          <w:sz w:val="24"/>
          <w:szCs w:val="24"/>
        </w:rPr>
        <w:t>Se realizaron estudios técnicos en la Hidroeléctrica Ituango.</w:t>
      </w:r>
    </w:p>
    <w:p w:rsidR="00C6347A" w:rsidP="006A0A13" w:rsidRDefault="00C6347A" w14:paraId="3695CABE" w14:textId="77777777">
      <w:pPr>
        <w:spacing w:after="0" w:line="360" w:lineRule="auto"/>
        <w:jc w:val="both"/>
        <w:rPr>
          <w:rFonts w:ascii="Verdana" w:hAnsi="Verdana"/>
          <w:sz w:val="24"/>
          <w:szCs w:val="24"/>
        </w:rPr>
      </w:pPr>
    </w:p>
    <w:p w:rsidRPr="00C6347A" w:rsidR="00C6347A" w:rsidP="006A0A13" w:rsidRDefault="0671C53C" w14:paraId="41F80105" w14:textId="41898003">
      <w:pPr>
        <w:spacing w:after="0" w:line="360" w:lineRule="auto"/>
        <w:jc w:val="both"/>
        <w:rPr>
          <w:rFonts w:ascii="Verdana" w:hAnsi="Verdana"/>
          <w:sz w:val="24"/>
          <w:szCs w:val="24"/>
        </w:rPr>
      </w:pPr>
      <w:r w:rsidRPr="0FF05B1B">
        <w:rPr>
          <w:rFonts w:ascii="Verdana" w:hAnsi="Verdana"/>
          <w:sz w:val="24"/>
          <w:szCs w:val="24"/>
        </w:rPr>
        <w:t>Hito 3. Gestión Territorial del Riesgo</w:t>
      </w:r>
      <w:r w:rsidRPr="0FF05B1B" w:rsidR="609733C4">
        <w:rPr>
          <w:rFonts w:ascii="Verdana" w:hAnsi="Verdana"/>
          <w:sz w:val="24"/>
          <w:szCs w:val="24"/>
        </w:rPr>
        <w:t xml:space="preserve">: </w:t>
      </w:r>
      <w:r w:rsidRPr="0FF05B1B">
        <w:rPr>
          <w:rFonts w:ascii="Verdana" w:hAnsi="Verdana"/>
          <w:sz w:val="24"/>
          <w:szCs w:val="24"/>
        </w:rPr>
        <w:t>Se desarrollaron diagnósticos en Nariño y el Oleoducto Transandino.</w:t>
      </w:r>
    </w:p>
    <w:p w:rsidR="00C6347A" w:rsidP="006A0A13" w:rsidRDefault="00C6347A" w14:paraId="624BF06F" w14:textId="77777777">
      <w:pPr>
        <w:spacing w:after="0" w:line="360" w:lineRule="auto"/>
        <w:jc w:val="both"/>
        <w:rPr>
          <w:rFonts w:ascii="Verdana" w:hAnsi="Verdana"/>
          <w:sz w:val="24"/>
          <w:szCs w:val="24"/>
        </w:rPr>
      </w:pPr>
    </w:p>
    <w:p w:rsidRPr="00C6347A" w:rsidR="00C6347A" w:rsidP="006A0A13" w:rsidRDefault="0671C53C" w14:paraId="2716E9DB" w14:textId="70792684">
      <w:pPr>
        <w:spacing w:after="0" w:line="360" w:lineRule="auto"/>
        <w:jc w:val="both"/>
        <w:rPr>
          <w:rFonts w:ascii="Verdana" w:hAnsi="Verdana"/>
          <w:sz w:val="24"/>
          <w:szCs w:val="24"/>
        </w:rPr>
      </w:pPr>
      <w:r w:rsidRPr="0FF05B1B">
        <w:rPr>
          <w:rFonts w:ascii="Verdana" w:hAnsi="Verdana"/>
          <w:sz w:val="24"/>
          <w:szCs w:val="24"/>
        </w:rPr>
        <w:t>Hito 4. Análisis Multiamenaza</w:t>
      </w:r>
      <w:r w:rsidRPr="0FF05B1B" w:rsidR="26DE1159">
        <w:rPr>
          <w:rFonts w:ascii="Verdana" w:hAnsi="Verdana"/>
          <w:sz w:val="24"/>
          <w:szCs w:val="24"/>
        </w:rPr>
        <w:t xml:space="preserve">: </w:t>
      </w:r>
      <w:r w:rsidRPr="0FF05B1B">
        <w:rPr>
          <w:rFonts w:ascii="Verdana" w:hAnsi="Verdana"/>
          <w:sz w:val="24"/>
          <w:szCs w:val="24"/>
        </w:rPr>
        <w:t>Se construyó un modelo geoespacial nacional para identificar zonas críticas.</w:t>
      </w:r>
    </w:p>
    <w:p w:rsidR="00C6347A" w:rsidP="006A0A13" w:rsidRDefault="00C6347A" w14:paraId="35164C0E" w14:textId="77777777">
      <w:pPr>
        <w:spacing w:after="0" w:line="360" w:lineRule="auto"/>
        <w:jc w:val="both"/>
        <w:rPr>
          <w:rFonts w:ascii="Verdana" w:hAnsi="Verdana"/>
          <w:sz w:val="24"/>
          <w:szCs w:val="24"/>
        </w:rPr>
      </w:pPr>
    </w:p>
    <w:p w:rsidRPr="00C6347A" w:rsidR="00C6347A" w:rsidP="006A0A13" w:rsidRDefault="0671C53C" w14:paraId="7BDAFD4C" w14:textId="4A11D280">
      <w:pPr>
        <w:spacing w:after="0" w:line="360" w:lineRule="auto"/>
        <w:jc w:val="both"/>
        <w:rPr>
          <w:rFonts w:ascii="Verdana" w:hAnsi="Verdana"/>
          <w:sz w:val="24"/>
          <w:szCs w:val="24"/>
        </w:rPr>
      </w:pPr>
      <w:r w:rsidRPr="0FF05B1B">
        <w:rPr>
          <w:rFonts w:ascii="Verdana" w:hAnsi="Verdana"/>
          <w:sz w:val="24"/>
          <w:szCs w:val="24"/>
        </w:rPr>
        <w:t>Hito 5. Gestión Comunitaria</w:t>
      </w:r>
      <w:r w:rsidRPr="0FF05B1B" w:rsidR="5090CD09">
        <w:rPr>
          <w:rFonts w:ascii="Verdana" w:hAnsi="Verdana"/>
          <w:sz w:val="24"/>
          <w:szCs w:val="24"/>
        </w:rPr>
        <w:t xml:space="preserve">: </w:t>
      </w:r>
      <w:r w:rsidRPr="0FF05B1B">
        <w:rPr>
          <w:rFonts w:ascii="Verdana" w:hAnsi="Verdana"/>
          <w:sz w:val="24"/>
          <w:szCs w:val="24"/>
        </w:rPr>
        <w:t>Se implementaron sistemas de alerta temprana en Marmato.</w:t>
      </w:r>
    </w:p>
    <w:p w:rsidR="00C6347A" w:rsidP="006A0A13" w:rsidRDefault="00C6347A" w14:paraId="1B3451D6" w14:textId="77777777">
      <w:pPr>
        <w:spacing w:after="0" w:line="360" w:lineRule="auto"/>
        <w:jc w:val="both"/>
        <w:rPr>
          <w:rFonts w:ascii="Verdana" w:hAnsi="Verdana"/>
          <w:sz w:val="24"/>
          <w:szCs w:val="24"/>
        </w:rPr>
      </w:pPr>
    </w:p>
    <w:p w:rsidRPr="00C6347A" w:rsidR="00C6347A" w:rsidP="006A0A13" w:rsidRDefault="0671C53C" w14:paraId="0A3DE29B" w14:textId="41CB1AEF">
      <w:pPr>
        <w:spacing w:after="0" w:line="360" w:lineRule="auto"/>
        <w:jc w:val="both"/>
        <w:rPr>
          <w:rFonts w:ascii="Verdana" w:hAnsi="Verdana"/>
          <w:sz w:val="24"/>
          <w:szCs w:val="24"/>
        </w:rPr>
      </w:pPr>
      <w:r w:rsidRPr="0FF05B1B">
        <w:rPr>
          <w:rFonts w:ascii="Verdana" w:hAnsi="Verdana"/>
          <w:sz w:val="24"/>
          <w:szCs w:val="24"/>
        </w:rPr>
        <w:t>Hito 6. Gobernanza Normativa</w:t>
      </w:r>
      <w:r w:rsidRPr="0FF05B1B" w:rsidR="109AFC60">
        <w:rPr>
          <w:rFonts w:ascii="Verdana" w:hAnsi="Verdana"/>
          <w:sz w:val="24"/>
          <w:szCs w:val="24"/>
        </w:rPr>
        <w:t xml:space="preserve">: </w:t>
      </w:r>
      <w:r w:rsidRPr="0FF05B1B">
        <w:rPr>
          <w:rFonts w:ascii="Verdana" w:hAnsi="Verdana"/>
          <w:sz w:val="24"/>
          <w:szCs w:val="24"/>
        </w:rPr>
        <w:t>Se evaluó el Decreto 2157 de 2017 y su implementación.</w:t>
      </w:r>
    </w:p>
    <w:p w:rsidR="00C6347A" w:rsidP="006A0A13" w:rsidRDefault="00C6347A" w14:paraId="032B0D09" w14:textId="77777777">
      <w:pPr>
        <w:spacing w:after="0" w:line="360" w:lineRule="auto"/>
        <w:jc w:val="both"/>
        <w:rPr>
          <w:rFonts w:ascii="Verdana" w:hAnsi="Verdana"/>
          <w:sz w:val="24"/>
          <w:szCs w:val="24"/>
        </w:rPr>
      </w:pPr>
    </w:p>
    <w:p w:rsidRPr="00C6347A" w:rsidR="00C6347A" w:rsidP="006A0A13" w:rsidRDefault="0671C53C" w14:paraId="7A950309" w14:textId="7EB8C542">
      <w:pPr>
        <w:spacing w:after="0" w:line="360" w:lineRule="auto"/>
        <w:jc w:val="both"/>
        <w:rPr>
          <w:rFonts w:ascii="Verdana" w:hAnsi="Verdana"/>
          <w:sz w:val="24"/>
          <w:szCs w:val="24"/>
        </w:rPr>
      </w:pPr>
      <w:r w:rsidRPr="0FF05B1B">
        <w:rPr>
          <w:rFonts w:ascii="Verdana" w:hAnsi="Verdana"/>
          <w:sz w:val="24"/>
          <w:szCs w:val="24"/>
        </w:rPr>
        <w:t>Hito 7. Riesgo Tecnológico</w:t>
      </w:r>
      <w:r w:rsidRPr="0FF05B1B" w:rsidR="6480DBD5">
        <w:rPr>
          <w:rFonts w:ascii="Verdana" w:hAnsi="Verdana"/>
          <w:sz w:val="24"/>
          <w:szCs w:val="24"/>
        </w:rPr>
        <w:t xml:space="preserve">: </w:t>
      </w:r>
      <w:r w:rsidRPr="0FF05B1B">
        <w:rPr>
          <w:rFonts w:ascii="Verdana" w:hAnsi="Verdana"/>
          <w:sz w:val="24"/>
          <w:szCs w:val="24"/>
        </w:rPr>
        <w:t>Se integró el riesgo NATECH (Un riesgo Natech “Natural Hazard Triggering Technological Disasters” es un accidente industrial o tecnológico provocado directamente por un desastre natural) en el ordenamiento territorial.</w:t>
      </w:r>
    </w:p>
    <w:p w:rsidR="00C6347A" w:rsidP="006A0A13" w:rsidRDefault="00C6347A" w14:paraId="41A26FB9" w14:textId="77777777">
      <w:pPr>
        <w:spacing w:after="0" w:line="360" w:lineRule="auto"/>
        <w:jc w:val="both"/>
        <w:rPr>
          <w:rFonts w:ascii="Verdana" w:hAnsi="Verdana"/>
          <w:sz w:val="24"/>
          <w:szCs w:val="24"/>
        </w:rPr>
      </w:pPr>
    </w:p>
    <w:p w:rsidRPr="00C6347A" w:rsidR="00C6347A" w:rsidP="006A0A13" w:rsidRDefault="00C6347A" w14:paraId="0FA4E500" w14:textId="77777777">
      <w:pPr>
        <w:spacing w:after="0" w:line="360" w:lineRule="auto"/>
        <w:jc w:val="both"/>
        <w:rPr>
          <w:rFonts w:ascii="Verdana" w:hAnsi="Verdana"/>
          <w:sz w:val="24"/>
          <w:szCs w:val="24"/>
        </w:rPr>
      </w:pPr>
      <w:r w:rsidRPr="00C6347A">
        <w:rPr>
          <w:rFonts w:ascii="Verdana" w:hAnsi="Verdana"/>
          <w:sz w:val="24"/>
          <w:szCs w:val="24"/>
        </w:rPr>
        <w:t xml:space="preserve">Entre 2022 y 2026, el Ministerio de Minas y Energía fortaleció la implementación de la Política de Gestión del Riesgo de Desastres en el </w:t>
      </w:r>
      <w:r w:rsidRPr="00C6347A">
        <w:rPr>
          <w:rFonts w:ascii="Verdana" w:hAnsi="Verdana"/>
          <w:sz w:val="24"/>
          <w:szCs w:val="24"/>
        </w:rPr>
        <w:t>sector minero energético, mejorando instrumentos técnicos, capacidades institucionales y articulación intersectorial. Aunque persisten desafíos en seguimiento, información y coordinación territorial, se consolidaron bases sólidas para su continuidad, orientadas a una mejor toma de decisiones, protección de la vida e infraestructura estratégica y mayor resiliencia del sector.</w:t>
      </w:r>
    </w:p>
    <w:p w:rsidRPr="00C6347A" w:rsidR="00C6347A" w:rsidP="006A0A13" w:rsidRDefault="00C6347A" w14:paraId="43F1EDD8" w14:textId="77777777">
      <w:pPr>
        <w:spacing w:after="0" w:line="360" w:lineRule="auto"/>
        <w:jc w:val="both"/>
        <w:rPr>
          <w:rFonts w:ascii="Verdana" w:hAnsi="Verdana" w:eastAsia="Verdana" w:cs="Arial"/>
          <w:sz w:val="18"/>
          <w:szCs w:val="18"/>
        </w:rPr>
      </w:pPr>
    </w:p>
    <w:p w:rsidRPr="00C6347A" w:rsidR="00C6347A" w:rsidP="00C6347A" w:rsidRDefault="0803A397" w14:paraId="333E3DD4" w14:textId="77777777">
      <w:pPr>
        <w:spacing w:after="0" w:line="240" w:lineRule="auto"/>
        <w:jc w:val="center"/>
        <w:rPr>
          <w:rFonts w:ascii="Verdana" w:hAnsi="Verdana" w:cs="Arial"/>
          <w:sz w:val="18"/>
          <w:szCs w:val="18"/>
        </w:rPr>
      </w:pPr>
      <w:r w:rsidRPr="180099B3">
        <w:rPr>
          <w:rFonts w:ascii="Verdana" w:hAnsi="Verdana" w:eastAsia="Verdana" w:cs="Arial"/>
          <w:sz w:val="18"/>
          <w:szCs w:val="18"/>
        </w:rPr>
        <w:t xml:space="preserve">Tabla No. </w:t>
      </w:r>
      <w:r w:rsidRPr="180099B3" w:rsidR="068FD04D">
        <w:rPr>
          <w:rFonts w:ascii="Verdana" w:hAnsi="Verdana" w:eastAsia="Verdana" w:cs="Arial"/>
          <w:sz w:val="18"/>
          <w:szCs w:val="18"/>
        </w:rPr>
        <w:t>70</w:t>
      </w:r>
      <w:r w:rsidRPr="180099B3">
        <w:rPr>
          <w:rFonts w:ascii="Verdana" w:hAnsi="Verdana" w:eastAsia="Verdana" w:cs="Arial"/>
          <w:sz w:val="18"/>
          <w:szCs w:val="18"/>
        </w:rPr>
        <w:t>. Gestión de Riesgos</w:t>
      </w:r>
    </w:p>
    <w:tbl>
      <w:tblPr>
        <w:tblStyle w:val="Tablaconcuadrcula4-nfasis6"/>
        <w:tblW w:w="5000" w:type="pct"/>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Look w:val="04A0" w:firstRow="1" w:lastRow="0" w:firstColumn="1" w:lastColumn="0" w:noHBand="0" w:noVBand="1"/>
      </w:tblPr>
      <w:tblGrid>
        <w:gridCol w:w="1999"/>
        <w:gridCol w:w="1531"/>
        <w:gridCol w:w="1647"/>
        <w:gridCol w:w="3651"/>
      </w:tblGrid>
      <w:tr w:rsidRPr="00C6347A" w:rsidR="00C6347A" w:rsidTr="180099B3" w14:paraId="4ADFB55B"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2" w:type="pct"/>
            <w:tcBorders>
              <w:top w:val="none" w:color="auto" w:sz="0" w:space="0"/>
              <w:left w:val="none" w:color="auto" w:sz="0" w:space="0"/>
              <w:bottom w:val="none" w:color="auto" w:sz="0" w:space="0"/>
              <w:right w:val="none" w:color="auto" w:sz="0" w:space="0"/>
            </w:tcBorders>
            <w:shd w:val="clear" w:color="auto" w:fill="A6A6A6" w:themeFill="background1" w:themeFillShade="A6"/>
            <w:vAlign w:val="center"/>
            <w:hideMark/>
          </w:tcPr>
          <w:p w:rsidRPr="00C6347A" w:rsidR="00C6347A" w:rsidP="00C6347A" w:rsidRDefault="00C6347A" w14:paraId="75D6B6FE" w14:textId="77777777">
            <w:pPr>
              <w:jc w:val="center"/>
              <w:rPr>
                <w:rFonts w:ascii="Verdana" w:hAnsi="Verdana" w:eastAsia="Times New Roman" w:cs="Arial"/>
                <w:b w:val="0"/>
                <w:bCs w:val="0"/>
                <w:color w:val="auto"/>
                <w:sz w:val="18"/>
                <w:szCs w:val="18"/>
                <w:lang w:val="es-CO"/>
              </w:rPr>
            </w:pPr>
            <w:r w:rsidRPr="00C6347A">
              <w:rPr>
                <w:rFonts w:ascii="Verdana" w:hAnsi="Verdana" w:eastAsia="Times New Roman" w:cs="Arial"/>
                <w:color w:val="auto"/>
                <w:sz w:val="18"/>
                <w:szCs w:val="18"/>
                <w:lang w:val="es-CO"/>
              </w:rPr>
              <w:t>Frente / subsector</w:t>
            </w:r>
          </w:p>
        </w:tc>
        <w:tc>
          <w:tcPr>
            <w:tcW w:w="867" w:type="pct"/>
            <w:tcBorders>
              <w:top w:val="none" w:color="auto" w:sz="0" w:space="0"/>
              <w:left w:val="none" w:color="auto" w:sz="0" w:space="0"/>
              <w:bottom w:val="none" w:color="auto" w:sz="0" w:space="0"/>
              <w:right w:val="none" w:color="auto" w:sz="0" w:space="0"/>
            </w:tcBorders>
            <w:shd w:val="clear" w:color="auto" w:fill="A6A6A6" w:themeFill="background1" w:themeFillShade="A6"/>
            <w:vAlign w:val="center"/>
            <w:hideMark/>
          </w:tcPr>
          <w:p w:rsidRPr="00C6347A" w:rsidR="00C6347A" w:rsidP="00C6347A" w:rsidRDefault="00C6347A" w14:paraId="49372B54" w14:textId="77777777">
            <w:pPr>
              <w:jc w:val="center"/>
              <w:cnfStyle w:val="100000000000" w:firstRow="1" w:lastRow="0" w:firstColumn="0" w:lastColumn="0" w:oddVBand="0" w:evenVBand="0" w:oddHBand="0" w:evenHBand="0" w:firstRowFirstColumn="0" w:firstRowLastColumn="0" w:lastRowFirstColumn="0" w:lastRowLastColumn="0"/>
              <w:rPr>
                <w:rFonts w:ascii="Verdana" w:hAnsi="Verdana" w:eastAsia="Times New Roman" w:cs="Arial"/>
                <w:b w:val="0"/>
                <w:bCs w:val="0"/>
                <w:color w:val="auto"/>
                <w:sz w:val="18"/>
                <w:szCs w:val="18"/>
                <w:lang w:val="es-CO"/>
              </w:rPr>
            </w:pPr>
            <w:r w:rsidRPr="00C6347A">
              <w:rPr>
                <w:rFonts w:ascii="Verdana" w:hAnsi="Verdana" w:eastAsia="Times New Roman" w:cs="Arial"/>
                <w:color w:val="auto"/>
                <w:sz w:val="18"/>
                <w:szCs w:val="18"/>
                <w:lang w:val="es-CO"/>
              </w:rPr>
              <w:t>Cantidad de espacios</w:t>
            </w:r>
          </w:p>
        </w:tc>
        <w:tc>
          <w:tcPr>
            <w:tcW w:w="933" w:type="pct"/>
            <w:tcBorders>
              <w:top w:val="none" w:color="auto" w:sz="0" w:space="0"/>
              <w:left w:val="none" w:color="auto" w:sz="0" w:space="0"/>
              <w:bottom w:val="none" w:color="auto" w:sz="0" w:space="0"/>
              <w:right w:val="none" w:color="auto" w:sz="0" w:space="0"/>
            </w:tcBorders>
            <w:shd w:val="clear" w:color="auto" w:fill="A6A6A6" w:themeFill="background1" w:themeFillShade="A6"/>
            <w:vAlign w:val="center"/>
            <w:hideMark/>
          </w:tcPr>
          <w:p w:rsidRPr="00C6347A" w:rsidR="00C6347A" w:rsidP="00C6347A" w:rsidRDefault="00C6347A" w14:paraId="6486157F" w14:textId="77777777">
            <w:pPr>
              <w:jc w:val="center"/>
              <w:cnfStyle w:val="100000000000" w:firstRow="1" w:lastRow="0" w:firstColumn="0" w:lastColumn="0" w:oddVBand="0" w:evenVBand="0" w:oddHBand="0" w:evenHBand="0" w:firstRowFirstColumn="0" w:firstRowLastColumn="0" w:lastRowFirstColumn="0" w:lastRowLastColumn="0"/>
              <w:rPr>
                <w:rFonts w:ascii="Verdana" w:hAnsi="Verdana" w:eastAsia="Times New Roman" w:cs="Arial"/>
                <w:b w:val="0"/>
                <w:bCs w:val="0"/>
                <w:color w:val="auto"/>
                <w:sz w:val="18"/>
                <w:szCs w:val="18"/>
                <w:lang w:val="es-CO"/>
              </w:rPr>
            </w:pPr>
            <w:r w:rsidRPr="00C6347A">
              <w:rPr>
                <w:rFonts w:ascii="Verdana" w:hAnsi="Verdana" w:eastAsia="Times New Roman" w:cs="Arial"/>
                <w:color w:val="auto"/>
                <w:sz w:val="18"/>
                <w:szCs w:val="18"/>
                <w:lang w:val="es-CO"/>
              </w:rPr>
              <w:t>Participantes reportados</w:t>
            </w:r>
          </w:p>
        </w:tc>
        <w:tc>
          <w:tcPr>
            <w:tcW w:w="2068" w:type="pct"/>
            <w:tcBorders>
              <w:top w:val="none" w:color="auto" w:sz="0" w:space="0"/>
              <w:left w:val="none" w:color="auto" w:sz="0" w:space="0"/>
              <w:bottom w:val="none" w:color="auto" w:sz="0" w:space="0"/>
              <w:right w:val="none" w:color="auto" w:sz="0" w:space="0"/>
            </w:tcBorders>
            <w:shd w:val="clear" w:color="auto" w:fill="A6A6A6" w:themeFill="background1" w:themeFillShade="A6"/>
            <w:vAlign w:val="center"/>
            <w:hideMark/>
          </w:tcPr>
          <w:p w:rsidRPr="00C6347A" w:rsidR="00C6347A" w:rsidP="00C6347A" w:rsidRDefault="00C6347A" w14:paraId="06F39D21" w14:textId="77777777">
            <w:pPr>
              <w:jc w:val="center"/>
              <w:cnfStyle w:val="100000000000" w:firstRow="1" w:lastRow="0" w:firstColumn="0" w:lastColumn="0" w:oddVBand="0" w:evenVBand="0" w:oddHBand="0" w:evenHBand="0" w:firstRowFirstColumn="0" w:firstRowLastColumn="0" w:lastRowFirstColumn="0" w:lastRowLastColumn="0"/>
              <w:rPr>
                <w:rFonts w:ascii="Verdana" w:hAnsi="Verdana" w:eastAsia="Times New Roman" w:cs="Arial"/>
                <w:b w:val="0"/>
                <w:bCs w:val="0"/>
                <w:color w:val="auto"/>
                <w:sz w:val="18"/>
                <w:szCs w:val="18"/>
                <w:lang w:val="es-CO"/>
              </w:rPr>
            </w:pPr>
            <w:r w:rsidRPr="00C6347A">
              <w:rPr>
                <w:rFonts w:ascii="Verdana" w:hAnsi="Verdana" w:eastAsia="Times New Roman" w:cs="Arial"/>
                <w:color w:val="auto"/>
                <w:sz w:val="18"/>
                <w:szCs w:val="18"/>
                <w:lang w:val="es-CO"/>
              </w:rPr>
              <w:t>Contexto</w:t>
            </w:r>
          </w:p>
        </w:tc>
      </w:tr>
      <w:tr w:rsidRPr="00C6347A" w:rsidR="00C6347A" w:rsidTr="180099B3" w14:paraId="46A460D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2" w:type="pct"/>
            <w:shd w:val="clear" w:color="auto" w:fill="FFFFFF" w:themeFill="background1"/>
            <w:hideMark/>
          </w:tcPr>
          <w:p w:rsidRPr="00C6347A" w:rsidR="00C6347A" w:rsidP="00C6347A" w:rsidRDefault="00C6347A" w14:paraId="033D5102" w14:textId="77777777">
            <w:pPr>
              <w:jc w:val="both"/>
              <w:rPr>
                <w:rFonts w:ascii="Verdana" w:hAnsi="Verdana" w:eastAsia="Times New Roman" w:cs="Arial"/>
                <w:sz w:val="18"/>
                <w:szCs w:val="18"/>
                <w:lang w:val="es-CO"/>
              </w:rPr>
            </w:pPr>
            <w:r w:rsidRPr="00C6347A">
              <w:rPr>
                <w:rFonts w:ascii="Verdana" w:hAnsi="Verdana" w:eastAsia="Times New Roman" w:cs="Arial"/>
                <w:sz w:val="18"/>
                <w:szCs w:val="18"/>
                <w:lang w:val="es-CO"/>
              </w:rPr>
              <w:t>Gestión del Riesgo de Desastres / GRD</w:t>
            </w:r>
          </w:p>
        </w:tc>
        <w:tc>
          <w:tcPr>
            <w:tcW w:w="867" w:type="pct"/>
            <w:shd w:val="clear" w:color="auto" w:fill="FFFFFF" w:themeFill="background1"/>
            <w:hideMark/>
          </w:tcPr>
          <w:p w:rsidRPr="00C6347A" w:rsidR="00C6347A" w:rsidP="00C6347A" w:rsidRDefault="00C6347A" w14:paraId="6259713F" w14:textId="77777777">
            <w:pPr>
              <w:jc w:val="center"/>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C6347A">
              <w:rPr>
                <w:rFonts w:ascii="Verdana" w:hAnsi="Verdana" w:eastAsia="Times New Roman" w:cs="Arial"/>
                <w:b/>
                <w:bCs/>
                <w:sz w:val="18"/>
                <w:szCs w:val="18"/>
                <w:lang w:val="es-CO"/>
              </w:rPr>
              <w:t>9</w:t>
            </w:r>
          </w:p>
        </w:tc>
        <w:tc>
          <w:tcPr>
            <w:tcW w:w="933" w:type="pct"/>
            <w:shd w:val="clear" w:color="auto" w:fill="FFFFFF" w:themeFill="background1"/>
            <w:hideMark/>
          </w:tcPr>
          <w:p w:rsidRPr="00C6347A" w:rsidR="00C6347A" w:rsidP="00C6347A" w:rsidRDefault="00C6347A" w14:paraId="1C5A6E95" w14:textId="77777777">
            <w:pPr>
              <w:jc w:val="center"/>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C6347A">
              <w:rPr>
                <w:rFonts w:ascii="Verdana" w:hAnsi="Verdana" w:eastAsia="Times New Roman" w:cs="Arial"/>
                <w:b/>
                <w:bCs/>
                <w:sz w:val="18"/>
                <w:szCs w:val="18"/>
                <w:lang w:val="es-CO"/>
              </w:rPr>
              <w:t>330</w:t>
            </w:r>
          </w:p>
        </w:tc>
        <w:tc>
          <w:tcPr>
            <w:tcW w:w="2068" w:type="pct"/>
            <w:shd w:val="clear" w:color="auto" w:fill="FFFFFF" w:themeFill="background1"/>
            <w:hideMark/>
          </w:tcPr>
          <w:p w:rsidRPr="00C6347A" w:rsidR="00C6347A" w:rsidP="00C6347A" w:rsidRDefault="00C6347A" w14:paraId="54511BCD" w14:textId="77777777">
            <w:pPr>
              <w:jc w:val="both"/>
              <w:cnfStyle w:val="000000100000" w:firstRow="0" w:lastRow="0" w:firstColumn="0" w:lastColumn="0" w:oddVBand="0" w:evenVBand="0" w:oddHBand="1" w:evenHBand="0" w:firstRowFirstColumn="0" w:firstRowLastColumn="0" w:lastRowFirstColumn="0" w:lastRowLastColumn="0"/>
              <w:rPr>
                <w:rFonts w:ascii="Verdana" w:hAnsi="Verdana" w:eastAsia="Times New Roman" w:cs="Arial"/>
                <w:sz w:val="18"/>
                <w:szCs w:val="18"/>
                <w:lang w:val="es-CO"/>
              </w:rPr>
            </w:pPr>
            <w:r w:rsidRPr="00C6347A">
              <w:rPr>
                <w:rFonts w:ascii="Verdana" w:hAnsi="Verdana" w:eastAsia="Times New Roman" w:cs="Arial"/>
                <w:sz w:val="18"/>
                <w:szCs w:val="18"/>
                <w:lang w:val="es-CO"/>
              </w:rPr>
              <w:t>Es el frente con mayor actividad. Combina mesas nacionales, espacios regionales y diálogos territoriales enfocados en prevención, coordinación institucional, seguimiento a emergencias, riesgos tecnológicos, simulacros nacionales y compromisos comunitarios como el caso de los biodigestores en Páez, Boyacá.</w:t>
            </w:r>
          </w:p>
        </w:tc>
      </w:tr>
    </w:tbl>
    <w:p w:rsidRPr="00C66231" w:rsidR="005D4836" w:rsidP="180099B3" w:rsidRDefault="398968EF" w14:paraId="2B24CC83" w14:textId="77777777">
      <w:pPr>
        <w:jc w:val="center"/>
        <w:rPr>
          <w:rFonts w:ascii="Verdana" w:hAnsi="Verdana"/>
          <w:sz w:val="18"/>
          <w:szCs w:val="18"/>
        </w:rPr>
      </w:pPr>
      <w:r w:rsidRPr="180099B3">
        <w:rPr>
          <w:rFonts w:ascii="Verdana" w:hAnsi="Verdana"/>
          <w:sz w:val="18"/>
          <w:szCs w:val="18"/>
        </w:rPr>
        <w:t>Fuente: Oficina de Asuntos Ambientales y Sociales – OAAS</w:t>
      </w:r>
    </w:p>
    <w:p w:rsidR="180099B3" w:rsidP="006A0A13" w:rsidRDefault="180099B3" w14:paraId="3DC68958" w14:textId="77777777">
      <w:pPr>
        <w:spacing w:after="0" w:line="360" w:lineRule="auto"/>
        <w:jc w:val="center"/>
        <w:rPr>
          <w:rFonts w:ascii="Verdana" w:hAnsi="Verdana"/>
          <w:sz w:val="18"/>
          <w:szCs w:val="18"/>
        </w:rPr>
      </w:pPr>
    </w:p>
    <w:p w:rsidR="00A82055" w:rsidRDefault="00A82055" w14:paraId="048FC0F3" w14:textId="77777777">
      <w:pPr>
        <w:pStyle w:val="Prrafodelista"/>
        <w:numPr>
          <w:ilvl w:val="0"/>
          <w:numId w:val="42"/>
        </w:numPr>
        <w:spacing w:after="0" w:line="360" w:lineRule="auto"/>
        <w:outlineLvl w:val="0"/>
        <w:rPr>
          <w:rFonts w:ascii="Verdana" w:hAnsi="Verdana"/>
          <w:b/>
          <w:bCs/>
          <w:sz w:val="24"/>
          <w:szCs w:val="24"/>
        </w:rPr>
      </w:pPr>
      <w:bookmarkStart w:name="_Toc233996744" w:id="27"/>
      <w:r w:rsidRPr="00C140A0">
        <w:rPr>
          <w:rFonts w:ascii="Verdana" w:hAnsi="Verdana"/>
          <w:b/>
          <w:bCs/>
          <w:sz w:val="24"/>
          <w:szCs w:val="24"/>
        </w:rPr>
        <w:t>Nuestro desempeño</w:t>
      </w:r>
      <w:bookmarkEnd w:id="27"/>
    </w:p>
    <w:p w:rsidR="00E34FD8" w:rsidP="006A0A13" w:rsidRDefault="00E34FD8" w14:paraId="19E9E4CD" w14:textId="77777777">
      <w:pPr>
        <w:spacing w:after="0" w:line="360" w:lineRule="auto"/>
        <w:jc w:val="both"/>
        <w:rPr>
          <w:rFonts w:ascii="Verdana" w:hAnsi="Verdana"/>
          <w:sz w:val="24"/>
          <w:szCs w:val="24"/>
        </w:rPr>
      </w:pPr>
    </w:p>
    <w:p w:rsidRPr="00E34FD8" w:rsidR="00E34FD8" w:rsidP="006A0A13" w:rsidRDefault="00E34FD8" w14:paraId="3CFB3AA1" w14:textId="77777777">
      <w:pPr>
        <w:spacing w:after="0" w:line="360" w:lineRule="auto"/>
        <w:jc w:val="both"/>
        <w:rPr>
          <w:rFonts w:ascii="Verdana" w:hAnsi="Verdana"/>
          <w:sz w:val="24"/>
          <w:szCs w:val="24"/>
        </w:rPr>
      </w:pPr>
      <w:r w:rsidRPr="00E34FD8">
        <w:rPr>
          <w:rFonts w:ascii="Verdana" w:hAnsi="Verdana"/>
          <w:sz w:val="24"/>
          <w:szCs w:val="24"/>
        </w:rPr>
        <w:t>El desempeño institucional del Ministerio de Minas y Energía durante el periodo 2022–2026 refleja los avances alcanzados en el fortalecimiento de sus capacidades de gestión, planeación, seguimiento, control y articulación interna, como soporte para el cumplimiento de su misión y la generación de valor público. En este apartado se presentan los principales resultados asociados a la implementación del Modelo Integrado de Planeación y Gestión – MIPG, el Sistema Integrado de Gestión, la gestión de riesgos, el esquema de líneas de defensa y la gestión internacional, evidenciando los esfuerzos orientados a consolidar una entidad más eficiente, transparente, moderna y preparada para responder a los retos del sector minero-energético.</w:t>
      </w:r>
    </w:p>
    <w:p w:rsidRPr="00E34FD8" w:rsidR="00E34FD8" w:rsidP="006A0A13" w:rsidRDefault="00E34FD8" w14:paraId="0D050822" w14:textId="77777777">
      <w:pPr>
        <w:spacing w:after="0" w:line="360" w:lineRule="auto"/>
        <w:outlineLvl w:val="0"/>
        <w:rPr>
          <w:rFonts w:ascii="Verdana" w:hAnsi="Verdana"/>
          <w:b/>
          <w:bCs/>
          <w:sz w:val="24"/>
          <w:szCs w:val="24"/>
        </w:rPr>
      </w:pPr>
    </w:p>
    <w:p w:rsidR="003C4398" w:rsidRDefault="003C4398" w14:paraId="1515CB6F" w14:textId="77777777">
      <w:pPr>
        <w:pStyle w:val="Ttulo2"/>
        <w:numPr>
          <w:ilvl w:val="1"/>
          <w:numId w:val="42"/>
        </w:numPr>
        <w:spacing w:before="0" w:after="0" w:line="360" w:lineRule="auto"/>
        <w:rPr>
          <w:rFonts w:ascii="Verdana" w:hAnsi="Verdana"/>
          <w:b/>
          <w:bCs/>
          <w:color w:val="auto"/>
          <w:sz w:val="24"/>
          <w:szCs w:val="24"/>
        </w:rPr>
      </w:pPr>
      <w:bookmarkStart w:name="_Toc233996745" w:id="28"/>
      <w:r w:rsidRPr="00C140A0">
        <w:rPr>
          <w:rFonts w:ascii="Verdana" w:hAnsi="Verdana"/>
          <w:b/>
          <w:bCs/>
          <w:color w:val="auto"/>
          <w:sz w:val="24"/>
          <w:szCs w:val="24"/>
        </w:rPr>
        <w:t>Avances en la implementación MIPG y MDI</w:t>
      </w:r>
      <w:bookmarkEnd w:id="28"/>
    </w:p>
    <w:p w:rsidR="00E34FD8" w:rsidP="006A0A13" w:rsidRDefault="00E34FD8" w14:paraId="002A14F4" w14:textId="77777777">
      <w:pPr>
        <w:spacing w:after="0" w:line="360" w:lineRule="auto"/>
      </w:pPr>
    </w:p>
    <w:p w:rsidRPr="00E34FD8" w:rsidR="00E34FD8" w:rsidP="006A0A13" w:rsidRDefault="00E34FD8" w14:paraId="69728DE2" w14:textId="77777777">
      <w:pPr>
        <w:spacing w:after="0" w:line="360" w:lineRule="auto"/>
        <w:jc w:val="both"/>
        <w:rPr>
          <w:rFonts w:ascii="Verdana" w:hAnsi="Verdana"/>
          <w:sz w:val="24"/>
          <w:szCs w:val="24"/>
        </w:rPr>
      </w:pPr>
      <w:r w:rsidRPr="00E34FD8">
        <w:rPr>
          <w:rFonts w:ascii="Verdana" w:hAnsi="Verdana"/>
          <w:sz w:val="24"/>
          <w:szCs w:val="24"/>
        </w:rPr>
        <w:t>La implementación del Modelo Integrado de Planeación y Gestión – MIPG y el seguimiento al Modelo de Desempeño Institucional – MDI han constituido herramientas fundamentales para orientar la mejora continua, fortalecer la gestión pública y evaluar el desempeño del Ministerio de Minas y Energía durante el cuatrienio. A partir de estos modelos, la entidad ha avanzado en la articulación de sus dimensiones, políticas, procesos e instrumentos de seguimiento, promoviendo una gestión basada en resultados, el cierre de brechas institucionales, la toma de decisiones informada y el fortalecimiento de la capacidad administrativa y misional al servicio de la ciudadanía y los grupos de valor.</w:t>
      </w:r>
    </w:p>
    <w:p w:rsidRPr="00E34FD8" w:rsidR="00E34FD8" w:rsidP="006A0A13" w:rsidRDefault="00E34FD8" w14:paraId="6ABA0E9D" w14:textId="77777777">
      <w:pPr>
        <w:spacing w:after="0" w:line="360" w:lineRule="auto"/>
      </w:pPr>
    </w:p>
    <w:p w:rsidRPr="00ED2BF2" w:rsidR="2BF3EB60" w:rsidRDefault="2BF3EB60" w14:paraId="7ECF7A64" w14:textId="77777777">
      <w:pPr>
        <w:pStyle w:val="Prrafodelista"/>
        <w:numPr>
          <w:ilvl w:val="2"/>
          <w:numId w:val="42"/>
        </w:numPr>
        <w:spacing w:after="0" w:line="360" w:lineRule="auto"/>
        <w:rPr>
          <w:rFonts w:ascii="Verdana" w:hAnsi="Verdana"/>
          <w:b/>
          <w:bCs/>
          <w:sz w:val="24"/>
          <w:szCs w:val="24"/>
        </w:rPr>
      </w:pPr>
      <w:r w:rsidRPr="00ED2BF2">
        <w:rPr>
          <w:rFonts w:ascii="Verdana" w:hAnsi="Verdana"/>
          <w:b/>
          <w:bCs/>
          <w:sz w:val="24"/>
          <w:szCs w:val="24"/>
        </w:rPr>
        <w:t>Avances en la implementación del Modelo Integrado de Planeación y Gestión – MIPG</w:t>
      </w:r>
    </w:p>
    <w:p w:rsidR="00E34FD8" w:rsidP="006A0A13" w:rsidRDefault="00E34FD8" w14:paraId="78975AF7" w14:textId="77777777">
      <w:pPr>
        <w:spacing w:after="0" w:line="360" w:lineRule="auto"/>
        <w:jc w:val="both"/>
        <w:rPr>
          <w:rFonts w:ascii="Verdana" w:hAnsi="Verdana"/>
          <w:sz w:val="24"/>
          <w:szCs w:val="24"/>
        </w:rPr>
      </w:pPr>
    </w:p>
    <w:p w:rsidRPr="00C140A0" w:rsidR="2BF3EB60" w:rsidP="006A0A13" w:rsidRDefault="2BF3EB60" w14:paraId="6189B3AF" w14:textId="77777777">
      <w:pPr>
        <w:spacing w:after="0" w:line="360" w:lineRule="auto"/>
        <w:jc w:val="both"/>
        <w:rPr>
          <w:rFonts w:ascii="Verdana" w:hAnsi="Verdana"/>
          <w:sz w:val="24"/>
          <w:szCs w:val="24"/>
        </w:rPr>
      </w:pPr>
      <w:r w:rsidRPr="00C140A0">
        <w:rPr>
          <w:rFonts w:ascii="Verdana" w:hAnsi="Verdana"/>
          <w:sz w:val="24"/>
          <w:szCs w:val="24"/>
        </w:rPr>
        <w:t>En este contexto, la implementación del modelo demanda un proceso permanente de análisis, revisión y fortalecimiento de las acciones desarrolladas y de sus resultados, considerando la evolución constante de los lineamientos normativos, así como los nuevos desafíos y objetivos estratégicos que enfrenta la Entidad. Por ello, el Modelo Integrado de Planeación y Gestión - MIPG se concibe como un ejercicio dinámico que impulsa el aprendizaje organizacional y el mejoramiento continuo.</w:t>
      </w:r>
    </w:p>
    <w:p w:rsidR="00ED2BF2" w:rsidP="006A0A13" w:rsidRDefault="00ED2BF2" w14:paraId="7ABF2773" w14:textId="77777777">
      <w:pPr>
        <w:spacing w:after="0" w:line="360" w:lineRule="auto"/>
        <w:jc w:val="both"/>
        <w:rPr>
          <w:rFonts w:ascii="Verdana" w:hAnsi="Verdana"/>
          <w:sz w:val="24"/>
          <w:szCs w:val="24"/>
        </w:rPr>
      </w:pPr>
    </w:p>
    <w:p w:rsidRPr="00C140A0" w:rsidR="2BF3EB60" w:rsidP="006A0A13" w:rsidRDefault="2BF3EB60" w14:paraId="12594FAE" w14:textId="77777777">
      <w:pPr>
        <w:spacing w:after="0" w:line="360" w:lineRule="auto"/>
        <w:jc w:val="both"/>
        <w:rPr>
          <w:rFonts w:ascii="Verdana" w:hAnsi="Verdana"/>
          <w:sz w:val="24"/>
          <w:szCs w:val="24"/>
        </w:rPr>
      </w:pPr>
      <w:r w:rsidRPr="00C140A0">
        <w:rPr>
          <w:rFonts w:ascii="Verdana" w:hAnsi="Verdana"/>
          <w:sz w:val="24"/>
          <w:szCs w:val="24"/>
        </w:rPr>
        <w:t xml:space="preserve">La instancia encargada de orientar, retroalimentar, aprobar y tomar decisiones relacionadas con la implementación del modelo es el Comité Institucional de Gestión y Desempeño. A través de este espacio se articulan esfuerzos para fortalecer los procesos estratégicos, misionales y de apoyo, consolidando una gestión institucional eficiente y efectiva que </w:t>
      </w:r>
      <w:r w:rsidRPr="00C140A0">
        <w:rPr>
          <w:rFonts w:ascii="Verdana" w:hAnsi="Verdana"/>
          <w:sz w:val="24"/>
          <w:szCs w:val="24"/>
        </w:rPr>
        <w:t>respalde el cumplimiento de la misión y contribuya a la generación de beneficios para la ciudadanía y los grupos de valor.</w:t>
      </w:r>
    </w:p>
    <w:p w:rsidR="00ED2BF2" w:rsidP="006A0A13" w:rsidRDefault="00ED2BF2" w14:paraId="07528514" w14:textId="77777777">
      <w:pPr>
        <w:spacing w:after="0" w:line="360" w:lineRule="auto"/>
        <w:jc w:val="both"/>
        <w:rPr>
          <w:rFonts w:ascii="Verdana" w:hAnsi="Verdana"/>
          <w:sz w:val="24"/>
          <w:szCs w:val="24"/>
        </w:rPr>
      </w:pPr>
    </w:p>
    <w:p w:rsidR="2BF3EB60" w:rsidP="006A0A13" w:rsidRDefault="2BF3EB60" w14:paraId="03C812F5" w14:textId="77777777">
      <w:pPr>
        <w:spacing w:after="0" w:line="360" w:lineRule="auto"/>
        <w:jc w:val="both"/>
        <w:rPr>
          <w:rFonts w:ascii="Verdana" w:hAnsi="Verdana"/>
          <w:sz w:val="24"/>
          <w:szCs w:val="24"/>
        </w:rPr>
      </w:pPr>
      <w:r w:rsidRPr="00C140A0">
        <w:rPr>
          <w:rFonts w:ascii="Verdana" w:hAnsi="Verdana"/>
          <w:sz w:val="24"/>
          <w:szCs w:val="24"/>
        </w:rPr>
        <w:t xml:space="preserve">A continuación, se presenta la asignación de las dependencias responsables de cada una de las dimensiones y sus políticas, quienes tienen a su cargo la coordinación, articulación e </w:t>
      </w:r>
      <w:r w:rsidRPr="00C140A0" w:rsidR="00ED2BF2">
        <w:rPr>
          <w:rFonts w:ascii="Verdana" w:hAnsi="Verdana"/>
          <w:sz w:val="24"/>
          <w:szCs w:val="24"/>
        </w:rPr>
        <w:t>implementación de</w:t>
      </w:r>
      <w:r w:rsidRPr="00C140A0">
        <w:rPr>
          <w:rFonts w:ascii="Verdana" w:hAnsi="Verdana"/>
          <w:sz w:val="24"/>
          <w:szCs w:val="24"/>
        </w:rPr>
        <w:t xml:space="preserve"> las acciones orientadas al mejoramiento continuo y fortalecimiento de la implementación de MIPG en la Entidad</w:t>
      </w:r>
      <w:r w:rsidR="00ED2BF2">
        <w:rPr>
          <w:rFonts w:ascii="Verdana" w:hAnsi="Verdana"/>
          <w:sz w:val="24"/>
          <w:szCs w:val="24"/>
        </w:rPr>
        <w:t>.</w:t>
      </w:r>
    </w:p>
    <w:p w:rsidRPr="00C140A0" w:rsidR="00ED2BF2" w:rsidP="006A0A13" w:rsidRDefault="00ED2BF2" w14:paraId="2D8BE772" w14:textId="77777777">
      <w:pPr>
        <w:spacing w:after="0" w:line="360" w:lineRule="auto"/>
        <w:jc w:val="both"/>
        <w:rPr>
          <w:rFonts w:ascii="Verdana" w:hAnsi="Verdana"/>
          <w:sz w:val="24"/>
          <w:szCs w:val="24"/>
        </w:rPr>
      </w:pPr>
    </w:p>
    <w:p w:rsidRPr="00ED2BF2" w:rsidR="2BF3EB60" w:rsidP="00ED2BF2" w:rsidRDefault="0CA22F6A" w14:paraId="6B3ABADB" w14:textId="77777777">
      <w:pPr>
        <w:spacing w:after="0" w:line="240" w:lineRule="auto"/>
        <w:jc w:val="center"/>
        <w:rPr>
          <w:rFonts w:ascii="Verdana" w:hAnsi="Verdana"/>
          <w:sz w:val="18"/>
          <w:szCs w:val="18"/>
        </w:rPr>
      </w:pPr>
      <w:r w:rsidRPr="180099B3">
        <w:rPr>
          <w:rFonts w:ascii="Verdana" w:hAnsi="Verdana"/>
          <w:sz w:val="18"/>
          <w:szCs w:val="18"/>
        </w:rPr>
        <w:t>Gráfico</w:t>
      </w:r>
      <w:r w:rsidRPr="180099B3" w:rsidR="614B5CB2">
        <w:rPr>
          <w:rFonts w:ascii="Verdana" w:hAnsi="Verdana"/>
          <w:sz w:val="18"/>
          <w:szCs w:val="18"/>
        </w:rPr>
        <w:t xml:space="preserve"> No. 3</w:t>
      </w:r>
      <w:r w:rsidRPr="180099B3" w:rsidR="78EFAB54">
        <w:rPr>
          <w:rFonts w:ascii="Verdana" w:hAnsi="Verdana"/>
          <w:sz w:val="18"/>
          <w:szCs w:val="18"/>
        </w:rPr>
        <w:t xml:space="preserve">. </w:t>
      </w:r>
      <w:r w:rsidRPr="180099B3">
        <w:rPr>
          <w:rFonts w:ascii="Verdana" w:hAnsi="Verdana"/>
          <w:sz w:val="18"/>
          <w:szCs w:val="18"/>
        </w:rPr>
        <w:t>Asignación de líderes MIPG por política</w:t>
      </w:r>
    </w:p>
    <w:p w:rsidRPr="00ED2BF2" w:rsidR="687CC63D" w:rsidP="00ED2BF2" w:rsidRDefault="687CC63D" w14:paraId="471F5779" w14:textId="77777777">
      <w:pPr>
        <w:spacing w:after="0" w:line="240" w:lineRule="auto"/>
        <w:jc w:val="both"/>
        <w:rPr>
          <w:rFonts w:ascii="Verdana" w:hAnsi="Verdana"/>
          <w:sz w:val="18"/>
          <w:szCs w:val="18"/>
        </w:rPr>
      </w:pPr>
    </w:p>
    <w:p w:rsidRPr="00ED2BF2" w:rsidR="2BF3EB60" w:rsidP="00ED2BF2" w:rsidRDefault="2BF3EB60" w14:paraId="186B96CC" w14:textId="77777777">
      <w:pPr>
        <w:spacing w:after="0" w:line="240" w:lineRule="auto"/>
        <w:jc w:val="center"/>
        <w:rPr>
          <w:rFonts w:ascii="Verdana" w:hAnsi="Verdana"/>
          <w:sz w:val="18"/>
          <w:szCs w:val="18"/>
        </w:rPr>
      </w:pPr>
      <w:r w:rsidRPr="00ED2BF2">
        <w:rPr>
          <w:rFonts w:ascii="Verdana" w:hAnsi="Verdana"/>
          <w:noProof/>
          <w:sz w:val="18"/>
          <w:szCs w:val="18"/>
        </w:rPr>
        <w:drawing>
          <wp:inline distT="0" distB="0" distL="0" distR="0" wp14:anchorId="3364B725" wp14:editId="39D2D99D">
            <wp:extent cx="5178014" cy="2514600"/>
            <wp:effectExtent l="19050" t="19050" r="22860" b="19050"/>
            <wp:docPr id="17237803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678136" name=""/>
                    <pic:cNvPicPr/>
                  </pic:nvPicPr>
                  <pic:blipFill>
                    <a:blip r:embed="rId27"/>
                    <a:stretch>
                      <a:fillRect/>
                    </a:stretch>
                  </pic:blipFill>
                  <pic:spPr>
                    <a:xfrm>
                      <a:off x="0" y="0"/>
                      <a:ext cx="5181426" cy="2516257"/>
                    </a:xfrm>
                    <a:prstGeom prst="rect">
                      <a:avLst/>
                    </a:prstGeom>
                    <a:ln>
                      <a:solidFill>
                        <a:schemeClr val="tx1"/>
                      </a:solidFill>
                    </a:ln>
                  </pic:spPr>
                </pic:pic>
              </a:graphicData>
            </a:graphic>
          </wp:inline>
        </w:drawing>
      </w:r>
    </w:p>
    <w:p w:rsidRPr="00ED2BF2" w:rsidR="2BF3EB60" w:rsidP="180099B3" w:rsidRDefault="0CA22F6A" w14:paraId="7284E1C7" w14:textId="77777777">
      <w:pPr>
        <w:pStyle w:val="Descripcin"/>
        <w:spacing w:after="0"/>
        <w:jc w:val="center"/>
        <w:rPr>
          <w:rFonts w:ascii="Verdana" w:hAnsi="Verdana" w:cs="Arial"/>
          <w:i w:val="0"/>
          <w:iCs w:val="0"/>
          <w:color w:val="auto"/>
        </w:rPr>
      </w:pPr>
      <w:r w:rsidRPr="180099B3">
        <w:rPr>
          <w:rFonts w:ascii="Verdana" w:hAnsi="Verdana" w:cs="Arial"/>
          <w:i w:val="0"/>
          <w:iCs w:val="0"/>
          <w:color w:val="auto"/>
        </w:rPr>
        <w:t xml:space="preserve">Fuente: </w:t>
      </w:r>
      <w:r w:rsidRPr="180099B3" w:rsidR="0FD1E4CC">
        <w:rPr>
          <w:rFonts w:ascii="Verdana" w:hAnsi="Verdana" w:cs="Arial"/>
          <w:i w:val="0"/>
          <w:iCs w:val="0"/>
          <w:color w:val="auto"/>
        </w:rPr>
        <w:t>OPGI - MME</w:t>
      </w:r>
      <w:r w:rsidRPr="180099B3">
        <w:rPr>
          <w:rFonts w:ascii="Verdana" w:hAnsi="Verdana" w:cs="Arial"/>
          <w:i w:val="0"/>
          <w:iCs w:val="0"/>
          <w:color w:val="auto"/>
        </w:rPr>
        <w:t xml:space="preserve"> con base en el diseño del Departamento Administrativo de la Función Pública</w:t>
      </w:r>
    </w:p>
    <w:p w:rsidRPr="00C140A0" w:rsidR="687CC63D" w:rsidP="006A0A13" w:rsidRDefault="687CC63D" w14:paraId="6ED68F0B" w14:textId="77777777">
      <w:pPr>
        <w:spacing w:after="0" w:line="360" w:lineRule="auto"/>
        <w:rPr>
          <w:rFonts w:ascii="Verdana" w:hAnsi="Verdana"/>
        </w:rPr>
      </w:pPr>
    </w:p>
    <w:p w:rsidRPr="00C140A0" w:rsidR="003C4398" w:rsidRDefault="003C4398" w14:paraId="383A8DA9" w14:textId="77777777">
      <w:pPr>
        <w:pStyle w:val="Ttulo2"/>
        <w:numPr>
          <w:ilvl w:val="1"/>
          <w:numId w:val="42"/>
        </w:numPr>
        <w:spacing w:before="0" w:after="0" w:line="360" w:lineRule="auto"/>
        <w:rPr>
          <w:rFonts w:ascii="Verdana" w:hAnsi="Verdana"/>
          <w:b/>
          <w:bCs/>
          <w:color w:val="auto"/>
          <w:sz w:val="24"/>
          <w:szCs w:val="24"/>
        </w:rPr>
      </w:pPr>
      <w:bookmarkStart w:name="_Toc233996746" w:id="29"/>
      <w:r w:rsidRPr="00C140A0">
        <w:rPr>
          <w:rFonts w:ascii="Verdana" w:hAnsi="Verdana"/>
          <w:b/>
          <w:bCs/>
          <w:color w:val="auto"/>
          <w:sz w:val="24"/>
          <w:szCs w:val="24"/>
        </w:rPr>
        <w:t>Sistema Integrado de Gestión del Ministerio de Minas y Energía</w:t>
      </w:r>
      <w:bookmarkEnd w:id="29"/>
    </w:p>
    <w:p w:rsidRPr="00C140A0" w:rsidR="002A32A3" w:rsidP="006A0A13" w:rsidRDefault="002A32A3" w14:paraId="39595F31" w14:textId="77777777">
      <w:pPr>
        <w:spacing w:after="0" w:line="360" w:lineRule="auto"/>
        <w:rPr>
          <w:rFonts w:ascii="Verdana" w:hAnsi="Verdana"/>
        </w:rPr>
      </w:pPr>
    </w:p>
    <w:p w:rsidRPr="00C140A0" w:rsidR="002A32A3" w:rsidP="006A0A13" w:rsidRDefault="5F066D7E" w14:paraId="34A5A9A0" w14:textId="77777777">
      <w:pPr>
        <w:spacing w:after="0" w:line="360" w:lineRule="auto"/>
        <w:jc w:val="both"/>
        <w:rPr>
          <w:rFonts w:ascii="Verdana" w:hAnsi="Verdana"/>
          <w:sz w:val="24"/>
          <w:szCs w:val="24"/>
        </w:rPr>
      </w:pPr>
      <w:r w:rsidRPr="00C140A0">
        <w:rPr>
          <w:rFonts w:ascii="Verdana" w:hAnsi="Verdana" w:eastAsiaTheme="minorEastAsia"/>
          <w:sz w:val="24"/>
          <w:szCs w:val="24"/>
        </w:rPr>
        <w:t>El Ministerio de Minas y Energía, ha adoptado un Sistema Integrado de Gestión – SIG soportado en el Modelo Integrado de Planeación y Gestión – MIPG que es de obligatorio cumplimiento para las entidades públicas de acuerdo con el Decreto 1499 de 2017. Adicionalmente, el SIG se fortalece con los ejes: Sistema de Gestión de Calidad, Sistema de Gestión Ambiental y el Sistema Gestión de Seguridad y Salud en el Trabajo.</w:t>
      </w:r>
    </w:p>
    <w:p w:rsidR="00332F9E" w:rsidP="006A0A13" w:rsidRDefault="00332F9E" w14:paraId="52693C43" w14:textId="77777777">
      <w:pPr>
        <w:spacing w:after="0" w:line="360" w:lineRule="auto"/>
        <w:jc w:val="both"/>
        <w:rPr>
          <w:rFonts w:ascii="Verdana" w:hAnsi="Verdana" w:eastAsiaTheme="minorEastAsia"/>
          <w:sz w:val="24"/>
          <w:szCs w:val="24"/>
        </w:rPr>
      </w:pPr>
    </w:p>
    <w:p w:rsidR="03CDA6F8" w:rsidP="006A0A13" w:rsidRDefault="03CDA6F8" w14:paraId="2A39A7B7" w14:textId="77777777">
      <w:pPr>
        <w:spacing w:after="0" w:line="360" w:lineRule="auto"/>
        <w:jc w:val="both"/>
        <w:rPr>
          <w:rFonts w:ascii="Verdana" w:hAnsi="Verdana" w:eastAsia="Times New Roman" w:cs="Times New Roman"/>
          <w:color w:val="000000" w:themeColor="text1"/>
        </w:rPr>
      </w:pPr>
      <w:r w:rsidRPr="180099B3">
        <w:rPr>
          <w:rFonts w:ascii="Verdana" w:hAnsi="Verdana" w:eastAsiaTheme="minorEastAsia"/>
          <w:sz w:val="24"/>
          <w:szCs w:val="24"/>
        </w:rPr>
        <w:t>En los últimos años el Ministerio, ha fortalecido la implementación de MIPG como se evidencia en el Índice de Desempeño Institucional - IDI medido a través del Formulario Único de Reporte y Avance de Gestión – FURAG. Esta mejora en la medición se debe a la adopción de planes de cierre de brechas para cada política liderados por cada líder de política MIPG en el Ministerio. Los resultados de la medición se observan a continuación</w:t>
      </w:r>
      <w:r w:rsidRPr="180099B3">
        <w:rPr>
          <w:rFonts w:ascii="Verdana" w:hAnsi="Verdana" w:eastAsia="Times New Roman" w:cs="Times New Roman"/>
          <w:color w:val="000000" w:themeColor="text1"/>
        </w:rPr>
        <w:t>.</w:t>
      </w:r>
    </w:p>
    <w:p w:rsidR="006A0A13" w:rsidP="006A0A13" w:rsidRDefault="006A0A13" w14:paraId="6FC0496D" w14:textId="77777777">
      <w:pPr>
        <w:spacing w:after="0" w:line="360" w:lineRule="auto"/>
        <w:jc w:val="both"/>
        <w:rPr>
          <w:rFonts w:ascii="Verdana" w:hAnsi="Verdana"/>
        </w:rPr>
      </w:pPr>
    </w:p>
    <w:p w:rsidRPr="00332F9E" w:rsidR="002A32A3" w:rsidP="00332F9E" w:rsidRDefault="03CDA6F8" w14:paraId="00E3D500" w14:textId="77777777">
      <w:pPr>
        <w:spacing w:after="0" w:line="240" w:lineRule="auto"/>
        <w:jc w:val="center"/>
        <w:rPr>
          <w:rFonts w:ascii="Verdana" w:hAnsi="Verdana" w:eastAsia="Aptos" w:cs="Aptos"/>
          <w:sz w:val="18"/>
          <w:szCs w:val="18"/>
        </w:rPr>
      </w:pPr>
      <w:r w:rsidRPr="180099B3">
        <w:rPr>
          <w:rFonts w:ascii="Verdana" w:hAnsi="Verdana" w:eastAsia="Times New Roman" w:cs="Times New Roman"/>
          <w:color w:val="000000" w:themeColor="text1"/>
          <w:sz w:val="18"/>
          <w:szCs w:val="18"/>
        </w:rPr>
        <w:t xml:space="preserve">Gráfica </w:t>
      </w:r>
      <w:r w:rsidRPr="180099B3" w:rsidR="78E8CE89">
        <w:rPr>
          <w:rFonts w:ascii="Verdana" w:hAnsi="Verdana" w:eastAsia="Times New Roman" w:cs="Times New Roman"/>
          <w:color w:val="000000" w:themeColor="text1"/>
          <w:sz w:val="18"/>
          <w:szCs w:val="18"/>
        </w:rPr>
        <w:t>No. 4</w:t>
      </w:r>
      <w:r w:rsidRPr="180099B3">
        <w:rPr>
          <w:rFonts w:ascii="Verdana" w:hAnsi="Verdana" w:eastAsia="Times New Roman" w:cs="Times New Roman"/>
          <w:color w:val="000000" w:themeColor="text1"/>
          <w:sz w:val="18"/>
          <w:szCs w:val="18"/>
        </w:rPr>
        <w:t>. Índice de Desempeño Institucional 2022 – 2024</w:t>
      </w:r>
    </w:p>
    <w:p w:rsidRPr="00332F9E" w:rsidR="5F066D7E" w:rsidP="00332F9E" w:rsidRDefault="03CDA6F8" w14:paraId="3F6F1959" w14:textId="77777777">
      <w:pPr>
        <w:spacing w:after="0" w:line="240" w:lineRule="auto"/>
        <w:jc w:val="center"/>
        <w:rPr>
          <w:rFonts w:ascii="Verdana" w:hAnsi="Verdana"/>
          <w:sz w:val="18"/>
          <w:szCs w:val="18"/>
        </w:rPr>
      </w:pPr>
      <w:r>
        <w:rPr>
          <w:noProof/>
        </w:rPr>
        <w:drawing>
          <wp:inline distT="0" distB="0" distL="0" distR="0" wp14:anchorId="68F32756" wp14:editId="775BBE27">
            <wp:extent cx="5506785" cy="3573743"/>
            <wp:effectExtent l="19050" t="19050" r="17780" b="27305"/>
            <wp:docPr id="87103628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036287" name="Picture 871036287"/>
                    <pic:cNvPicPr/>
                  </pic:nvPicPr>
                  <pic:blipFill>
                    <a:blip r:embed="rId28">
                      <a:extLst>
                        <a:ext uri="{28A0092B-C50C-407E-A947-70E740481C1C}">
                          <a14:useLocalDpi xmlns:a14="http://schemas.microsoft.com/office/drawing/2010/main"/>
                        </a:ext>
                      </a:extLst>
                    </a:blip>
                    <a:stretch>
                      <a:fillRect/>
                    </a:stretch>
                  </pic:blipFill>
                  <pic:spPr>
                    <a:xfrm>
                      <a:off x="0" y="0"/>
                      <a:ext cx="5506785" cy="3573743"/>
                    </a:xfrm>
                    <a:prstGeom prst="rect">
                      <a:avLst/>
                    </a:prstGeom>
                    <a:ln>
                      <a:solidFill>
                        <a:schemeClr val="tx1"/>
                      </a:solidFill>
                    </a:ln>
                  </pic:spPr>
                </pic:pic>
              </a:graphicData>
            </a:graphic>
          </wp:inline>
        </w:drawing>
      </w:r>
    </w:p>
    <w:p w:rsidRPr="00332F9E" w:rsidR="5F066D7E" w:rsidP="180099B3" w:rsidRDefault="03CDA6F8" w14:paraId="242C3597" w14:textId="77777777">
      <w:pPr>
        <w:spacing w:after="0" w:line="240" w:lineRule="auto"/>
        <w:jc w:val="center"/>
        <w:rPr>
          <w:rFonts w:ascii="Verdana" w:hAnsi="Verdana" w:eastAsia="Times New Roman" w:cs="Times New Roman"/>
          <w:color w:val="000000" w:themeColor="text1"/>
          <w:sz w:val="18"/>
          <w:szCs w:val="18"/>
        </w:rPr>
      </w:pPr>
      <w:r w:rsidRPr="180099B3">
        <w:rPr>
          <w:rFonts w:ascii="Verdana" w:hAnsi="Verdana" w:eastAsia="Times New Roman" w:cs="Times New Roman"/>
          <w:color w:val="000000" w:themeColor="text1"/>
          <w:sz w:val="18"/>
          <w:szCs w:val="18"/>
        </w:rPr>
        <w:t>Fuente:</w:t>
      </w:r>
      <w:r w:rsidRPr="180099B3" w:rsidR="12C4AF3A">
        <w:rPr>
          <w:rFonts w:ascii="Verdana" w:hAnsi="Verdana" w:eastAsia="Times New Roman" w:cs="Times New Roman"/>
          <w:color w:val="000000" w:themeColor="text1"/>
          <w:sz w:val="18"/>
          <w:szCs w:val="18"/>
        </w:rPr>
        <w:t xml:space="preserve"> OPGI - MME</w:t>
      </w:r>
      <w:r w:rsidRPr="180099B3">
        <w:rPr>
          <w:rFonts w:ascii="Verdana" w:hAnsi="Verdana" w:eastAsia="Times New Roman" w:cs="Times New Roman"/>
          <w:color w:val="000000" w:themeColor="text1"/>
          <w:sz w:val="18"/>
          <w:szCs w:val="18"/>
        </w:rPr>
        <w:t xml:space="preserve"> con base en los resultados del Departamento Administrativo de la Función Pública</w:t>
      </w:r>
    </w:p>
    <w:p w:rsidRPr="00C140A0" w:rsidR="6C3162D8" w:rsidP="006A0A13" w:rsidRDefault="6C3162D8" w14:paraId="4F10A105" w14:textId="77777777">
      <w:pPr>
        <w:spacing w:after="0" w:line="360" w:lineRule="auto"/>
        <w:rPr>
          <w:rFonts w:ascii="Verdana" w:hAnsi="Verdana" w:eastAsia="Aptos" w:cs="Aptos"/>
          <w:color w:val="000000" w:themeColor="text1"/>
        </w:rPr>
      </w:pPr>
    </w:p>
    <w:p w:rsidRPr="00C140A0" w:rsidR="5F066D7E" w:rsidP="006A0A13" w:rsidRDefault="5F066D7E" w14:paraId="4BFE1B60" w14:textId="77777777">
      <w:pPr>
        <w:spacing w:after="0" w:line="360" w:lineRule="auto"/>
        <w:jc w:val="both"/>
        <w:rPr>
          <w:rFonts w:ascii="Verdana" w:hAnsi="Verdana" w:eastAsiaTheme="minorEastAsia"/>
          <w:sz w:val="24"/>
          <w:szCs w:val="24"/>
        </w:rPr>
      </w:pPr>
      <w:r w:rsidRPr="00C140A0">
        <w:rPr>
          <w:rFonts w:ascii="Verdana" w:hAnsi="Verdana" w:eastAsiaTheme="minorEastAsia"/>
          <w:sz w:val="24"/>
          <w:szCs w:val="24"/>
        </w:rPr>
        <w:t xml:space="preserve">En el marco del mejoramiento continuo del SIG, la Oficina de Planeación y Gestión Internacional ha liderado la estrategia “Fortalecimiento del Modelo de Operación por Procesos” al interior del Ministerio desde el 2025; utilizando metodologías modernas para la gestión pública como son la Arquitectura de Procesos y la Gestión de Procesos, que facilitan la </w:t>
      </w:r>
      <w:r w:rsidRPr="00C140A0">
        <w:rPr>
          <w:rFonts w:ascii="Verdana" w:hAnsi="Verdana" w:eastAsiaTheme="minorEastAsia"/>
          <w:sz w:val="24"/>
          <w:szCs w:val="24"/>
        </w:rPr>
        <w:t xml:space="preserve">articulación entre la misionalidad de la entidad y la gestión del día a día de la labor. </w:t>
      </w:r>
    </w:p>
    <w:p w:rsidRPr="00C140A0" w:rsidR="5F066D7E" w:rsidP="006A0A13" w:rsidRDefault="5F066D7E" w14:paraId="6E6D148E" w14:textId="77777777">
      <w:pPr>
        <w:spacing w:after="0" w:line="360" w:lineRule="auto"/>
        <w:jc w:val="both"/>
        <w:rPr>
          <w:rFonts w:ascii="Verdana" w:hAnsi="Verdana" w:eastAsiaTheme="minorEastAsia"/>
          <w:sz w:val="24"/>
          <w:szCs w:val="24"/>
        </w:rPr>
      </w:pPr>
      <w:r w:rsidRPr="00C140A0">
        <w:rPr>
          <w:rFonts w:ascii="Verdana" w:hAnsi="Verdana" w:eastAsiaTheme="minorEastAsia"/>
          <w:sz w:val="24"/>
          <w:szCs w:val="24"/>
        </w:rPr>
        <w:t xml:space="preserve"> </w:t>
      </w:r>
    </w:p>
    <w:p w:rsidRPr="00C140A0" w:rsidR="5F066D7E" w:rsidP="006A0A13" w:rsidRDefault="03CDA6F8" w14:paraId="69BA6DE4" w14:textId="77777777">
      <w:pPr>
        <w:spacing w:after="0" w:line="360" w:lineRule="auto"/>
        <w:jc w:val="both"/>
        <w:rPr>
          <w:rFonts w:ascii="Verdana" w:hAnsi="Verdana" w:eastAsiaTheme="minorEastAsia"/>
          <w:sz w:val="24"/>
          <w:szCs w:val="24"/>
        </w:rPr>
      </w:pPr>
      <w:r w:rsidRPr="180099B3">
        <w:rPr>
          <w:rFonts w:ascii="Verdana" w:hAnsi="Verdana" w:eastAsiaTheme="minorEastAsia"/>
          <w:sz w:val="24"/>
          <w:szCs w:val="24"/>
        </w:rPr>
        <w:t>Uno de los resultados de esta estrategia es la redefinición del Mapa de Procesos, el cual se encuentra en proceso de revisión y aprobación. Esta propuesta de mapa de procesos ha sido el resultado del trabajo colaborativo y discusiones técnicas por diferentes niveles jerárquicos y más de 5 espacios de dialogo al interior del Ministerio. Esta propuesta se observa a continuación:</w:t>
      </w:r>
    </w:p>
    <w:p w:rsidRPr="00332F9E" w:rsidR="5F066D7E" w:rsidP="006A0A13" w:rsidRDefault="5F066D7E" w14:paraId="3016A9A8" w14:textId="77777777">
      <w:pPr>
        <w:spacing w:after="0" w:line="360" w:lineRule="auto"/>
        <w:jc w:val="both"/>
        <w:rPr>
          <w:rFonts w:ascii="Verdana" w:hAnsi="Verdana" w:eastAsiaTheme="minorEastAsia"/>
          <w:sz w:val="24"/>
          <w:szCs w:val="24"/>
        </w:rPr>
      </w:pPr>
    </w:p>
    <w:p w:rsidRPr="00332F9E" w:rsidR="5F066D7E" w:rsidP="180099B3" w:rsidRDefault="689885B0" w14:paraId="70776619" w14:textId="77777777">
      <w:pPr>
        <w:spacing w:after="0" w:line="240" w:lineRule="auto"/>
        <w:jc w:val="center"/>
        <w:rPr>
          <w:rFonts w:ascii="Verdana" w:hAnsi="Verdana"/>
          <w:sz w:val="18"/>
          <w:szCs w:val="18"/>
        </w:rPr>
      </w:pPr>
      <w:r w:rsidRPr="180099B3">
        <w:rPr>
          <w:rFonts w:ascii="Verdana" w:hAnsi="Verdana" w:eastAsia="Arial" w:cs="Arial"/>
          <w:sz w:val="18"/>
          <w:szCs w:val="18"/>
        </w:rPr>
        <w:t>Gráfico No. 5.</w:t>
      </w:r>
      <w:r w:rsidRPr="180099B3" w:rsidR="03CDA6F8">
        <w:rPr>
          <w:rFonts w:ascii="Verdana" w:hAnsi="Verdana" w:eastAsia="Arial" w:cs="Arial"/>
          <w:sz w:val="18"/>
          <w:szCs w:val="18"/>
        </w:rPr>
        <w:t xml:space="preserve"> Propuesta de Mapa de Procesos</w:t>
      </w:r>
    </w:p>
    <w:p w:rsidRPr="00332F9E" w:rsidR="5F066D7E" w:rsidP="00332F9E" w:rsidRDefault="5F066D7E" w14:paraId="2F94C5A5" w14:textId="77777777">
      <w:pPr>
        <w:spacing w:after="0" w:line="240" w:lineRule="auto"/>
        <w:jc w:val="center"/>
        <w:rPr>
          <w:rFonts w:ascii="Verdana" w:hAnsi="Verdana"/>
          <w:sz w:val="18"/>
          <w:szCs w:val="18"/>
        </w:rPr>
      </w:pPr>
      <w:r w:rsidRPr="00332F9E">
        <w:rPr>
          <w:rFonts w:ascii="Verdana" w:hAnsi="Verdana"/>
          <w:noProof/>
          <w:sz w:val="18"/>
          <w:szCs w:val="18"/>
        </w:rPr>
        <w:drawing>
          <wp:inline distT="0" distB="0" distL="0" distR="0" wp14:anchorId="4C53FAF6" wp14:editId="4CCF81A3">
            <wp:extent cx="2981202" cy="2249619"/>
            <wp:effectExtent l="19050" t="19050" r="10160" b="17780"/>
            <wp:docPr id="33835639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356396" name="Picture 338356396"/>
                    <pic:cNvPicPr/>
                  </pic:nvPicPr>
                  <pic:blipFill>
                    <a:blip r:embed="rId29">
                      <a:extLst>
                        <a:ext uri="{28A0092B-C50C-407E-A947-70E740481C1C}">
                          <a14:useLocalDpi xmlns:a14="http://schemas.microsoft.com/office/drawing/2010/main"/>
                        </a:ext>
                      </a:extLst>
                    </a:blip>
                    <a:stretch>
                      <a:fillRect/>
                    </a:stretch>
                  </pic:blipFill>
                  <pic:spPr>
                    <a:xfrm>
                      <a:off x="0" y="0"/>
                      <a:ext cx="2981202" cy="2249619"/>
                    </a:xfrm>
                    <a:prstGeom prst="rect">
                      <a:avLst/>
                    </a:prstGeom>
                    <a:ln>
                      <a:solidFill>
                        <a:schemeClr val="tx1"/>
                      </a:solidFill>
                    </a:ln>
                  </pic:spPr>
                </pic:pic>
              </a:graphicData>
            </a:graphic>
          </wp:inline>
        </w:drawing>
      </w:r>
    </w:p>
    <w:p w:rsidRPr="00332F9E" w:rsidR="5F066D7E" w:rsidP="180099B3" w:rsidRDefault="03CDA6F8" w14:paraId="796F0874" w14:textId="77777777">
      <w:pPr>
        <w:spacing w:after="0" w:line="240" w:lineRule="auto"/>
        <w:jc w:val="center"/>
        <w:rPr>
          <w:rFonts w:ascii="Verdana" w:hAnsi="Verdana" w:eastAsia="Arial" w:cs="Arial"/>
          <w:sz w:val="18"/>
          <w:szCs w:val="18"/>
        </w:rPr>
      </w:pPr>
      <w:r w:rsidRPr="180099B3">
        <w:rPr>
          <w:rFonts w:ascii="Verdana" w:hAnsi="Verdana" w:eastAsia="Arial" w:cs="Arial"/>
          <w:sz w:val="18"/>
          <w:szCs w:val="18"/>
        </w:rPr>
        <w:t xml:space="preserve">Fuente: </w:t>
      </w:r>
      <w:r w:rsidRPr="180099B3" w:rsidR="317E4FFB">
        <w:rPr>
          <w:rFonts w:ascii="Verdana" w:hAnsi="Verdana" w:eastAsia="Arial" w:cs="Arial"/>
          <w:sz w:val="18"/>
          <w:szCs w:val="18"/>
        </w:rPr>
        <w:t>OPGI -</w:t>
      </w:r>
      <w:r w:rsidRPr="180099B3" w:rsidR="448D7AA3">
        <w:rPr>
          <w:rFonts w:ascii="Verdana" w:hAnsi="Verdana" w:eastAsia="Arial" w:cs="Arial"/>
          <w:sz w:val="18"/>
          <w:szCs w:val="18"/>
        </w:rPr>
        <w:t xml:space="preserve"> </w:t>
      </w:r>
      <w:r w:rsidRPr="180099B3" w:rsidR="317E4FFB">
        <w:rPr>
          <w:rFonts w:ascii="Verdana" w:hAnsi="Verdana" w:eastAsia="Arial" w:cs="Arial"/>
          <w:sz w:val="18"/>
          <w:szCs w:val="18"/>
        </w:rPr>
        <w:t>MME</w:t>
      </w:r>
    </w:p>
    <w:p w:rsidR="00332F9E" w:rsidP="00332F9E" w:rsidRDefault="00332F9E" w14:paraId="33A44F37" w14:textId="77777777">
      <w:pPr>
        <w:spacing w:after="0" w:line="240" w:lineRule="auto"/>
        <w:jc w:val="both"/>
        <w:rPr>
          <w:rFonts w:ascii="Verdana" w:hAnsi="Verdana" w:eastAsia="Arial" w:cs="Arial"/>
          <w:sz w:val="20"/>
          <w:szCs w:val="20"/>
        </w:rPr>
      </w:pPr>
    </w:p>
    <w:p w:rsidRPr="006A0A13" w:rsidR="5F066D7E" w:rsidP="00332F9E" w:rsidRDefault="5F066D7E" w14:paraId="417FBB3C" w14:textId="77777777">
      <w:pPr>
        <w:spacing w:after="0" w:line="240" w:lineRule="auto"/>
        <w:jc w:val="both"/>
        <w:rPr>
          <w:rFonts w:ascii="Verdana" w:hAnsi="Verdana" w:eastAsia="Arial" w:cs="Arial"/>
          <w:sz w:val="24"/>
          <w:szCs w:val="24"/>
        </w:rPr>
      </w:pPr>
      <w:r w:rsidRPr="006A0A13">
        <w:rPr>
          <w:rFonts w:ascii="Verdana" w:hAnsi="Verdana" w:eastAsia="Arial" w:cs="Arial"/>
          <w:sz w:val="24"/>
          <w:szCs w:val="24"/>
        </w:rPr>
        <w:t>Así mismo, en términos de documentación del SIG por tipo documental, se observa:</w:t>
      </w:r>
    </w:p>
    <w:p w:rsidRPr="00C140A0" w:rsidR="00332F9E" w:rsidP="00332F9E" w:rsidRDefault="00332F9E" w14:paraId="5C3EC6DC" w14:textId="77777777">
      <w:pPr>
        <w:spacing w:after="0" w:line="240" w:lineRule="auto"/>
        <w:jc w:val="both"/>
        <w:rPr>
          <w:rFonts w:ascii="Verdana" w:hAnsi="Verdana"/>
        </w:rPr>
      </w:pPr>
    </w:p>
    <w:tbl>
      <w:tblPr>
        <w:tblW w:w="0" w:type="auto"/>
        <w:jc w:val="center"/>
        <w:tblLook w:val="04A0" w:firstRow="1" w:lastRow="0" w:firstColumn="1" w:lastColumn="0" w:noHBand="0" w:noVBand="1"/>
      </w:tblPr>
      <w:tblGrid>
        <w:gridCol w:w="1545"/>
        <w:gridCol w:w="1320"/>
        <w:gridCol w:w="1545"/>
      </w:tblGrid>
      <w:tr w:rsidRPr="00332F9E" w:rsidR="6C3162D8" w:rsidTr="0FF05B1B" w14:paraId="334294E1" w14:textId="77777777">
        <w:trPr>
          <w:trHeight w:val="300"/>
          <w:jc w:val="center"/>
        </w:trPr>
        <w:tc>
          <w:tcPr>
            <w:tcW w:w="1545" w:type="dxa"/>
            <w:tcBorders>
              <w:top w:val="single" w:color="auto" w:sz="8" w:space="0"/>
              <w:left w:val="single" w:color="auto" w:sz="8" w:space="0"/>
              <w:bottom w:val="single" w:color="auto" w:sz="8" w:space="0"/>
              <w:right w:val="single" w:color="auto" w:sz="8" w:space="0"/>
            </w:tcBorders>
            <w:shd w:val="clear" w:color="auto" w:fill="A6A6A6" w:themeFill="background1" w:themeFillShade="A6"/>
            <w:tcMar>
              <w:left w:w="70" w:type="dxa"/>
              <w:right w:w="70" w:type="dxa"/>
            </w:tcMar>
            <w:vAlign w:val="center"/>
          </w:tcPr>
          <w:p w:rsidRPr="00332F9E" w:rsidR="6C3162D8" w:rsidP="180099B3" w:rsidRDefault="1ED134F5" w14:paraId="6F5FCC7F" w14:textId="77777777">
            <w:pPr>
              <w:spacing w:after="0"/>
              <w:jc w:val="center"/>
              <w:rPr>
                <w:rFonts w:ascii="Verdana" w:hAnsi="Verdana"/>
                <w:b/>
                <w:bCs/>
                <w:sz w:val="18"/>
                <w:szCs w:val="18"/>
              </w:rPr>
            </w:pPr>
            <w:r w:rsidRPr="180099B3">
              <w:rPr>
                <w:rFonts w:ascii="Verdana" w:hAnsi="Verdana" w:eastAsia="Arial" w:cs="Arial"/>
                <w:b/>
                <w:bCs/>
                <w:color w:val="000000" w:themeColor="text1"/>
                <w:sz w:val="18"/>
                <w:szCs w:val="18"/>
              </w:rPr>
              <w:t>Tipo documental</w:t>
            </w:r>
          </w:p>
        </w:tc>
        <w:tc>
          <w:tcPr>
            <w:tcW w:w="1320" w:type="dxa"/>
            <w:tcBorders>
              <w:top w:val="single" w:color="auto" w:sz="8" w:space="0"/>
              <w:left w:val="single" w:color="auto" w:sz="8" w:space="0"/>
              <w:bottom w:val="nil"/>
              <w:right w:val="nil"/>
            </w:tcBorders>
            <w:shd w:val="clear" w:color="auto" w:fill="A6A6A6" w:themeFill="background1" w:themeFillShade="A6"/>
            <w:tcMar>
              <w:left w:w="70" w:type="dxa"/>
              <w:right w:w="70" w:type="dxa"/>
            </w:tcMar>
            <w:vAlign w:val="center"/>
          </w:tcPr>
          <w:p w:rsidRPr="00332F9E" w:rsidR="6C3162D8" w:rsidP="180099B3" w:rsidRDefault="1ED134F5" w14:paraId="49351787" w14:textId="77777777">
            <w:pPr>
              <w:spacing w:after="0"/>
              <w:jc w:val="center"/>
              <w:rPr>
                <w:rFonts w:ascii="Verdana" w:hAnsi="Verdana"/>
                <w:b/>
                <w:bCs/>
                <w:sz w:val="18"/>
                <w:szCs w:val="18"/>
              </w:rPr>
            </w:pPr>
            <w:r w:rsidRPr="180099B3">
              <w:rPr>
                <w:rFonts w:ascii="Verdana" w:hAnsi="Verdana" w:eastAsia="Arial" w:cs="Arial"/>
                <w:b/>
                <w:bCs/>
                <w:color w:val="000000" w:themeColor="text1"/>
                <w:sz w:val="18"/>
                <w:szCs w:val="18"/>
              </w:rPr>
              <w:t>Cantidad</w:t>
            </w:r>
          </w:p>
        </w:tc>
        <w:tc>
          <w:tcPr>
            <w:tcW w:w="1545" w:type="dxa"/>
            <w:tcBorders>
              <w:top w:val="single" w:color="auto" w:sz="8" w:space="0"/>
              <w:left w:val="single" w:color="auto" w:sz="8" w:space="0"/>
              <w:bottom w:val="single" w:color="auto" w:sz="8" w:space="0"/>
              <w:right w:val="single" w:color="auto" w:sz="8" w:space="0"/>
            </w:tcBorders>
            <w:shd w:val="clear" w:color="auto" w:fill="A6A6A6" w:themeFill="background1" w:themeFillShade="A6"/>
            <w:tcMar>
              <w:left w:w="70" w:type="dxa"/>
              <w:right w:w="70" w:type="dxa"/>
            </w:tcMar>
            <w:vAlign w:val="center"/>
          </w:tcPr>
          <w:p w:rsidRPr="00332F9E" w:rsidR="6C3162D8" w:rsidP="180099B3" w:rsidRDefault="1ED134F5" w14:paraId="14D46565" w14:textId="77777777">
            <w:pPr>
              <w:spacing w:after="0"/>
              <w:jc w:val="center"/>
              <w:rPr>
                <w:rFonts w:ascii="Verdana" w:hAnsi="Verdana"/>
                <w:b/>
                <w:bCs/>
                <w:sz w:val="18"/>
                <w:szCs w:val="18"/>
              </w:rPr>
            </w:pPr>
            <w:r w:rsidRPr="180099B3">
              <w:rPr>
                <w:rFonts w:ascii="Verdana" w:hAnsi="Verdana" w:eastAsia="Arial" w:cs="Arial"/>
                <w:b/>
                <w:bCs/>
                <w:color w:val="000000" w:themeColor="text1"/>
                <w:sz w:val="18"/>
                <w:szCs w:val="18"/>
              </w:rPr>
              <w:t>Participación</w:t>
            </w:r>
          </w:p>
        </w:tc>
      </w:tr>
      <w:tr w:rsidRPr="00332F9E" w:rsidR="6C3162D8" w:rsidTr="0FF05B1B" w14:paraId="7DE0EA53" w14:textId="77777777">
        <w:trPr>
          <w:trHeight w:val="285"/>
          <w:jc w:val="center"/>
        </w:trPr>
        <w:tc>
          <w:tcPr>
            <w:tcW w:w="154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332F9E" w:rsidR="6C3162D8" w:rsidP="6C3162D8" w:rsidRDefault="6C3162D8" w14:paraId="1C5656A1" w14:textId="77777777">
            <w:pPr>
              <w:spacing w:after="0"/>
              <w:rPr>
                <w:rFonts w:ascii="Verdana" w:hAnsi="Verdana"/>
                <w:sz w:val="18"/>
                <w:szCs w:val="18"/>
              </w:rPr>
            </w:pPr>
            <w:r w:rsidRPr="00332F9E">
              <w:rPr>
                <w:rFonts w:ascii="Verdana" w:hAnsi="Verdana" w:eastAsia="Arial" w:cs="Arial"/>
                <w:color w:val="000000" w:themeColor="text1"/>
                <w:sz w:val="18"/>
                <w:szCs w:val="18"/>
              </w:rPr>
              <w:t>Formato</w:t>
            </w:r>
          </w:p>
        </w:tc>
        <w:tc>
          <w:tcPr>
            <w:tcW w:w="1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332F9E" w:rsidR="6C3162D8" w:rsidP="6C3162D8" w:rsidRDefault="6C3162D8" w14:paraId="37461EA1" w14:textId="77777777">
            <w:pPr>
              <w:spacing w:after="0"/>
              <w:jc w:val="center"/>
              <w:rPr>
                <w:rFonts w:ascii="Verdana" w:hAnsi="Verdana"/>
                <w:sz w:val="18"/>
                <w:szCs w:val="18"/>
              </w:rPr>
            </w:pPr>
            <w:r w:rsidRPr="00332F9E">
              <w:rPr>
                <w:rFonts w:ascii="Verdana" w:hAnsi="Verdana" w:eastAsia="Arial" w:cs="Arial"/>
                <w:color w:val="000000" w:themeColor="text1"/>
                <w:sz w:val="18"/>
                <w:szCs w:val="18"/>
              </w:rPr>
              <w:t>445</w:t>
            </w:r>
          </w:p>
        </w:tc>
        <w:tc>
          <w:tcPr>
            <w:tcW w:w="154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332F9E" w:rsidR="6C3162D8" w:rsidP="6C3162D8" w:rsidRDefault="6C3162D8" w14:paraId="1811CC8D" w14:textId="77777777">
            <w:pPr>
              <w:spacing w:after="0"/>
              <w:jc w:val="center"/>
              <w:rPr>
                <w:rFonts w:ascii="Verdana" w:hAnsi="Verdana"/>
                <w:sz w:val="18"/>
                <w:szCs w:val="18"/>
              </w:rPr>
            </w:pPr>
            <w:r w:rsidRPr="00332F9E">
              <w:rPr>
                <w:rFonts w:ascii="Verdana" w:hAnsi="Verdana" w:eastAsia="Arial" w:cs="Arial"/>
                <w:color w:val="000000" w:themeColor="text1"/>
                <w:sz w:val="18"/>
                <w:szCs w:val="18"/>
              </w:rPr>
              <w:t>43,8%</w:t>
            </w:r>
          </w:p>
        </w:tc>
      </w:tr>
      <w:tr w:rsidRPr="00332F9E" w:rsidR="6C3162D8" w:rsidTr="0FF05B1B" w14:paraId="588FBD5C" w14:textId="77777777">
        <w:trPr>
          <w:trHeight w:val="285"/>
          <w:jc w:val="center"/>
        </w:trPr>
        <w:tc>
          <w:tcPr>
            <w:tcW w:w="154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332F9E" w:rsidR="6C3162D8" w:rsidP="6C3162D8" w:rsidRDefault="6C3162D8" w14:paraId="388A7FB1" w14:textId="77777777">
            <w:pPr>
              <w:spacing w:after="0"/>
              <w:rPr>
                <w:rFonts w:ascii="Verdana" w:hAnsi="Verdana"/>
                <w:sz w:val="18"/>
                <w:szCs w:val="18"/>
              </w:rPr>
            </w:pPr>
            <w:r w:rsidRPr="00332F9E">
              <w:rPr>
                <w:rFonts w:ascii="Verdana" w:hAnsi="Verdana" w:eastAsia="Arial" w:cs="Arial"/>
                <w:color w:val="000000" w:themeColor="text1"/>
                <w:sz w:val="18"/>
                <w:szCs w:val="18"/>
              </w:rPr>
              <w:t>Procedimiento</w:t>
            </w:r>
          </w:p>
        </w:tc>
        <w:tc>
          <w:tcPr>
            <w:tcW w:w="1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332F9E" w:rsidR="6C3162D8" w:rsidP="6C3162D8" w:rsidRDefault="6C3162D8" w14:paraId="345187C9" w14:textId="77777777">
            <w:pPr>
              <w:spacing w:after="0"/>
              <w:jc w:val="center"/>
              <w:rPr>
                <w:rFonts w:ascii="Verdana" w:hAnsi="Verdana"/>
                <w:sz w:val="18"/>
                <w:szCs w:val="18"/>
              </w:rPr>
            </w:pPr>
            <w:r w:rsidRPr="00332F9E">
              <w:rPr>
                <w:rFonts w:ascii="Verdana" w:hAnsi="Verdana" w:eastAsia="Arial" w:cs="Arial"/>
                <w:color w:val="000000" w:themeColor="text1"/>
                <w:sz w:val="18"/>
                <w:szCs w:val="18"/>
              </w:rPr>
              <w:t>259</w:t>
            </w:r>
          </w:p>
        </w:tc>
        <w:tc>
          <w:tcPr>
            <w:tcW w:w="154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332F9E" w:rsidR="6C3162D8" w:rsidP="6C3162D8" w:rsidRDefault="6C3162D8" w14:paraId="36D305BC" w14:textId="77777777">
            <w:pPr>
              <w:spacing w:after="0"/>
              <w:jc w:val="center"/>
              <w:rPr>
                <w:rFonts w:ascii="Verdana" w:hAnsi="Verdana"/>
                <w:sz w:val="18"/>
                <w:szCs w:val="18"/>
              </w:rPr>
            </w:pPr>
            <w:r w:rsidRPr="00332F9E">
              <w:rPr>
                <w:rFonts w:ascii="Verdana" w:hAnsi="Verdana" w:eastAsia="Arial" w:cs="Arial"/>
                <w:color w:val="000000" w:themeColor="text1"/>
                <w:sz w:val="18"/>
                <w:szCs w:val="18"/>
              </w:rPr>
              <w:t>25,4%</w:t>
            </w:r>
          </w:p>
        </w:tc>
      </w:tr>
      <w:tr w:rsidRPr="00332F9E" w:rsidR="6C3162D8" w:rsidTr="0FF05B1B" w14:paraId="2310A057" w14:textId="77777777">
        <w:trPr>
          <w:trHeight w:val="285"/>
          <w:jc w:val="center"/>
        </w:trPr>
        <w:tc>
          <w:tcPr>
            <w:tcW w:w="154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332F9E" w:rsidR="6C3162D8" w:rsidP="6C3162D8" w:rsidRDefault="6C3162D8" w14:paraId="1D6057E1" w14:textId="77777777">
            <w:pPr>
              <w:spacing w:after="0"/>
              <w:rPr>
                <w:rFonts w:ascii="Verdana" w:hAnsi="Verdana"/>
                <w:sz w:val="18"/>
                <w:szCs w:val="18"/>
              </w:rPr>
            </w:pPr>
            <w:r w:rsidRPr="00332F9E">
              <w:rPr>
                <w:rFonts w:ascii="Verdana" w:hAnsi="Verdana" w:eastAsia="Arial" w:cs="Arial"/>
                <w:color w:val="000000" w:themeColor="text1"/>
                <w:sz w:val="18"/>
                <w:szCs w:val="18"/>
              </w:rPr>
              <w:t>Manual</w:t>
            </w:r>
          </w:p>
        </w:tc>
        <w:tc>
          <w:tcPr>
            <w:tcW w:w="1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332F9E" w:rsidR="6C3162D8" w:rsidP="6C3162D8" w:rsidRDefault="6C3162D8" w14:paraId="141803F8" w14:textId="77777777">
            <w:pPr>
              <w:spacing w:after="0"/>
              <w:jc w:val="center"/>
              <w:rPr>
                <w:rFonts w:ascii="Verdana" w:hAnsi="Verdana"/>
                <w:sz w:val="18"/>
                <w:szCs w:val="18"/>
              </w:rPr>
            </w:pPr>
            <w:r w:rsidRPr="00332F9E">
              <w:rPr>
                <w:rFonts w:ascii="Verdana" w:hAnsi="Verdana" w:eastAsia="Arial" w:cs="Arial"/>
                <w:color w:val="000000" w:themeColor="text1"/>
                <w:sz w:val="18"/>
                <w:szCs w:val="18"/>
              </w:rPr>
              <w:t>222</w:t>
            </w:r>
          </w:p>
        </w:tc>
        <w:tc>
          <w:tcPr>
            <w:tcW w:w="154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332F9E" w:rsidR="6C3162D8" w:rsidP="6C3162D8" w:rsidRDefault="6C3162D8" w14:paraId="785D0187" w14:textId="77777777">
            <w:pPr>
              <w:spacing w:after="0"/>
              <w:jc w:val="center"/>
              <w:rPr>
                <w:rFonts w:ascii="Verdana" w:hAnsi="Verdana"/>
                <w:sz w:val="18"/>
                <w:szCs w:val="18"/>
              </w:rPr>
            </w:pPr>
            <w:r w:rsidRPr="00332F9E">
              <w:rPr>
                <w:rFonts w:ascii="Verdana" w:hAnsi="Verdana" w:eastAsia="Arial" w:cs="Arial"/>
                <w:color w:val="000000" w:themeColor="text1"/>
                <w:sz w:val="18"/>
                <w:szCs w:val="18"/>
              </w:rPr>
              <w:t>21,8%</w:t>
            </w:r>
          </w:p>
        </w:tc>
      </w:tr>
      <w:tr w:rsidRPr="00332F9E" w:rsidR="6C3162D8" w:rsidTr="0FF05B1B" w14:paraId="4CA91F43" w14:textId="77777777">
        <w:trPr>
          <w:trHeight w:val="285"/>
          <w:jc w:val="center"/>
        </w:trPr>
        <w:tc>
          <w:tcPr>
            <w:tcW w:w="154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332F9E" w:rsidR="6C3162D8" w:rsidP="6C3162D8" w:rsidRDefault="6C3162D8" w14:paraId="4FE3ECAA" w14:textId="77777777">
            <w:pPr>
              <w:spacing w:after="0"/>
              <w:rPr>
                <w:rFonts w:ascii="Verdana" w:hAnsi="Verdana"/>
                <w:sz w:val="18"/>
                <w:szCs w:val="18"/>
              </w:rPr>
            </w:pPr>
            <w:r w:rsidRPr="00332F9E">
              <w:rPr>
                <w:rFonts w:ascii="Verdana" w:hAnsi="Verdana" w:eastAsia="Arial" w:cs="Arial"/>
                <w:color w:val="000000" w:themeColor="text1"/>
                <w:sz w:val="18"/>
                <w:szCs w:val="18"/>
              </w:rPr>
              <w:t>Instructivo</w:t>
            </w:r>
          </w:p>
        </w:tc>
        <w:tc>
          <w:tcPr>
            <w:tcW w:w="1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332F9E" w:rsidR="6C3162D8" w:rsidP="6C3162D8" w:rsidRDefault="6C3162D8" w14:paraId="75FB2566" w14:textId="77777777">
            <w:pPr>
              <w:spacing w:after="0"/>
              <w:jc w:val="center"/>
              <w:rPr>
                <w:rFonts w:ascii="Verdana" w:hAnsi="Verdana"/>
                <w:sz w:val="18"/>
                <w:szCs w:val="18"/>
              </w:rPr>
            </w:pPr>
            <w:r w:rsidRPr="00332F9E">
              <w:rPr>
                <w:rFonts w:ascii="Verdana" w:hAnsi="Verdana" w:eastAsia="Arial" w:cs="Arial"/>
                <w:color w:val="000000" w:themeColor="text1"/>
                <w:sz w:val="18"/>
                <w:szCs w:val="18"/>
              </w:rPr>
              <w:t>40</w:t>
            </w:r>
          </w:p>
        </w:tc>
        <w:tc>
          <w:tcPr>
            <w:tcW w:w="154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332F9E" w:rsidR="6C3162D8" w:rsidP="6C3162D8" w:rsidRDefault="6C3162D8" w14:paraId="3ED6AC9F" w14:textId="77777777">
            <w:pPr>
              <w:spacing w:after="0"/>
              <w:jc w:val="center"/>
              <w:rPr>
                <w:rFonts w:ascii="Verdana" w:hAnsi="Verdana"/>
                <w:sz w:val="18"/>
                <w:szCs w:val="18"/>
              </w:rPr>
            </w:pPr>
            <w:r w:rsidRPr="00332F9E">
              <w:rPr>
                <w:rFonts w:ascii="Verdana" w:hAnsi="Verdana" w:eastAsia="Arial" w:cs="Arial"/>
                <w:color w:val="000000" w:themeColor="text1"/>
                <w:sz w:val="18"/>
                <w:szCs w:val="18"/>
              </w:rPr>
              <w:t>3,9%</w:t>
            </w:r>
          </w:p>
        </w:tc>
      </w:tr>
      <w:tr w:rsidRPr="00332F9E" w:rsidR="6C3162D8" w:rsidTr="0FF05B1B" w14:paraId="23B82281" w14:textId="77777777">
        <w:trPr>
          <w:trHeight w:val="285"/>
          <w:jc w:val="center"/>
        </w:trPr>
        <w:tc>
          <w:tcPr>
            <w:tcW w:w="154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332F9E" w:rsidR="6C3162D8" w:rsidP="6C3162D8" w:rsidRDefault="6C3162D8" w14:paraId="0F211C78" w14:textId="77777777">
            <w:pPr>
              <w:spacing w:after="0"/>
              <w:rPr>
                <w:rFonts w:ascii="Verdana" w:hAnsi="Verdana"/>
                <w:sz w:val="18"/>
                <w:szCs w:val="18"/>
              </w:rPr>
            </w:pPr>
            <w:r w:rsidRPr="00332F9E">
              <w:rPr>
                <w:rFonts w:ascii="Verdana" w:hAnsi="Verdana" w:eastAsia="Arial" w:cs="Arial"/>
                <w:color w:val="000000" w:themeColor="text1"/>
                <w:sz w:val="18"/>
                <w:szCs w:val="18"/>
              </w:rPr>
              <w:t>Guía</w:t>
            </w:r>
          </w:p>
        </w:tc>
        <w:tc>
          <w:tcPr>
            <w:tcW w:w="1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332F9E" w:rsidR="6C3162D8" w:rsidP="6C3162D8" w:rsidRDefault="6C3162D8" w14:paraId="044DD3E1" w14:textId="77777777">
            <w:pPr>
              <w:spacing w:after="0"/>
              <w:jc w:val="center"/>
              <w:rPr>
                <w:rFonts w:ascii="Verdana" w:hAnsi="Verdana"/>
                <w:sz w:val="18"/>
                <w:szCs w:val="18"/>
              </w:rPr>
            </w:pPr>
            <w:r w:rsidRPr="00332F9E">
              <w:rPr>
                <w:rFonts w:ascii="Verdana" w:hAnsi="Verdana" w:eastAsia="Arial" w:cs="Arial"/>
                <w:color w:val="000000" w:themeColor="text1"/>
                <w:sz w:val="18"/>
                <w:szCs w:val="18"/>
              </w:rPr>
              <w:t>35</w:t>
            </w:r>
          </w:p>
        </w:tc>
        <w:tc>
          <w:tcPr>
            <w:tcW w:w="154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332F9E" w:rsidR="6C3162D8" w:rsidP="6C3162D8" w:rsidRDefault="6C3162D8" w14:paraId="38C61FA0" w14:textId="77777777">
            <w:pPr>
              <w:spacing w:after="0"/>
              <w:jc w:val="center"/>
              <w:rPr>
                <w:rFonts w:ascii="Verdana" w:hAnsi="Verdana"/>
                <w:sz w:val="18"/>
                <w:szCs w:val="18"/>
              </w:rPr>
            </w:pPr>
            <w:r w:rsidRPr="00332F9E">
              <w:rPr>
                <w:rFonts w:ascii="Verdana" w:hAnsi="Verdana" w:eastAsia="Arial" w:cs="Arial"/>
                <w:color w:val="000000" w:themeColor="text1"/>
                <w:sz w:val="18"/>
                <w:szCs w:val="18"/>
              </w:rPr>
              <w:t>3,4%</w:t>
            </w:r>
          </w:p>
        </w:tc>
      </w:tr>
      <w:tr w:rsidRPr="00332F9E" w:rsidR="6C3162D8" w:rsidTr="0FF05B1B" w14:paraId="59FDFE2D" w14:textId="77777777">
        <w:trPr>
          <w:trHeight w:val="300"/>
          <w:jc w:val="center"/>
        </w:trPr>
        <w:tc>
          <w:tcPr>
            <w:tcW w:w="154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332F9E" w:rsidR="6C3162D8" w:rsidP="6C3162D8" w:rsidRDefault="6C3162D8" w14:paraId="6A107F7C" w14:textId="77777777">
            <w:pPr>
              <w:spacing w:after="0"/>
              <w:rPr>
                <w:rFonts w:ascii="Verdana" w:hAnsi="Verdana"/>
                <w:sz w:val="18"/>
                <w:szCs w:val="18"/>
              </w:rPr>
            </w:pPr>
            <w:r w:rsidRPr="00332F9E">
              <w:rPr>
                <w:rFonts w:ascii="Verdana" w:hAnsi="Verdana" w:eastAsia="Arial" w:cs="Arial"/>
                <w:color w:val="000000" w:themeColor="text1"/>
                <w:sz w:val="18"/>
                <w:szCs w:val="18"/>
              </w:rPr>
              <w:t>Caracterización</w:t>
            </w:r>
          </w:p>
        </w:tc>
        <w:tc>
          <w:tcPr>
            <w:tcW w:w="1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332F9E" w:rsidR="6C3162D8" w:rsidP="6C3162D8" w:rsidRDefault="6C3162D8" w14:paraId="15F7A2F9" w14:textId="77777777">
            <w:pPr>
              <w:spacing w:after="0"/>
              <w:jc w:val="center"/>
              <w:rPr>
                <w:rFonts w:ascii="Verdana" w:hAnsi="Verdana"/>
                <w:sz w:val="18"/>
                <w:szCs w:val="18"/>
              </w:rPr>
            </w:pPr>
            <w:r w:rsidRPr="00332F9E">
              <w:rPr>
                <w:rFonts w:ascii="Verdana" w:hAnsi="Verdana" w:eastAsia="Arial" w:cs="Arial"/>
                <w:color w:val="000000" w:themeColor="text1"/>
                <w:sz w:val="18"/>
                <w:szCs w:val="18"/>
              </w:rPr>
              <w:t>19</w:t>
            </w:r>
          </w:p>
        </w:tc>
        <w:tc>
          <w:tcPr>
            <w:tcW w:w="154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332F9E" w:rsidR="6C3162D8" w:rsidP="6C3162D8" w:rsidRDefault="6C3162D8" w14:paraId="5833E5A6" w14:textId="77777777">
            <w:pPr>
              <w:spacing w:after="0"/>
              <w:jc w:val="center"/>
              <w:rPr>
                <w:rFonts w:ascii="Verdana" w:hAnsi="Verdana"/>
                <w:sz w:val="18"/>
                <w:szCs w:val="18"/>
              </w:rPr>
            </w:pPr>
            <w:r w:rsidRPr="00332F9E">
              <w:rPr>
                <w:rFonts w:ascii="Verdana" w:hAnsi="Verdana" w:eastAsia="Arial" w:cs="Arial"/>
                <w:color w:val="000000" w:themeColor="text1"/>
                <w:sz w:val="18"/>
                <w:szCs w:val="18"/>
              </w:rPr>
              <w:t>1,7%</w:t>
            </w:r>
          </w:p>
        </w:tc>
      </w:tr>
    </w:tbl>
    <w:p w:rsidRPr="00332F9E" w:rsidR="4A9E0D2F" w:rsidP="180099B3" w:rsidRDefault="774FD5C4" w14:paraId="000CDB45" w14:textId="77777777">
      <w:pPr>
        <w:jc w:val="center"/>
        <w:rPr>
          <w:rFonts w:ascii="Verdana" w:hAnsi="Verdana" w:eastAsia="Arial" w:cs="Arial"/>
          <w:sz w:val="18"/>
          <w:szCs w:val="18"/>
        </w:rPr>
      </w:pPr>
      <w:r w:rsidRPr="180099B3">
        <w:rPr>
          <w:rFonts w:ascii="Verdana" w:hAnsi="Verdana" w:eastAsia="Arial" w:cs="Arial"/>
          <w:sz w:val="18"/>
          <w:szCs w:val="18"/>
        </w:rPr>
        <w:t xml:space="preserve">  </w:t>
      </w:r>
      <w:r w:rsidRPr="180099B3" w:rsidR="0B6F26AF">
        <w:rPr>
          <w:rFonts w:ascii="Verdana" w:hAnsi="Verdana" w:eastAsia="Arial" w:cs="Arial"/>
          <w:sz w:val="18"/>
          <w:szCs w:val="18"/>
        </w:rPr>
        <w:t xml:space="preserve">Fuente: </w:t>
      </w:r>
      <w:r w:rsidRPr="180099B3" w:rsidR="0F6995E6">
        <w:rPr>
          <w:rFonts w:ascii="Verdana" w:hAnsi="Verdana" w:eastAsia="Arial" w:cs="Arial"/>
          <w:sz w:val="18"/>
          <w:szCs w:val="18"/>
        </w:rPr>
        <w:t>OPGI - MME</w:t>
      </w:r>
    </w:p>
    <w:p w:rsidRPr="00C140A0" w:rsidR="002A32A3" w:rsidP="00332F9E" w:rsidRDefault="002A32A3" w14:paraId="08448E28" w14:textId="77777777">
      <w:pPr>
        <w:spacing w:after="0" w:line="360" w:lineRule="auto"/>
        <w:rPr>
          <w:rFonts w:ascii="Verdana" w:hAnsi="Verdana"/>
        </w:rPr>
      </w:pPr>
    </w:p>
    <w:p w:rsidRPr="00C140A0" w:rsidR="003C4398" w:rsidRDefault="003C4398" w14:paraId="490E4ED4" w14:textId="77777777">
      <w:pPr>
        <w:pStyle w:val="Ttulo2"/>
        <w:numPr>
          <w:ilvl w:val="1"/>
          <w:numId w:val="42"/>
        </w:numPr>
        <w:spacing w:before="0" w:after="0" w:line="360" w:lineRule="auto"/>
        <w:rPr>
          <w:rFonts w:ascii="Verdana" w:hAnsi="Verdana"/>
          <w:b/>
          <w:bCs/>
          <w:color w:val="auto"/>
          <w:sz w:val="24"/>
          <w:szCs w:val="24"/>
        </w:rPr>
      </w:pPr>
      <w:bookmarkStart w:name="_Toc233996747" w:id="30"/>
      <w:r w:rsidRPr="00C140A0">
        <w:rPr>
          <w:rFonts w:ascii="Verdana" w:hAnsi="Verdana"/>
          <w:b/>
          <w:bCs/>
          <w:color w:val="auto"/>
          <w:sz w:val="24"/>
          <w:szCs w:val="24"/>
        </w:rPr>
        <w:t>Gestión de riesgos y líneas de defensa en la gestión</w:t>
      </w:r>
      <w:bookmarkEnd w:id="30"/>
    </w:p>
    <w:p w:rsidRPr="00C140A0" w:rsidR="00C04ED5" w:rsidP="006A0A13" w:rsidRDefault="00C04ED5" w14:paraId="44F2E849" w14:textId="77777777">
      <w:pPr>
        <w:spacing w:after="0" w:line="360" w:lineRule="auto"/>
        <w:rPr>
          <w:rFonts w:ascii="Verdana" w:hAnsi="Verdana"/>
          <w:sz w:val="24"/>
          <w:szCs w:val="24"/>
        </w:rPr>
      </w:pPr>
    </w:p>
    <w:p w:rsidRPr="00C140A0" w:rsidR="004C2578" w:rsidP="006A0A13" w:rsidRDefault="004C2578" w14:paraId="35C614E8" w14:textId="77777777">
      <w:pPr>
        <w:spacing w:after="0" w:line="360" w:lineRule="auto"/>
        <w:jc w:val="both"/>
        <w:rPr>
          <w:rFonts w:ascii="Verdana" w:hAnsi="Verdana"/>
          <w:sz w:val="24"/>
          <w:szCs w:val="24"/>
        </w:rPr>
      </w:pPr>
      <w:r w:rsidRPr="00C140A0">
        <w:rPr>
          <w:rFonts w:ascii="Verdana" w:hAnsi="Verdana"/>
          <w:sz w:val="24"/>
          <w:szCs w:val="24"/>
        </w:rPr>
        <w:t>Durante el cuatrienio, la Oficina de Control Interno, en el marco de su rol como tercera línea de defensa y bajo el enfoque del MIPG y la Guía de Gestión Integral del Riesgo del DAFP, fortaleció el ejercicio de evaluación independiente y aseguramiento sobre la gestión institucional del riesgo, mediante un análisis integral que articuló la matriz de riesgos institucional, los resultados de auditorías internas, evaluaciones y seguimientos, así como, las situaciones susceptibles de mejora identificadas. Este ejercicio permitió generar alertas sobre las debilidades en la identificación, tratamiento, monitoreo y efectividad de los controles, así como evidenciar oportunidades de fortalecimiento en la articulación entre riesgos, auditorías y planes de mejora.</w:t>
      </w:r>
    </w:p>
    <w:p w:rsidR="00332F9E" w:rsidP="006A0A13" w:rsidRDefault="00332F9E" w14:paraId="0B1CE0B3" w14:textId="77777777">
      <w:pPr>
        <w:spacing w:after="0" w:line="360" w:lineRule="auto"/>
        <w:jc w:val="both"/>
        <w:rPr>
          <w:rFonts w:ascii="Verdana" w:hAnsi="Verdana"/>
          <w:sz w:val="24"/>
          <w:szCs w:val="24"/>
        </w:rPr>
      </w:pPr>
    </w:p>
    <w:p w:rsidRPr="00C140A0" w:rsidR="004C2578" w:rsidP="006A0A13" w:rsidRDefault="004C2578" w14:paraId="6DE4F363" w14:textId="77777777">
      <w:pPr>
        <w:spacing w:after="0" w:line="360" w:lineRule="auto"/>
        <w:jc w:val="both"/>
        <w:rPr>
          <w:rFonts w:ascii="Verdana" w:hAnsi="Verdana"/>
          <w:sz w:val="24"/>
          <w:szCs w:val="24"/>
        </w:rPr>
      </w:pPr>
      <w:r w:rsidRPr="00C140A0">
        <w:rPr>
          <w:rFonts w:ascii="Verdana" w:hAnsi="Verdana"/>
          <w:sz w:val="24"/>
          <w:szCs w:val="24"/>
        </w:rPr>
        <w:t>De igual manera, se promovió un enfoque basado en riesgos orientado a apoyar la toma de decisiones de la Alta Dirección, priorizando aspectos asociados a criticidad, materialización y nivel de exposición residual, esto con el propósito de contribuir al fortalecimiento del Sistema de Control Interno y la mejora continua de la gestión institucional.</w:t>
      </w:r>
    </w:p>
    <w:p w:rsidR="00332F9E" w:rsidP="006A0A13" w:rsidRDefault="00332F9E" w14:paraId="035A1E4C" w14:textId="77777777">
      <w:pPr>
        <w:spacing w:after="0" w:line="360" w:lineRule="auto"/>
        <w:jc w:val="both"/>
        <w:rPr>
          <w:rFonts w:ascii="Verdana" w:hAnsi="Verdana"/>
          <w:sz w:val="24"/>
          <w:szCs w:val="24"/>
        </w:rPr>
      </w:pPr>
    </w:p>
    <w:p w:rsidRPr="00C140A0" w:rsidR="004C2578" w:rsidP="006A0A13" w:rsidRDefault="004C2578" w14:paraId="3348EA81" w14:textId="77777777">
      <w:pPr>
        <w:spacing w:after="0" w:line="360" w:lineRule="auto"/>
        <w:jc w:val="both"/>
        <w:rPr>
          <w:rFonts w:ascii="Verdana" w:hAnsi="Verdana"/>
          <w:sz w:val="24"/>
          <w:szCs w:val="24"/>
        </w:rPr>
      </w:pPr>
      <w:r w:rsidRPr="00C140A0">
        <w:rPr>
          <w:rFonts w:ascii="Verdana" w:hAnsi="Verdana"/>
          <w:sz w:val="24"/>
          <w:szCs w:val="24"/>
        </w:rPr>
        <w:t>Por su parte, desde la Segunda Línea de Defensa a cargo de la Oficina de Planeación de Gestión Internacional encargada de la administración de los riesgos institucionales, se resalta a continuación los avances más relevantes que se han gestionado con los diferentes procesos a fin de contar con un modelo más fortalecido con control de riesgos.</w:t>
      </w:r>
    </w:p>
    <w:p w:rsidR="00332F9E" w:rsidP="006A0A13" w:rsidRDefault="00332F9E" w14:paraId="0F5926BD" w14:textId="77777777">
      <w:pPr>
        <w:spacing w:after="0" w:line="360" w:lineRule="auto"/>
        <w:jc w:val="both"/>
        <w:rPr>
          <w:rFonts w:ascii="Verdana" w:hAnsi="Verdana"/>
          <w:sz w:val="24"/>
          <w:szCs w:val="24"/>
        </w:rPr>
      </w:pPr>
    </w:p>
    <w:p w:rsidRPr="00C140A0" w:rsidR="004C2578" w:rsidP="006A0A13" w:rsidRDefault="004C2578" w14:paraId="6A2FEC43" w14:textId="77777777">
      <w:pPr>
        <w:spacing w:after="0" w:line="360" w:lineRule="auto"/>
        <w:jc w:val="both"/>
        <w:rPr>
          <w:rFonts w:ascii="Verdana" w:hAnsi="Verdana"/>
          <w:sz w:val="24"/>
          <w:szCs w:val="24"/>
        </w:rPr>
      </w:pPr>
      <w:r w:rsidRPr="00C140A0">
        <w:rPr>
          <w:rFonts w:ascii="Verdana" w:hAnsi="Verdana"/>
          <w:sz w:val="24"/>
          <w:szCs w:val="24"/>
        </w:rPr>
        <w:t xml:space="preserve">Desde agosto de 2022 a la finalización del 2025, el Ministerio de Minas y Energía administró sus riesgos de gestión, corrupción y de seguridad y privacidad de la información conforme los lineamientos de la guía para la gestión de riesgos del Departamento Administrativo de la Función Pública </w:t>
      </w:r>
      <w:r w:rsidRPr="00C140A0">
        <w:rPr>
          <w:rFonts w:ascii="Verdana" w:hAnsi="Verdana"/>
          <w:sz w:val="24"/>
          <w:szCs w:val="24"/>
        </w:rPr>
        <w:t>en su versión 6, publicando sus mapas de riesgos y seguimientos de riesgos en la página web del ministerio, conforme mandato del hoy extinto Plan Anticorrupción y de Atención al Ciudadano.</w:t>
      </w:r>
    </w:p>
    <w:p w:rsidR="00332F9E" w:rsidP="006A0A13" w:rsidRDefault="00332F9E" w14:paraId="4B87AABE" w14:textId="77777777">
      <w:pPr>
        <w:spacing w:after="0" w:line="360" w:lineRule="auto"/>
        <w:jc w:val="both"/>
        <w:rPr>
          <w:rFonts w:ascii="Verdana" w:hAnsi="Verdana"/>
          <w:sz w:val="24"/>
          <w:szCs w:val="24"/>
        </w:rPr>
      </w:pPr>
    </w:p>
    <w:p w:rsidRPr="00C140A0" w:rsidR="004C2578" w:rsidP="006A0A13" w:rsidRDefault="004C2578" w14:paraId="2EAE2426" w14:textId="77777777">
      <w:pPr>
        <w:spacing w:after="0" w:line="360" w:lineRule="auto"/>
        <w:jc w:val="both"/>
        <w:rPr>
          <w:rFonts w:ascii="Verdana" w:hAnsi="Verdana"/>
          <w:sz w:val="24"/>
          <w:szCs w:val="24"/>
        </w:rPr>
      </w:pPr>
      <w:r w:rsidRPr="00C140A0">
        <w:rPr>
          <w:rFonts w:ascii="Verdana" w:hAnsi="Verdana"/>
          <w:sz w:val="24"/>
          <w:szCs w:val="24"/>
        </w:rPr>
        <w:t>Derivado de ello, se publicaron los mapas de riesgos de cada vigencia, incluyendo su valoración y definición de tratamiento respectivo en cada caso. Asimismo, se realizaron los seguimientos trimestrales en cuanto al monitoreo de la ejecución de los controles asociados a ello, por parte de la segunda línea de defensa del Sistema de Control Interno.</w:t>
      </w:r>
    </w:p>
    <w:p w:rsidR="00332F9E" w:rsidP="006A0A13" w:rsidRDefault="00332F9E" w14:paraId="69AD9993" w14:textId="77777777">
      <w:pPr>
        <w:spacing w:after="0" w:line="360" w:lineRule="auto"/>
        <w:jc w:val="both"/>
        <w:rPr>
          <w:rFonts w:ascii="Verdana" w:hAnsi="Verdana"/>
          <w:sz w:val="24"/>
          <w:szCs w:val="24"/>
        </w:rPr>
      </w:pPr>
    </w:p>
    <w:p w:rsidRPr="00C140A0" w:rsidR="004C2578" w:rsidP="006A0A13" w:rsidRDefault="004C2578" w14:paraId="43E97917" w14:textId="77777777">
      <w:pPr>
        <w:spacing w:after="0" w:line="360" w:lineRule="auto"/>
        <w:jc w:val="both"/>
        <w:rPr>
          <w:rFonts w:ascii="Verdana" w:hAnsi="Verdana"/>
          <w:sz w:val="24"/>
          <w:szCs w:val="24"/>
        </w:rPr>
      </w:pPr>
      <w:r w:rsidRPr="00C140A0">
        <w:rPr>
          <w:rFonts w:ascii="Verdana" w:hAnsi="Verdana"/>
          <w:sz w:val="24"/>
          <w:szCs w:val="24"/>
        </w:rPr>
        <w:t>Por su parte, la tercera línea de defensa evaluó la efectividad de controles y el cumplimiento de las responsabilidades relativas a la gestión de riesgo por parte de las demás líneas de defensa (Estratégica, primera y segunda) presentando sus informes respectivos en el marco de su Plan Anual de Auditorias y Seguimientos de Ley e informando de sus resultados al Comité Institucional de Control Interno en cada una de sus sesiones.</w:t>
      </w:r>
    </w:p>
    <w:p w:rsidR="00332F9E" w:rsidP="006A0A13" w:rsidRDefault="00332F9E" w14:paraId="6ED73547" w14:textId="77777777">
      <w:pPr>
        <w:spacing w:after="0" w:line="360" w:lineRule="auto"/>
        <w:jc w:val="both"/>
        <w:rPr>
          <w:rFonts w:ascii="Verdana" w:hAnsi="Verdana"/>
          <w:sz w:val="24"/>
          <w:szCs w:val="24"/>
        </w:rPr>
      </w:pPr>
    </w:p>
    <w:p w:rsidRPr="00C140A0" w:rsidR="004C2578" w:rsidP="006A0A13" w:rsidRDefault="004C2578" w14:paraId="5123E166" w14:textId="77777777">
      <w:pPr>
        <w:spacing w:after="0" w:line="360" w:lineRule="auto"/>
        <w:jc w:val="both"/>
        <w:rPr>
          <w:rFonts w:ascii="Verdana" w:hAnsi="Verdana"/>
          <w:sz w:val="24"/>
          <w:szCs w:val="24"/>
        </w:rPr>
      </w:pPr>
      <w:r w:rsidRPr="00C140A0">
        <w:rPr>
          <w:rFonts w:ascii="Verdana" w:hAnsi="Verdana"/>
          <w:sz w:val="24"/>
          <w:szCs w:val="24"/>
        </w:rPr>
        <w:t>Durante el 2026, el Ministerio de Minas y Energía viene gestionando sus riesgos de gestión, fiscales, de integridad pública y de seguridad de la información aplicando lineamientos de la guía para la gestión de riesgos del Departamento Administrativo de la Función Pública en su versión 6.</w:t>
      </w:r>
    </w:p>
    <w:p w:rsidR="00332F9E" w:rsidP="006A0A13" w:rsidRDefault="00332F9E" w14:paraId="688AE297" w14:textId="77777777">
      <w:pPr>
        <w:spacing w:after="0" w:line="360" w:lineRule="auto"/>
        <w:jc w:val="both"/>
        <w:rPr>
          <w:rFonts w:ascii="Verdana" w:hAnsi="Verdana"/>
          <w:sz w:val="24"/>
          <w:szCs w:val="24"/>
        </w:rPr>
      </w:pPr>
    </w:p>
    <w:p w:rsidRPr="00C140A0" w:rsidR="004C2578" w:rsidP="006A0A13" w:rsidRDefault="004C2578" w14:paraId="3323A135" w14:textId="77777777">
      <w:pPr>
        <w:spacing w:after="0" w:line="360" w:lineRule="auto"/>
        <w:jc w:val="both"/>
        <w:rPr>
          <w:rFonts w:ascii="Verdana" w:hAnsi="Verdana"/>
          <w:sz w:val="24"/>
          <w:szCs w:val="24"/>
        </w:rPr>
      </w:pPr>
      <w:r w:rsidRPr="00C140A0">
        <w:rPr>
          <w:rFonts w:ascii="Verdana" w:hAnsi="Verdana"/>
          <w:sz w:val="24"/>
          <w:szCs w:val="24"/>
        </w:rPr>
        <w:t xml:space="preserve">Durante la presente vigencia la entidad se encuentra en proceso de transición de la aplicación de los lineamientos metodológicos introducidos por la versión 7 de la referida guía emitida en septiembre de 2025. </w:t>
      </w:r>
    </w:p>
    <w:p w:rsidR="00332F9E" w:rsidP="006A0A13" w:rsidRDefault="00332F9E" w14:paraId="78EC4CBC" w14:textId="77777777">
      <w:pPr>
        <w:spacing w:after="0" w:line="360" w:lineRule="auto"/>
        <w:jc w:val="both"/>
        <w:rPr>
          <w:rFonts w:ascii="Verdana" w:hAnsi="Verdana"/>
          <w:sz w:val="24"/>
          <w:szCs w:val="24"/>
        </w:rPr>
      </w:pPr>
    </w:p>
    <w:p w:rsidR="004C2578" w:rsidP="006A0A13" w:rsidRDefault="004C2578" w14:paraId="1C48CA60" w14:textId="77777777">
      <w:pPr>
        <w:spacing w:after="0" w:line="360" w:lineRule="auto"/>
        <w:jc w:val="both"/>
        <w:rPr>
          <w:rFonts w:ascii="Verdana" w:hAnsi="Verdana"/>
          <w:sz w:val="24"/>
          <w:szCs w:val="24"/>
        </w:rPr>
      </w:pPr>
      <w:r w:rsidRPr="00C140A0">
        <w:rPr>
          <w:rFonts w:ascii="Verdana" w:hAnsi="Verdana"/>
          <w:sz w:val="24"/>
          <w:szCs w:val="24"/>
        </w:rPr>
        <w:t>La principal diferencia metodológica en cuanto a la aplicación consiste en implementar el Sistema de Gestión de Riesgos para la Integridad Pública con sus 5 elementos, por lo que a continuación, se informa el estado de avance de estos:</w:t>
      </w:r>
    </w:p>
    <w:p w:rsidRPr="00C140A0" w:rsidR="00332F9E" w:rsidP="006A0A13" w:rsidRDefault="00332F9E" w14:paraId="2F8884F1" w14:textId="77777777">
      <w:pPr>
        <w:spacing w:after="0" w:line="360" w:lineRule="auto"/>
        <w:jc w:val="both"/>
        <w:rPr>
          <w:rFonts w:ascii="Verdana" w:hAnsi="Verdana"/>
          <w:sz w:val="24"/>
          <w:szCs w:val="24"/>
        </w:rPr>
      </w:pPr>
    </w:p>
    <w:p w:rsidRPr="00C140A0" w:rsidR="004C2578" w:rsidRDefault="004C2578" w14:paraId="2360D0A4" w14:textId="77777777">
      <w:pPr>
        <w:pStyle w:val="Prrafodelista"/>
        <w:numPr>
          <w:ilvl w:val="0"/>
          <w:numId w:val="50"/>
        </w:numPr>
        <w:spacing w:after="0" w:line="360" w:lineRule="auto"/>
        <w:jc w:val="both"/>
        <w:rPr>
          <w:rFonts w:ascii="Verdana" w:hAnsi="Verdana"/>
          <w:sz w:val="24"/>
          <w:szCs w:val="24"/>
        </w:rPr>
      </w:pPr>
      <w:r w:rsidRPr="00C140A0">
        <w:rPr>
          <w:rFonts w:ascii="Verdana" w:hAnsi="Verdana"/>
          <w:sz w:val="24"/>
          <w:szCs w:val="24"/>
        </w:rPr>
        <w:t>Se definió la política para la gestión integral de riesgos que será puesta a aprobación del Comité Institucional de Coordinación de Control Interno en su sesión ordinaria del mes de mayo de 2026, previa consideración en sesión del Comité institucional de Gestión y Desempeño del mismo mes.</w:t>
      </w:r>
    </w:p>
    <w:p w:rsidRPr="00C140A0" w:rsidR="004C2578" w:rsidRDefault="004C2578" w14:paraId="5430FB2B" w14:textId="77777777">
      <w:pPr>
        <w:pStyle w:val="Prrafodelista"/>
        <w:numPr>
          <w:ilvl w:val="0"/>
          <w:numId w:val="50"/>
        </w:numPr>
        <w:spacing w:after="0" w:line="360" w:lineRule="auto"/>
        <w:jc w:val="both"/>
        <w:rPr>
          <w:rFonts w:ascii="Verdana" w:hAnsi="Verdana"/>
          <w:sz w:val="24"/>
          <w:szCs w:val="24"/>
        </w:rPr>
      </w:pPr>
      <w:r w:rsidRPr="00C140A0">
        <w:rPr>
          <w:rFonts w:ascii="Verdana" w:hAnsi="Verdana"/>
          <w:sz w:val="24"/>
          <w:szCs w:val="24"/>
        </w:rPr>
        <w:t xml:space="preserve">Se proyectó resolución por la que se realiza la asignación de la función de cumplimiento del sistema a la Oficina de Planeación y Gestión Internacional, estando en fase de revisión por parte de la oficina para su presentación a la alta Dirección. </w:t>
      </w:r>
    </w:p>
    <w:p w:rsidR="004C2578" w:rsidRDefault="004C2578" w14:paraId="7620876B" w14:textId="77777777">
      <w:pPr>
        <w:pStyle w:val="Prrafodelista"/>
        <w:numPr>
          <w:ilvl w:val="0"/>
          <w:numId w:val="50"/>
        </w:numPr>
        <w:spacing w:after="0" w:line="360" w:lineRule="auto"/>
        <w:jc w:val="both"/>
        <w:rPr>
          <w:rFonts w:ascii="Verdana" w:hAnsi="Verdana"/>
          <w:sz w:val="24"/>
          <w:szCs w:val="24"/>
        </w:rPr>
      </w:pPr>
      <w:r w:rsidRPr="00C140A0">
        <w:rPr>
          <w:rFonts w:ascii="Verdana" w:hAnsi="Verdana"/>
          <w:sz w:val="24"/>
          <w:szCs w:val="24"/>
        </w:rPr>
        <w:t>Se avanzó en los ajustes documentales necesarios para la implementación de las herramientas de gestión de riesgo de integridad pública, a saber:</w:t>
      </w:r>
    </w:p>
    <w:p w:rsidRPr="00C140A0" w:rsidR="004C2578" w:rsidRDefault="004C2578" w14:paraId="58F81C2A" w14:textId="77777777">
      <w:pPr>
        <w:pStyle w:val="Prrafodelista"/>
        <w:numPr>
          <w:ilvl w:val="1"/>
          <w:numId w:val="50"/>
        </w:numPr>
        <w:spacing w:after="0" w:line="360" w:lineRule="auto"/>
        <w:jc w:val="both"/>
        <w:rPr>
          <w:rFonts w:ascii="Verdana" w:hAnsi="Verdana"/>
          <w:sz w:val="24"/>
          <w:szCs w:val="24"/>
        </w:rPr>
      </w:pPr>
      <w:r w:rsidRPr="00C140A0">
        <w:rPr>
          <w:rFonts w:ascii="Verdana" w:hAnsi="Verdana"/>
          <w:sz w:val="24"/>
          <w:szCs w:val="24"/>
        </w:rPr>
        <w:t>Se ajustó el procedimiento de gestión de conflicto de intereses proponiendo separación entre funcionarios y contratistas y ampliando su alcance a los requisitos de la guía 7 de riesgos del DAFP.</w:t>
      </w:r>
    </w:p>
    <w:p w:rsidRPr="00C140A0" w:rsidR="004C2578" w:rsidRDefault="004C2578" w14:paraId="415D60AF" w14:textId="77777777">
      <w:pPr>
        <w:pStyle w:val="Prrafodelista"/>
        <w:numPr>
          <w:ilvl w:val="1"/>
          <w:numId w:val="50"/>
        </w:numPr>
        <w:spacing w:after="0" w:line="360" w:lineRule="auto"/>
        <w:jc w:val="both"/>
        <w:rPr>
          <w:rFonts w:ascii="Verdana" w:hAnsi="Verdana"/>
          <w:sz w:val="24"/>
          <w:szCs w:val="24"/>
        </w:rPr>
      </w:pPr>
      <w:r w:rsidRPr="00C140A0">
        <w:rPr>
          <w:rFonts w:ascii="Verdana" w:hAnsi="Verdana"/>
          <w:sz w:val="24"/>
          <w:szCs w:val="24"/>
        </w:rPr>
        <w:t>Se avanzó en la definición de competencias para la implementación del procedimiento de atención del canal de denuncias y buzón ético.</w:t>
      </w:r>
    </w:p>
    <w:p w:rsidRPr="00C140A0" w:rsidR="004C2578" w:rsidRDefault="004C2578" w14:paraId="3652E2DB" w14:textId="77777777">
      <w:pPr>
        <w:pStyle w:val="Prrafodelista"/>
        <w:numPr>
          <w:ilvl w:val="1"/>
          <w:numId w:val="50"/>
        </w:numPr>
        <w:spacing w:after="0" w:line="360" w:lineRule="auto"/>
        <w:jc w:val="both"/>
        <w:rPr>
          <w:rFonts w:ascii="Verdana" w:hAnsi="Verdana"/>
          <w:sz w:val="24"/>
          <w:szCs w:val="24"/>
        </w:rPr>
      </w:pPr>
      <w:r w:rsidRPr="00C140A0">
        <w:rPr>
          <w:rFonts w:ascii="Verdana" w:hAnsi="Verdana"/>
          <w:sz w:val="24"/>
          <w:szCs w:val="24"/>
        </w:rPr>
        <w:t>Se avanzó en la proyección del procedimiento para el reporte de operaciones sospechosas, consolidando documentación de referencia para su análisis y determinación de aplicación en la entidad.</w:t>
      </w:r>
    </w:p>
    <w:p w:rsidRPr="00C140A0" w:rsidR="004C2578" w:rsidRDefault="004C2578" w14:paraId="24D5B7C3" w14:textId="77777777">
      <w:pPr>
        <w:pStyle w:val="Prrafodelista"/>
        <w:numPr>
          <w:ilvl w:val="1"/>
          <w:numId w:val="50"/>
        </w:numPr>
        <w:spacing w:after="0" w:line="360" w:lineRule="auto"/>
        <w:jc w:val="both"/>
        <w:rPr>
          <w:rFonts w:ascii="Verdana" w:hAnsi="Verdana"/>
          <w:sz w:val="24"/>
          <w:szCs w:val="24"/>
        </w:rPr>
      </w:pPr>
      <w:r w:rsidRPr="00C140A0">
        <w:rPr>
          <w:rFonts w:ascii="Verdana" w:hAnsi="Verdana"/>
          <w:sz w:val="24"/>
          <w:szCs w:val="24"/>
        </w:rPr>
        <w:t>Se propusieron las políticas antifraude, antisoborno y contra el lavado de activos y la financiación del terrorismo y de la proliferación de armas de destrucción masiva para su aprobación en la sesión del Comité institucional de Gestión y Desempeño del mes de mayo de 2026.</w:t>
      </w:r>
    </w:p>
    <w:p w:rsidR="004C2578" w:rsidRDefault="004C2578" w14:paraId="35F78344" w14:textId="77777777">
      <w:pPr>
        <w:pStyle w:val="Prrafodelista"/>
        <w:numPr>
          <w:ilvl w:val="0"/>
          <w:numId w:val="50"/>
        </w:numPr>
        <w:spacing w:after="0" w:line="360" w:lineRule="auto"/>
        <w:jc w:val="both"/>
        <w:rPr>
          <w:rFonts w:ascii="Verdana" w:hAnsi="Verdana"/>
          <w:sz w:val="24"/>
          <w:szCs w:val="24"/>
        </w:rPr>
      </w:pPr>
      <w:r w:rsidRPr="00C140A0">
        <w:rPr>
          <w:rFonts w:ascii="Verdana" w:hAnsi="Verdana"/>
          <w:sz w:val="24"/>
          <w:szCs w:val="24"/>
        </w:rPr>
        <w:t>Se definió el documento que establece el marco metodológico y la herramienta (matriz de riesgos) necesarios para la elaboración de mapas de riesgos (Incluidos los de integridad pública), incluyendo las orientaciones metodológicas de la guía 7 de riesgos dados por el DAFP.</w:t>
      </w:r>
    </w:p>
    <w:p w:rsidRPr="00C140A0" w:rsidR="00332F9E" w:rsidP="006A0A13" w:rsidRDefault="00332F9E" w14:paraId="73738FDB" w14:textId="77777777">
      <w:pPr>
        <w:pStyle w:val="Prrafodelista"/>
        <w:spacing w:after="0" w:line="360" w:lineRule="auto"/>
        <w:jc w:val="both"/>
        <w:rPr>
          <w:rFonts w:ascii="Verdana" w:hAnsi="Verdana"/>
          <w:sz w:val="24"/>
          <w:szCs w:val="24"/>
        </w:rPr>
      </w:pPr>
    </w:p>
    <w:p w:rsidRPr="00332F9E" w:rsidR="004C2578" w:rsidRDefault="004C2578" w14:paraId="3362C1B1" w14:textId="77777777">
      <w:pPr>
        <w:pStyle w:val="Prrafodelista"/>
        <w:numPr>
          <w:ilvl w:val="2"/>
          <w:numId w:val="42"/>
        </w:numPr>
        <w:spacing w:after="0" w:line="360" w:lineRule="auto"/>
        <w:jc w:val="both"/>
        <w:rPr>
          <w:rFonts w:ascii="Verdana" w:hAnsi="Verdana"/>
          <w:b/>
          <w:bCs/>
          <w:sz w:val="24"/>
          <w:szCs w:val="24"/>
        </w:rPr>
      </w:pPr>
      <w:r w:rsidRPr="00332F9E">
        <w:rPr>
          <w:rFonts w:ascii="Verdana" w:hAnsi="Verdana"/>
          <w:b/>
          <w:bCs/>
          <w:sz w:val="24"/>
          <w:szCs w:val="24"/>
        </w:rPr>
        <w:t>Frente al esquema de líneas de defensa</w:t>
      </w:r>
    </w:p>
    <w:p w:rsidR="00332F9E" w:rsidP="006A0A13" w:rsidRDefault="00332F9E" w14:paraId="6EAD63F6" w14:textId="77777777">
      <w:pPr>
        <w:spacing w:after="0" w:line="360" w:lineRule="auto"/>
        <w:jc w:val="both"/>
        <w:rPr>
          <w:rFonts w:ascii="Verdana" w:hAnsi="Verdana"/>
          <w:sz w:val="24"/>
          <w:szCs w:val="24"/>
        </w:rPr>
      </w:pPr>
    </w:p>
    <w:p w:rsidRPr="00C140A0" w:rsidR="004C2578" w:rsidP="006A0A13" w:rsidRDefault="004C2578" w14:paraId="0CE0CB35" w14:textId="77777777">
      <w:pPr>
        <w:spacing w:after="0" w:line="360" w:lineRule="auto"/>
        <w:jc w:val="both"/>
        <w:rPr>
          <w:rFonts w:ascii="Verdana" w:hAnsi="Verdana"/>
          <w:sz w:val="24"/>
          <w:szCs w:val="24"/>
        </w:rPr>
      </w:pPr>
      <w:r w:rsidRPr="00C140A0">
        <w:rPr>
          <w:rFonts w:ascii="Verdana" w:hAnsi="Verdana"/>
          <w:sz w:val="24"/>
          <w:szCs w:val="24"/>
        </w:rPr>
        <w:t>Las instancias de las líneas de defensa del Ministerio de Minas y Energía, a través de su gestión, aportan información y datos relevantes para la toma de decisiones por parte de la alta dirección y contribuye a la mejora continua del Sistema de Control Interno y el Sistema Integrado de Gestión de la entidad.</w:t>
      </w:r>
    </w:p>
    <w:p w:rsidR="00332F9E" w:rsidP="006A0A13" w:rsidRDefault="00332F9E" w14:paraId="26E06707" w14:textId="77777777">
      <w:pPr>
        <w:spacing w:after="0" w:line="360" w:lineRule="auto"/>
        <w:jc w:val="both"/>
        <w:rPr>
          <w:rFonts w:ascii="Verdana" w:hAnsi="Verdana"/>
          <w:sz w:val="24"/>
          <w:szCs w:val="24"/>
        </w:rPr>
      </w:pPr>
    </w:p>
    <w:p w:rsidRPr="00C140A0" w:rsidR="004C2578" w:rsidP="006A0A13" w:rsidRDefault="004C2578" w14:paraId="09DD48EB" w14:textId="77777777">
      <w:pPr>
        <w:spacing w:after="0" w:line="360" w:lineRule="auto"/>
        <w:jc w:val="both"/>
        <w:rPr>
          <w:rFonts w:ascii="Verdana" w:hAnsi="Verdana"/>
          <w:sz w:val="24"/>
          <w:szCs w:val="24"/>
        </w:rPr>
      </w:pPr>
      <w:r w:rsidRPr="00C140A0">
        <w:rPr>
          <w:rFonts w:ascii="Verdana" w:hAnsi="Verdana"/>
          <w:sz w:val="24"/>
          <w:szCs w:val="24"/>
        </w:rPr>
        <w:t>Se ha realizado revisión y se han propuesto actualizaciones a la documentación del esquema de líneas de defensa y del mapa de aseguramiento de la entidad. Los resultados del monitoreo a los mapas de riesgo e información clave de su gestión, son reportados por la segunda línea de defensa al Comité de Coordinación de Control Interno, para el análisis y toma de decisiones por parte de la Alta Dirección.</w:t>
      </w:r>
    </w:p>
    <w:p w:rsidR="00332F9E" w:rsidP="006A0A13" w:rsidRDefault="00332F9E" w14:paraId="09431CE4" w14:textId="77777777">
      <w:pPr>
        <w:spacing w:after="0" w:line="360" w:lineRule="auto"/>
        <w:jc w:val="both"/>
        <w:rPr>
          <w:rFonts w:ascii="Verdana" w:hAnsi="Verdana"/>
          <w:sz w:val="24"/>
          <w:szCs w:val="24"/>
        </w:rPr>
      </w:pPr>
    </w:p>
    <w:p w:rsidRPr="00C140A0" w:rsidR="004C2578" w:rsidP="006A0A13" w:rsidRDefault="004C2578" w14:paraId="6EB80F2C" w14:textId="77777777">
      <w:pPr>
        <w:spacing w:after="0" w:line="360" w:lineRule="auto"/>
        <w:jc w:val="both"/>
        <w:rPr>
          <w:rFonts w:ascii="Verdana" w:hAnsi="Verdana"/>
          <w:sz w:val="24"/>
          <w:szCs w:val="24"/>
        </w:rPr>
      </w:pPr>
      <w:r w:rsidRPr="00C140A0">
        <w:rPr>
          <w:rFonts w:ascii="Verdana" w:hAnsi="Verdana"/>
          <w:sz w:val="24"/>
          <w:szCs w:val="24"/>
        </w:rPr>
        <w:t>La entidad realiza actividades de monitoreo de la gestión de riesgos, de acuerdo con los lineamientos de la Política de Administración de Riesgos. El resultado de dicho monitoreo y evaluación por parte de la segunda y tercera línea de defensa se consolida en un informe que es presentado al Comité Institucional de Coordinación de Control Interno.</w:t>
      </w:r>
    </w:p>
    <w:p w:rsidR="00332F9E" w:rsidP="006A0A13" w:rsidRDefault="00332F9E" w14:paraId="262AFB9A" w14:textId="77777777">
      <w:pPr>
        <w:spacing w:after="0" w:line="360" w:lineRule="auto"/>
        <w:jc w:val="both"/>
        <w:rPr>
          <w:rFonts w:ascii="Verdana" w:hAnsi="Verdana"/>
          <w:sz w:val="24"/>
          <w:szCs w:val="24"/>
        </w:rPr>
      </w:pPr>
    </w:p>
    <w:p w:rsidR="00C04ED5" w:rsidP="006A0A13" w:rsidRDefault="004C2578" w14:paraId="5A031D15" w14:textId="77777777">
      <w:pPr>
        <w:spacing w:after="0" w:line="360" w:lineRule="auto"/>
        <w:jc w:val="both"/>
        <w:rPr>
          <w:rFonts w:ascii="Verdana" w:hAnsi="Verdana"/>
          <w:sz w:val="24"/>
          <w:szCs w:val="24"/>
        </w:rPr>
      </w:pPr>
      <w:r w:rsidRPr="00C140A0">
        <w:rPr>
          <w:rFonts w:ascii="Verdana" w:hAnsi="Verdana"/>
          <w:sz w:val="24"/>
          <w:szCs w:val="24"/>
        </w:rPr>
        <w:t xml:space="preserve">Se cuenta con Sistema Integral de Gestión Activa - SIGAME, en el cual se registra la formulación del Plan Estratégico y del Plan de Acción Anual y permite realizar el seguimiento por parte de la segunda y tercera línea de </w:t>
      </w:r>
      <w:r w:rsidRPr="00C140A0">
        <w:rPr>
          <w:rFonts w:ascii="Verdana" w:hAnsi="Verdana"/>
          <w:sz w:val="24"/>
          <w:szCs w:val="24"/>
        </w:rPr>
        <w:t>defensa; esta información es clave para la toma oportuna de decisiones y para monitorear el cumplimiento de las metas e indicadores planificados por la entidad.</w:t>
      </w:r>
    </w:p>
    <w:p w:rsidRPr="00C140A0" w:rsidR="00332F9E" w:rsidP="006A0A13" w:rsidRDefault="00332F9E" w14:paraId="447F9C2D" w14:textId="77777777">
      <w:pPr>
        <w:spacing w:after="0" w:line="360" w:lineRule="auto"/>
        <w:jc w:val="both"/>
        <w:rPr>
          <w:rFonts w:ascii="Verdana" w:hAnsi="Verdana"/>
          <w:sz w:val="24"/>
          <w:szCs w:val="24"/>
        </w:rPr>
      </w:pPr>
    </w:p>
    <w:p w:rsidRPr="00C140A0" w:rsidR="00CB083E" w:rsidRDefault="003C4398" w14:paraId="6E973340" w14:textId="77777777">
      <w:pPr>
        <w:pStyle w:val="Ttulo2"/>
        <w:numPr>
          <w:ilvl w:val="1"/>
          <w:numId w:val="42"/>
        </w:numPr>
        <w:spacing w:before="0" w:after="0" w:line="360" w:lineRule="auto"/>
        <w:rPr>
          <w:rFonts w:ascii="Verdana" w:hAnsi="Verdana"/>
          <w:b/>
          <w:bCs/>
          <w:color w:val="auto"/>
          <w:sz w:val="24"/>
          <w:szCs w:val="24"/>
        </w:rPr>
      </w:pPr>
      <w:bookmarkStart w:name="_Toc233996748" w:id="31"/>
      <w:r w:rsidRPr="00C140A0">
        <w:rPr>
          <w:rFonts w:ascii="Verdana" w:hAnsi="Verdana"/>
          <w:b/>
          <w:bCs/>
          <w:color w:val="auto"/>
          <w:sz w:val="24"/>
          <w:szCs w:val="24"/>
        </w:rPr>
        <w:t>Gestión Internacional en el Ministerio Minas y Energía</w:t>
      </w:r>
      <w:bookmarkEnd w:id="31"/>
    </w:p>
    <w:p w:rsidRPr="00C140A0" w:rsidR="00CB083E" w:rsidP="006A0A13" w:rsidRDefault="00CB083E" w14:paraId="39961456" w14:textId="77777777">
      <w:pPr>
        <w:spacing w:after="0" w:line="360" w:lineRule="auto"/>
        <w:rPr>
          <w:rFonts w:ascii="Verdana" w:hAnsi="Verdana"/>
        </w:rPr>
      </w:pPr>
    </w:p>
    <w:p w:rsidRPr="00C140A0" w:rsidR="00CB083E" w:rsidP="006A0A13" w:rsidRDefault="00CB083E" w14:paraId="4D970B45" w14:textId="77777777">
      <w:pPr>
        <w:spacing w:after="0" w:line="360" w:lineRule="auto"/>
        <w:jc w:val="both"/>
        <w:rPr>
          <w:rFonts w:ascii="Verdana" w:hAnsi="Verdana"/>
          <w:sz w:val="24"/>
          <w:szCs w:val="24"/>
        </w:rPr>
      </w:pPr>
      <w:r w:rsidRPr="00C140A0">
        <w:rPr>
          <w:rFonts w:ascii="Verdana" w:hAnsi="Verdana"/>
          <w:sz w:val="24"/>
          <w:szCs w:val="24"/>
        </w:rPr>
        <w:t xml:space="preserve">Durante el periodo 2022–2026, el Grupo de Gestión Internacional del Ministerio de Minas y Energía consolidó la Estrategia de Gestión Internacional del Sector Minero-Energético, fortaleciendo el posicionamiento internacional del sector y su papel en la Transición Energética Justa. Como logro clave, se amplió la cooperación técnica, y financiera, logrando la movilización de recursos internacionales y la suscripción de instrumentos de cooperación con actores claves del sistema internacional. </w:t>
      </w:r>
    </w:p>
    <w:p w:rsidRPr="00C140A0" w:rsidR="00CB083E" w:rsidP="006A0A13" w:rsidRDefault="00CB083E" w14:paraId="369842B7" w14:textId="77777777">
      <w:pPr>
        <w:spacing w:after="0" w:line="360" w:lineRule="auto"/>
        <w:jc w:val="both"/>
        <w:rPr>
          <w:rFonts w:ascii="Verdana" w:hAnsi="Verdana"/>
          <w:sz w:val="24"/>
          <w:szCs w:val="24"/>
        </w:rPr>
      </w:pPr>
    </w:p>
    <w:p w:rsidRPr="00C140A0" w:rsidR="002902A2" w:rsidP="006A0A13" w:rsidRDefault="00CB083E" w14:paraId="0A44287F" w14:textId="77777777">
      <w:pPr>
        <w:spacing w:after="0" w:line="360" w:lineRule="auto"/>
        <w:jc w:val="both"/>
        <w:rPr>
          <w:rFonts w:ascii="Verdana" w:hAnsi="Verdana"/>
          <w:sz w:val="24"/>
          <w:szCs w:val="24"/>
        </w:rPr>
      </w:pPr>
      <w:r w:rsidRPr="00C140A0">
        <w:rPr>
          <w:rFonts w:ascii="Verdana" w:hAnsi="Verdana"/>
          <w:sz w:val="24"/>
          <w:szCs w:val="24"/>
        </w:rPr>
        <w:t xml:space="preserve">En paralelo, Colombia fortaleció su liderazgo en la agenda energética global mediante la participación en espacios multilaterales, mecanismos regionales y procesos de cooperación bilateral y multilateral, consolidando alianzas estratégicas y ampliando el intercambio de conocimientos.  </w:t>
      </w:r>
    </w:p>
    <w:p w:rsidRPr="00C140A0" w:rsidR="002902A2" w:rsidP="006A0A13" w:rsidRDefault="002902A2" w14:paraId="73D24495" w14:textId="77777777">
      <w:pPr>
        <w:spacing w:after="0" w:line="360" w:lineRule="auto"/>
        <w:rPr>
          <w:rFonts w:ascii="Verdana" w:hAnsi="Verdana"/>
        </w:rPr>
      </w:pPr>
    </w:p>
    <w:p w:rsidRPr="00C140A0" w:rsidR="00B643BF" w:rsidP="006A0A13" w:rsidRDefault="003C4398" w14:paraId="649E0E06" w14:textId="77777777">
      <w:pPr>
        <w:spacing w:after="0" w:line="360" w:lineRule="auto"/>
        <w:rPr>
          <w:rFonts w:ascii="Verdana" w:hAnsi="Verdana"/>
          <w:b/>
          <w:bCs/>
          <w:sz w:val="24"/>
          <w:szCs w:val="24"/>
        </w:rPr>
      </w:pPr>
      <w:r w:rsidRPr="00C140A0">
        <w:rPr>
          <w:rFonts w:ascii="Verdana" w:hAnsi="Verdana"/>
          <w:b/>
          <w:bCs/>
          <w:sz w:val="24"/>
          <w:szCs w:val="24"/>
        </w:rPr>
        <w:t xml:space="preserve">Instrumentos de Cooperación Internacional Gestionados </w:t>
      </w:r>
    </w:p>
    <w:p w:rsidRPr="00C140A0" w:rsidR="00181920" w:rsidP="006A0A13" w:rsidRDefault="00181920" w14:paraId="1E8CECCD" w14:textId="77777777">
      <w:pPr>
        <w:spacing w:after="0" w:line="360" w:lineRule="auto"/>
        <w:rPr>
          <w:rFonts w:ascii="Verdana" w:hAnsi="Verdana"/>
        </w:rPr>
      </w:pPr>
    </w:p>
    <w:p w:rsidRPr="00C140A0" w:rsidR="00181920" w:rsidP="006A0A13" w:rsidRDefault="00181920" w14:paraId="1F65282D" w14:textId="77777777">
      <w:pPr>
        <w:spacing w:after="0" w:line="360" w:lineRule="auto"/>
        <w:jc w:val="both"/>
        <w:rPr>
          <w:rFonts w:ascii="Verdana" w:hAnsi="Verdana"/>
          <w:sz w:val="24"/>
          <w:szCs w:val="24"/>
        </w:rPr>
      </w:pPr>
      <w:r w:rsidRPr="00C140A0">
        <w:rPr>
          <w:rFonts w:ascii="Verdana" w:hAnsi="Verdana"/>
          <w:sz w:val="24"/>
          <w:szCs w:val="24"/>
        </w:rPr>
        <w:t xml:space="preserve">Más de 30 instrumentos de cooperación internacional fueron gestionados y consolidados entre 2022 y 2026 por el Ministerio de Minas y Energía, con gobiernos, organismos multilaterales, agencias de cooperación y organizaciones internacionales. Estos instrumentos involucraron a más de 20 países y aliados estratégicos, entre ellos Dinamarca, Países Bajos, Alemania, España, Suecia, Emiratos Árabes Unidos, Arabia Saudita, Chile, Corea, Japón y Kenia, así como organismos internacionales y centros de cooperación especializados. Las alianzas impulsaron áreas prioritarias </w:t>
      </w:r>
      <w:r w:rsidRPr="00C140A0">
        <w:rPr>
          <w:rFonts w:ascii="Verdana" w:hAnsi="Verdana"/>
          <w:sz w:val="24"/>
          <w:szCs w:val="24"/>
        </w:rPr>
        <w:t xml:space="preserve">como hidrógeno de bajas emisiones, energías renovables, energía eólica costa afuera, almacenamiento energético, electrificación, movilidad sostenible, eficiencia energética, minería sostenible, tecnologías nucleares para descarbonización, comunidades energéticas e integración energética regional. </w:t>
      </w:r>
    </w:p>
    <w:p w:rsidRPr="00C140A0" w:rsidR="00181920" w:rsidP="006A0A13" w:rsidRDefault="00181920" w14:paraId="06C30691" w14:textId="77777777">
      <w:pPr>
        <w:spacing w:after="0" w:line="360" w:lineRule="auto"/>
        <w:jc w:val="both"/>
        <w:rPr>
          <w:rFonts w:ascii="Verdana" w:hAnsi="Verdana"/>
          <w:sz w:val="24"/>
          <w:szCs w:val="24"/>
        </w:rPr>
      </w:pPr>
    </w:p>
    <w:p w:rsidR="00CB083E" w:rsidP="006A0A13" w:rsidRDefault="00181920" w14:paraId="02DF8F58" w14:textId="77777777">
      <w:pPr>
        <w:spacing w:after="0" w:line="360" w:lineRule="auto"/>
        <w:jc w:val="both"/>
        <w:rPr>
          <w:rFonts w:ascii="Verdana" w:hAnsi="Verdana"/>
          <w:sz w:val="24"/>
          <w:szCs w:val="24"/>
        </w:rPr>
      </w:pPr>
      <w:r w:rsidRPr="00C140A0">
        <w:rPr>
          <w:rFonts w:ascii="Verdana" w:hAnsi="Verdana"/>
          <w:sz w:val="24"/>
          <w:szCs w:val="24"/>
        </w:rPr>
        <w:t>Adicionalmente, a la fecha de cierre del informe, el Ministerio avanzaba en la gestión y formalización de nuevos instrumentos de cooperación con países y organizaciones como Bolivia, Cuba, Islandia, Egipto, Corea, Reino Unido, Guatemala, GEAPP y Transforma, reflejando el creciente interés de socios globales en acompañar la agenda de transición energética de Colombia.</w:t>
      </w:r>
    </w:p>
    <w:p w:rsidRPr="00C140A0" w:rsidR="00332F9E" w:rsidP="006A0A13" w:rsidRDefault="00332F9E" w14:paraId="558ACBF4" w14:textId="77777777">
      <w:pPr>
        <w:spacing w:after="0" w:line="360" w:lineRule="auto"/>
        <w:jc w:val="both"/>
        <w:rPr>
          <w:rFonts w:ascii="Verdana" w:hAnsi="Verdana"/>
          <w:sz w:val="24"/>
          <w:szCs w:val="24"/>
        </w:rPr>
      </w:pPr>
    </w:p>
    <w:p w:rsidR="003C4398" w:rsidRDefault="003C4398" w14:paraId="48BF3732" w14:textId="77777777">
      <w:pPr>
        <w:pStyle w:val="Ttulo2"/>
        <w:numPr>
          <w:ilvl w:val="2"/>
          <w:numId w:val="42"/>
        </w:numPr>
        <w:spacing w:before="0" w:after="0" w:line="360" w:lineRule="auto"/>
        <w:jc w:val="both"/>
        <w:rPr>
          <w:rFonts w:ascii="Verdana" w:hAnsi="Verdana"/>
          <w:b/>
          <w:bCs/>
          <w:color w:val="auto"/>
          <w:sz w:val="24"/>
          <w:szCs w:val="24"/>
        </w:rPr>
      </w:pPr>
      <w:bookmarkStart w:name="_Toc233996749" w:id="32"/>
      <w:r w:rsidRPr="00C140A0">
        <w:rPr>
          <w:rFonts w:ascii="Verdana" w:hAnsi="Verdana"/>
          <w:b/>
          <w:bCs/>
          <w:color w:val="auto"/>
          <w:sz w:val="24"/>
          <w:szCs w:val="24"/>
        </w:rPr>
        <w:t>Escenarios de posicionamiento internacional</w:t>
      </w:r>
      <w:bookmarkEnd w:id="32"/>
    </w:p>
    <w:p w:rsidRPr="00332F9E" w:rsidR="00332F9E" w:rsidP="006A0A13" w:rsidRDefault="00332F9E" w14:paraId="6AB544B1" w14:textId="77777777">
      <w:pPr>
        <w:spacing w:after="0" w:line="360" w:lineRule="auto"/>
      </w:pPr>
    </w:p>
    <w:p w:rsidR="004B0AFB" w:rsidP="006A0A13" w:rsidRDefault="004B0AFB" w14:paraId="471917BC" w14:textId="77777777">
      <w:pPr>
        <w:spacing w:after="0" w:line="360" w:lineRule="auto"/>
        <w:jc w:val="both"/>
        <w:rPr>
          <w:rFonts w:ascii="Verdana" w:hAnsi="Verdana"/>
          <w:sz w:val="24"/>
          <w:szCs w:val="24"/>
        </w:rPr>
      </w:pPr>
      <w:r w:rsidRPr="00C140A0">
        <w:rPr>
          <w:rFonts w:ascii="Verdana" w:hAnsi="Verdana"/>
          <w:sz w:val="24"/>
          <w:szCs w:val="24"/>
        </w:rPr>
        <w:t>Colombia participó en las Conferencias de las Partes sobre Cambio Climático</w:t>
      </w:r>
      <w:r w:rsidR="00332F9E">
        <w:rPr>
          <w:rFonts w:ascii="Verdana" w:hAnsi="Verdana"/>
          <w:sz w:val="24"/>
          <w:szCs w:val="24"/>
        </w:rPr>
        <w:t xml:space="preserve"> </w:t>
      </w:r>
      <w:r w:rsidRPr="00C140A0">
        <w:rPr>
          <w:rFonts w:ascii="Verdana" w:hAnsi="Verdana"/>
          <w:sz w:val="24"/>
          <w:szCs w:val="24"/>
        </w:rPr>
        <w:t>COP27 en</w:t>
      </w:r>
      <w:r w:rsidR="00332F9E">
        <w:rPr>
          <w:rFonts w:ascii="Verdana" w:hAnsi="Verdana"/>
          <w:sz w:val="24"/>
          <w:szCs w:val="24"/>
        </w:rPr>
        <w:t xml:space="preserve"> </w:t>
      </w:r>
      <w:r w:rsidRPr="00C140A0">
        <w:rPr>
          <w:rFonts w:ascii="Verdana" w:hAnsi="Verdana"/>
          <w:sz w:val="24"/>
          <w:szCs w:val="24"/>
        </w:rPr>
        <w:t>El</w:t>
      </w:r>
      <w:r w:rsidR="00332F9E">
        <w:rPr>
          <w:rFonts w:ascii="Verdana" w:hAnsi="Verdana"/>
          <w:sz w:val="24"/>
          <w:szCs w:val="24"/>
        </w:rPr>
        <w:t xml:space="preserve"> </w:t>
      </w:r>
      <w:r w:rsidRPr="00C140A0">
        <w:rPr>
          <w:rFonts w:ascii="Verdana" w:hAnsi="Verdana"/>
          <w:sz w:val="24"/>
          <w:szCs w:val="24"/>
        </w:rPr>
        <w:t>Cairo</w:t>
      </w:r>
      <w:r w:rsidR="00332F9E">
        <w:rPr>
          <w:rFonts w:ascii="Verdana" w:hAnsi="Verdana"/>
          <w:sz w:val="24"/>
          <w:szCs w:val="24"/>
        </w:rPr>
        <w:t xml:space="preserve"> </w:t>
      </w:r>
      <w:r w:rsidRPr="00C140A0">
        <w:rPr>
          <w:rFonts w:ascii="Verdana" w:hAnsi="Verdana"/>
          <w:sz w:val="24"/>
          <w:szCs w:val="24"/>
        </w:rPr>
        <w:t>(Egipto), COP28</w:t>
      </w:r>
      <w:r w:rsidR="00332F9E">
        <w:rPr>
          <w:rFonts w:ascii="Verdana" w:hAnsi="Verdana"/>
          <w:sz w:val="24"/>
          <w:szCs w:val="24"/>
        </w:rPr>
        <w:t xml:space="preserve"> </w:t>
      </w:r>
      <w:r w:rsidRPr="00C140A0">
        <w:rPr>
          <w:rFonts w:ascii="Verdana" w:hAnsi="Verdana"/>
          <w:sz w:val="24"/>
          <w:szCs w:val="24"/>
        </w:rPr>
        <w:t xml:space="preserve">en Dubái (Emiratos Arabes Unidos), COP29 en Baku (Azerbaiyan) y COP30 en Belém (Brasil), consolidando su presencia en las discusiones globales sobre descarbonización, financiamiento climático y transición energética. Asimismo, ejerció un liderazgo regional mediante las Presidencias Pro Tempore de la CELAC, la Comunidad Andina CAN, el SINEA, el Proyecto Mesoamérica y el Consenso de Brasilia, impulsando agendas estratégicas de integración energética y armonización regulatoria. Como resultado, se promovieron avances asociados al mercado eléctrico andino ampliado entre Colombia, Ecuador, Perú y Chile, así como a la reactivación del proyecto de interconexión eléctrica Colombia–Panamá, con apoyo de la banca multilateral y organismos de cooperación.  </w:t>
      </w:r>
    </w:p>
    <w:p w:rsidRPr="00C140A0" w:rsidR="00332F9E" w:rsidP="006A0A13" w:rsidRDefault="00332F9E" w14:paraId="28B0748B" w14:textId="77777777">
      <w:pPr>
        <w:spacing w:after="0" w:line="360" w:lineRule="auto"/>
        <w:jc w:val="both"/>
        <w:rPr>
          <w:rFonts w:ascii="Verdana" w:hAnsi="Verdana"/>
          <w:sz w:val="24"/>
          <w:szCs w:val="24"/>
        </w:rPr>
      </w:pPr>
    </w:p>
    <w:p w:rsidR="00ED062C" w:rsidP="006A0A13" w:rsidRDefault="004B0AFB" w14:paraId="1473CBE5" w14:textId="77777777">
      <w:pPr>
        <w:spacing w:after="0" w:line="360" w:lineRule="auto"/>
        <w:jc w:val="both"/>
        <w:rPr>
          <w:rFonts w:ascii="Verdana" w:hAnsi="Verdana"/>
          <w:sz w:val="24"/>
          <w:szCs w:val="24"/>
        </w:rPr>
      </w:pPr>
      <w:r w:rsidRPr="00C140A0">
        <w:rPr>
          <w:rFonts w:ascii="Verdana" w:hAnsi="Verdana"/>
          <w:sz w:val="24"/>
          <w:szCs w:val="24"/>
        </w:rPr>
        <w:t xml:space="preserve">De igual manera, el Ministerio participó en las reuniones ministeriales de la Agencia Internacional de Energía (AIE) realizadas en París en 2024 y 2026, así como en la Semana de la Energía y Junta de Expertos de OLACDE y otros espacios multilaterales estratégicos del sector energético regional. Esta última reunión de la AIE representó un hito histórico para el país, al recibir la invitación oficial a ser parte de la Agencia, en reconocimiento a sus avances en transición energética y fortalecimiento institucional. Asimismo, se fortaleció el posicionamiento internacional del país mediante la participación en escenarios globales de alto nivel, incluido el Foro Económico Mundial en Davos, donde se promovieron oportunidades de inversión, cooperación y diálogo internacional en torno a transición energética, descarbonización y seguridad energética.  </w:t>
      </w:r>
      <w:r w:rsidRPr="00C140A0" w:rsidR="00ED062C">
        <w:rPr>
          <w:rFonts w:ascii="Verdana" w:hAnsi="Verdana"/>
          <w:sz w:val="24"/>
          <w:szCs w:val="24"/>
        </w:rPr>
        <w:br/>
      </w:r>
      <w:r w:rsidRPr="00C140A0" w:rsidR="00ED062C">
        <w:rPr>
          <w:rFonts w:ascii="Verdana" w:hAnsi="Verdana"/>
          <w:sz w:val="24"/>
          <w:szCs w:val="24"/>
        </w:rPr>
        <w:br/>
      </w:r>
      <w:r w:rsidRPr="00C140A0" w:rsidR="00ED062C">
        <w:rPr>
          <w:rFonts w:ascii="Verdana" w:hAnsi="Verdana"/>
          <w:sz w:val="24"/>
          <w:szCs w:val="24"/>
          <w:lang w:val="es-ES"/>
        </w:rPr>
        <w:t>El relacionamiento bilateral con países y gobiernos aliados constituyó una línea estratégica para fortalecer la cooperación internacional del sector minero-energético colombiano y avanzar en la consolidación de la Transición Energética Justa.  La presente sección consolida los principales avances y resultados de gestión alcanzados en materia de relacionamiento bilateral, organizados por regiones geográficas, evidenciando el fortalecimiento de la agenda internacional del Ministerio de Minas y Energía.  </w:t>
      </w:r>
      <w:r w:rsidRPr="00C140A0" w:rsidR="00ED062C">
        <w:rPr>
          <w:rFonts w:ascii="Verdana" w:hAnsi="Verdana"/>
          <w:sz w:val="24"/>
          <w:szCs w:val="24"/>
        </w:rPr>
        <w:t> </w:t>
      </w:r>
    </w:p>
    <w:p w:rsidRPr="00C140A0" w:rsidR="00332F9E" w:rsidP="006A0A13" w:rsidRDefault="00332F9E" w14:paraId="3961CA09" w14:textId="77777777">
      <w:pPr>
        <w:spacing w:after="0" w:line="360" w:lineRule="auto"/>
        <w:jc w:val="both"/>
        <w:rPr>
          <w:rFonts w:ascii="Verdana" w:hAnsi="Verdana"/>
          <w:sz w:val="24"/>
          <w:szCs w:val="24"/>
        </w:rPr>
      </w:pPr>
    </w:p>
    <w:p w:rsidR="00ED062C" w:rsidP="006A0A13" w:rsidRDefault="00ED062C" w14:paraId="383B4753" w14:textId="664E7DF1">
      <w:pPr>
        <w:spacing w:after="0" w:line="360" w:lineRule="auto"/>
        <w:jc w:val="both"/>
        <w:rPr>
          <w:rFonts w:ascii="Verdana" w:hAnsi="Verdana"/>
          <w:sz w:val="24"/>
          <w:szCs w:val="24"/>
        </w:rPr>
      </w:pPr>
      <w:r w:rsidRPr="00C140A0">
        <w:rPr>
          <w:rFonts w:ascii="Verdana" w:hAnsi="Verdana"/>
          <w:b/>
          <w:bCs/>
          <w:sz w:val="24"/>
          <w:szCs w:val="24"/>
          <w:lang w:val="es-ES"/>
        </w:rPr>
        <w:t>América</w:t>
      </w:r>
      <w:r w:rsidR="005358E1">
        <w:rPr>
          <w:rFonts w:ascii="Verdana" w:hAnsi="Verdana"/>
          <w:b/>
          <w:bCs/>
          <w:sz w:val="24"/>
          <w:szCs w:val="24"/>
          <w:lang w:val="es-ES"/>
        </w:rPr>
        <w:t xml:space="preserve">: </w:t>
      </w:r>
      <w:r w:rsidRPr="00C140A0">
        <w:rPr>
          <w:rFonts w:ascii="Verdana" w:hAnsi="Verdana"/>
          <w:sz w:val="24"/>
          <w:szCs w:val="24"/>
          <w:lang w:val="es-ES"/>
        </w:rPr>
        <w:t>Fortalecimos el relacionamiento bilateral con países de América, consolidando una agenda de cooperación orientada a la transición energética, la integración regional y el fortalecimiento de la seguridad energética. Se promovieron alianzas estratégicas con países como Brasil, Chile, Canadá y Estados Unidos en áreas prioritarias como biocombustibles, combustibles sostenibles de aviación (SAF), hidrógeno de bajas emisiones, minerales críticos, gobernanza minera y energías renovables.</w:t>
      </w:r>
      <w:r w:rsidRPr="00C140A0">
        <w:rPr>
          <w:rFonts w:ascii="Verdana" w:hAnsi="Verdana"/>
          <w:sz w:val="24"/>
          <w:szCs w:val="24"/>
        </w:rPr>
        <w:t> </w:t>
      </w:r>
    </w:p>
    <w:p w:rsidRPr="00C140A0" w:rsidR="00332F9E" w:rsidP="006A0A13" w:rsidRDefault="00332F9E" w14:paraId="552C1C69" w14:textId="77777777">
      <w:pPr>
        <w:spacing w:after="0" w:line="360" w:lineRule="auto"/>
        <w:jc w:val="both"/>
        <w:rPr>
          <w:rFonts w:ascii="Verdana" w:hAnsi="Verdana"/>
          <w:sz w:val="24"/>
          <w:szCs w:val="24"/>
        </w:rPr>
      </w:pPr>
    </w:p>
    <w:p w:rsidRPr="00C140A0" w:rsidR="00ED062C" w:rsidP="006A0A13" w:rsidRDefault="5102C3D9" w14:paraId="184AD026" w14:textId="77777777">
      <w:pPr>
        <w:spacing w:after="0" w:line="360" w:lineRule="auto"/>
        <w:jc w:val="both"/>
        <w:rPr>
          <w:rFonts w:ascii="Verdana" w:hAnsi="Verdana"/>
          <w:sz w:val="24"/>
          <w:szCs w:val="24"/>
        </w:rPr>
      </w:pPr>
      <w:r w:rsidRPr="180099B3">
        <w:rPr>
          <w:rFonts w:ascii="Verdana" w:hAnsi="Verdana"/>
          <w:sz w:val="24"/>
          <w:szCs w:val="24"/>
          <w:lang w:val="es-ES"/>
        </w:rPr>
        <w:t>Asimismo, se impulsaron iniciativas clave de integración energética regional, destacándose los avances en el Mercado Eléctrico Andino con Ecuador y Chile, el fortalecimiento de los mecanismos de cooperación energética en el marco de la Comunidad Andina y el impulso al proyecto de interconexión eléctrica Colombia–Panamá. De igual manera, se promovieron espacios de diálogo técnico con Venezuela para la integración energética regional. Estas acciones contribuyeron a fortalecer la cooperación técnica y la articulación regional.</w:t>
      </w:r>
      <w:r w:rsidRPr="180099B3">
        <w:rPr>
          <w:rFonts w:ascii="Verdana" w:hAnsi="Verdana"/>
          <w:sz w:val="24"/>
          <w:szCs w:val="24"/>
        </w:rPr>
        <w:t> </w:t>
      </w:r>
    </w:p>
    <w:p w:rsidR="180099B3" w:rsidP="006A0A13" w:rsidRDefault="180099B3" w14:paraId="091FF9C8" w14:textId="77777777">
      <w:pPr>
        <w:spacing w:after="0" w:line="360" w:lineRule="auto"/>
        <w:jc w:val="both"/>
        <w:rPr>
          <w:rFonts w:ascii="Verdana" w:hAnsi="Verdana"/>
          <w:sz w:val="24"/>
          <w:szCs w:val="24"/>
        </w:rPr>
      </w:pPr>
    </w:p>
    <w:p w:rsidR="00ED062C" w:rsidP="006A0A13" w:rsidRDefault="00ED062C" w14:paraId="4BA8122C" w14:textId="056A83C4">
      <w:pPr>
        <w:spacing w:after="0" w:line="360" w:lineRule="auto"/>
        <w:jc w:val="both"/>
        <w:rPr>
          <w:rFonts w:ascii="Verdana" w:hAnsi="Verdana"/>
          <w:sz w:val="24"/>
          <w:szCs w:val="24"/>
        </w:rPr>
      </w:pPr>
      <w:r w:rsidRPr="00C140A0">
        <w:rPr>
          <w:rFonts w:ascii="Verdana" w:hAnsi="Verdana"/>
          <w:b/>
          <w:bCs/>
          <w:sz w:val="24"/>
          <w:szCs w:val="24"/>
          <w:lang w:val="es-ES"/>
        </w:rPr>
        <w:t>Europa</w:t>
      </w:r>
      <w:r w:rsidR="005358E1">
        <w:rPr>
          <w:rFonts w:ascii="Verdana" w:hAnsi="Verdana"/>
          <w:sz w:val="24"/>
          <w:szCs w:val="24"/>
        </w:rPr>
        <w:t xml:space="preserve">: </w:t>
      </w:r>
      <w:r w:rsidRPr="00C140A0">
        <w:rPr>
          <w:rFonts w:ascii="Verdana" w:hAnsi="Verdana"/>
          <w:sz w:val="24"/>
          <w:szCs w:val="24"/>
          <w:lang w:val="es-ES"/>
        </w:rPr>
        <w:t>Europa se configura como el principal socio estratégico de Colombia en materia de transición energética, mediante instrumentos de cooperación y alianzas con países como Reino Unido, Alemania, Dinamarca, España, Suecia, Países Bajos y Francia. Estas iniciativas se enfocaron en áreas prioritarias como hidrógeno verde, energías renovables, energía eólica costa afuera, eficiencia energética, movilidad sostenible, minería responsable y descarbonización.</w:t>
      </w:r>
      <w:r w:rsidRPr="00C140A0">
        <w:rPr>
          <w:rFonts w:ascii="Verdana" w:hAnsi="Verdana"/>
          <w:sz w:val="24"/>
          <w:szCs w:val="24"/>
        </w:rPr>
        <w:t> </w:t>
      </w:r>
    </w:p>
    <w:p w:rsidRPr="00C140A0" w:rsidR="00332F9E" w:rsidP="006A0A13" w:rsidRDefault="00332F9E" w14:paraId="09CE009F" w14:textId="77777777">
      <w:pPr>
        <w:spacing w:after="0" w:line="360" w:lineRule="auto"/>
        <w:jc w:val="both"/>
        <w:rPr>
          <w:rFonts w:ascii="Verdana" w:hAnsi="Verdana"/>
          <w:sz w:val="24"/>
          <w:szCs w:val="24"/>
        </w:rPr>
      </w:pPr>
    </w:p>
    <w:p w:rsidR="00ED062C" w:rsidP="006A0A13" w:rsidRDefault="00ED062C" w14:paraId="3EFA970C" w14:textId="77777777">
      <w:pPr>
        <w:spacing w:after="0" w:line="360" w:lineRule="auto"/>
        <w:jc w:val="both"/>
        <w:rPr>
          <w:rFonts w:ascii="Verdana" w:hAnsi="Verdana"/>
          <w:sz w:val="24"/>
          <w:szCs w:val="24"/>
        </w:rPr>
      </w:pPr>
      <w:r w:rsidRPr="00C140A0">
        <w:rPr>
          <w:rFonts w:ascii="Verdana" w:hAnsi="Verdana"/>
          <w:sz w:val="24"/>
          <w:szCs w:val="24"/>
          <w:lang w:val="es-ES"/>
        </w:rPr>
        <w:t>La cooperación con Europa permitió acceder a asistencia técnica especializada, fortalecer capacidades institucionales y regulatorias, e impulsar el desarrollo de marcos normativos y proyectos estratégicos en temas como hidrógeno, eólica costa afuera, comunidades energéticas, captura y almacenamiento de carbono, trazabilidad minera y modernización del mercado energético. Asimismo, se fortaleció el diálogo político y técnico con gobiernos, agencias de cooperación, organismos multilaterales y actores del sector privado, promoviendo nuevas oportunidades de inversión, cooperación técnica y financiamiento para apoyar la Transición Energética Justa en Colombia.</w:t>
      </w:r>
      <w:r w:rsidRPr="00C140A0">
        <w:rPr>
          <w:rFonts w:ascii="Verdana" w:hAnsi="Verdana"/>
          <w:sz w:val="24"/>
          <w:szCs w:val="24"/>
        </w:rPr>
        <w:t> </w:t>
      </w:r>
    </w:p>
    <w:p w:rsidRPr="00C140A0" w:rsidR="00332F9E" w:rsidP="006A0A13" w:rsidRDefault="00332F9E" w14:paraId="2E81858C" w14:textId="77777777">
      <w:pPr>
        <w:spacing w:after="0" w:line="360" w:lineRule="auto"/>
        <w:jc w:val="both"/>
        <w:rPr>
          <w:rFonts w:ascii="Verdana" w:hAnsi="Verdana"/>
          <w:sz w:val="24"/>
          <w:szCs w:val="24"/>
        </w:rPr>
      </w:pPr>
    </w:p>
    <w:p w:rsidRPr="00C140A0" w:rsidR="00ED062C" w:rsidP="006A0A13" w:rsidRDefault="00ED062C" w14:paraId="0BF7C55C" w14:textId="10EF0A60">
      <w:pPr>
        <w:spacing w:after="0" w:line="360" w:lineRule="auto"/>
        <w:jc w:val="both"/>
        <w:rPr>
          <w:rFonts w:ascii="Verdana" w:hAnsi="Verdana"/>
          <w:sz w:val="24"/>
          <w:szCs w:val="24"/>
        </w:rPr>
      </w:pPr>
      <w:r w:rsidRPr="00C140A0">
        <w:rPr>
          <w:rFonts w:ascii="Verdana" w:hAnsi="Verdana"/>
          <w:b/>
          <w:bCs/>
          <w:sz w:val="24"/>
          <w:szCs w:val="24"/>
          <w:lang w:val="es-ES"/>
        </w:rPr>
        <w:t>Asia</w:t>
      </w:r>
      <w:r w:rsidR="005358E1">
        <w:rPr>
          <w:rFonts w:ascii="Verdana" w:hAnsi="Verdana"/>
          <w:b/>
          <w:bCs/>
          <w:sz w:val="24"/>
          <w:szCs w:val="24"/>
          <w:lang w:val="es-ES"/>
        </w:rPr>
        <w:t xml:space="preserve">: </w:t>
      </w:r>
      <w:r w:rsidRPr="180099B3" w:rsidR="5102C3D9">
        <w:rPr>
          <w:rFonts w:ascii="Verdana" w:hAnsi="Verdana"/>
          <w:sz w:val="24"/>
          <w:szCs w:val="24"/>
          <w:lang w:val="es-ES"/>
        </w:rPr>
        <w:t>El Ministerio fortaleció el relacionamiento bilateral con países de Asia, entre ellos China, Japón, Corea, Emiratos Árabes Unidos y Arabia Saudita, mediante instrumentos de cooperación e iniciativas orientadas a la transición energética, las energías renovables, el hidrógeno, la infraestructura energética, la movilidad sostenible y las tecnologías limpias.</w:t>
      </w:r>
      <w:r w:rsidRPr="180099B3" w:rsidR="5102C3D9">
        <w:rPr>
          <w:rFonts w:ascii="Verdana" w:hAnsi="Verdana"/>
          <w:sz w:val="24"/>
          <w:szCs w:val="24"/>
        </w:rPr>
        <w:t> </w:t>
      </w:r>
    </w:p>
    <w:p w:rsidR="180099B3" w:rsidP="006A0A13" w:rsidRDefault="180099B3" w14:paraId="3B5B19BD" w14:textId="77777777">
      <w:pPr>
        <w:spacing w:after="0" w:line="360" w:lineRule="auto"/>
        <w:jc w:val="both"/>
        <w:rPr>
          <w:rFonts w:ascii="Verdana" w:hAnsi="Verdana"/>
          <w:sz w:val="24"/>
          <w:szCs w:val="24"/>
        </w:rPr>
      </w:pPr>
    </w:p>
    <w:p w:rsidR="00ED062C" w:rsidP="006A0A13" w:rsidRDefault="00ED062C" w14:paraId="30F72DCB" w14:textId="77777777">
      <w:pPr>
        <w:spacing w:after="0" w:line="360" w:lineRule="auto"/>
        <w:jc w:val="both"/>
        <w:rPr>
          <w:rFonts w:ascii="Verdana" w:hAnsi="Verdana"/>
          <w:sz w:val="24"/>
          <w:szCs w:val="24"/>
        </w:rPr>
      </w:pPr>
      <w:r w:rsidRPr="00C140A0">
        <w:rPr>
          <w:rFonts w:ascii="Verdana" w:hAnsi="Verdana"/>
          <w:sz w:val="24"/>
          <w:szCs w:val="24"/>
          <w:lang w:val="es-ES"/>
        </w:rPr>
        <w:t>Estas alianzas permitieron impulsar programas de fortalecimiento de capacidades, transferencia de conocimiento y desarrollo de proyectos estratégicos para el sector minero-energético, destacándose la cooperación en seguridad minera con Japón, electrificación rural y comunidades energéticas con Corea, así como la promoción de inversiones verdes y nuevas oportunidades de cooperación en áreas como hidrógeno, almacenamiento energético, energía nuclear y combustibles limpios.</w:t>
      </w:r>
      <w:r w:rsidRPr="00C140A0">
        <w:rPr>
          <w:rFonts w:ascii="Verdana" w:hAnsi="Verdana"/>
          <w:sz w:val="24"/>
          <w:szCs w:val="24"/>
        </w:rPr>
        <w:t> </w:t>
      </w:r>
    </w:p>
    <w:p w:rsidRPr="00C140A0" w:rsidR="00332F9E" w:rsidP="006A0A13" w:rsidRDefault="00332F9E" w14:paraId="15A49F30" w14:textId="77777777">
      <w:pPr>
        <w:spacing w:after="0" w:line="360" w:lineRule="auto"/>
        <w:jc w:val="both"/>
        <w:rPr>
          <w:rFonts w:ascii="Verdana" w:hAnsi="Verdana"/>
          <w:sz w:val="24"/>
          <w:szCs w:val="24"/>
        </w:rPr>
      </w:pPr>
    </w:p>
    <w:p w:rsidR="00ED062C" w:rsidP="006A0A13" w:rsidRDefault="00ED062C" w14:paraId="364E0627" w14:textId="5614AF8C">
      <w:pPr>
        <w:spacing w:after="0" w:line="360" w:lineRule="auto"/>
        <w:jc w:val="both"/>
        <w:rPr>
          <w:rFonts w:ascii="Verdana" w:hAnsi="Verdana"/>
          <w:sz w:val="24"/>
          <w:szCs w:val="24"/>
        </w:rPr>
      </w:pPr>
      <w:r w:rsidRPr="00C140A0">
        <w:rPr>
          <w:rFonts w:ascii="Verdana" w:hAnsi="Verdana"/>
          <w:b/>
          <w:bCs/>
          <w:sz w:val="24"/>
          <w:szCs w:val="24"/>
        </w:rPr>
        <w:t>África</w:t>
      </w:r>
      <w:r w:rsidR="005358E1">
        <w:rPr>
          <w:rFonts w:ascii="Verdana" w:hAnsi="Verdana"/>
          <w:b/>
          <w:bCs/>
          <w:sz w:val="24"/>
          <w:szCs w:val="24"/>
        </w:rPr>
        <w:t xml:space="preserve">: </w:t>
      </w:r>
      <w:r w:rsidRPr="00C140A0">
        <w:rPr>
          <w:rFonts w:ascii="Verdana" w:hAnsi="Verdana"/>
          <w:sz w:val="24"/>
          <w:szCs w:val="24"/>
          <w:lang w:val="es-ES"/>
        </w:rPr>
        <w:t>El Ministerio consolidó una agenda de cooperación con países africanos, especialmente Kenia y Egipto, orientada al fortalecimiento de la Transición Energética Justa, las energías renovables y el desarrollo de capacidades técnicas e institucionales. En este contexto, se avanzó en la firma y estructuración de instrumentos de cooperación para promover el intercambio de experiencias y buenas prácticas en áreas estratégicas del sector energético.</w:t>
      </w:r>
      <w:r w:rsidRPr="00C140A0">
        <w:rPr>
          <w:rFonts w:ascii="Verdana" w:hAnsi="Verdana"/>
          <w:sz w:val="24"/>
          <w:szCs w:val="24"/>
        </w:rPr>
        <w:t> </w:t>
      </w:r>
    </w:p>
    <w:p w:rsidRPr="00C140A0" w:rsidR="00332F9E" w:rsidP="006A0A13" w:rsidRDefault="00332F9E" w14:paraId="6A4EDC1C" w14:textId="77777777">
      <w:pPr>
        <w:spacing w:after="0" w:line="360" w:lineRule="auto"/>
        <w:jc w:val="both"/>
        <w:rPr>
          <w:rFonts w:ascii="Verdana" w:hAnsi="Verdana"/>
          <w:sz w:val="24"/>
          <w:szCs w:val="24"/>
        </w:rPr>
      </w:pPr>
    </w:p>
    <w:p w:rsidR="00ED062C" w:rsidP="006A0A13" w:rsidRDefault="00ED062C" w14:paraId="6E5F051F" w14:textId="77777777">
      <w:pPr>
        <w:spacing w:after="0" w:line="360" w:lineRule="auto"/>
        <w:jc w:val="both"/>
        <w:rPr>
          <w:rFonts w:ascii="Verdana" w:hAnsi="Verdana"/>
          <w:sz w:val="24"/>
          <w:szCs w:val="24"/>
        </w:rPr>
      </w:pPr>
      <w:r w:rsidRPr="00C140A0">
        <w:rPr>
          <w:rFonts w:ascii="Verdana" w:hAnsi="Verdana"/>
          <w:sz w:val="24"/>
          <w:szCs w:val="24"/>
          <w:lang w:val="es-ES"/>
        </w:rPr>
        <w:t xml:space="preserve">Se destacan la suscripción de un Memorando de Entendimiento con Kenia en temas de geotermia, políticas verdes y comunidades energéticas, así como los avances en la construcción de una agenda bilateral con Egipto enfocada en energías renovables, hidrógeno verde, amoníaco verde, gas natural y fortalecimiento regulatorio. Estas acciones ampliaron la proyección internacional de Colombia hacia nuevas regiones estratégicas </w:t>
      </w:r>
      <w:r w:rsidRPr="00C140A0">
        <w:rPr>
          <w:rFonts w:ascii="Verdana" w:hAnsi="Verdana"/>
          <w:sz w:val="24"/>
          <w:szCs w:val="24"/>
          <w:lang w:val="es-ES"/>
        </w:rPr>
        <w:t>y fortalecieron la cooperación para apoyar los objetivos nacionales de transición energética y descarbonización.</w:t>
      </w:r>
      <w:r w:rsidRPr="00C140A0">
        <w:rPr>
          <w:rFonts w:ascii="Verdana" w:hAnsi="Verdana"/>
          <w:sz w:val="24"/>
          <w:szCs w:val="24"/>
        </w:rPr>
        <w:t> </w:t>
      </w:r>
    </w:p>
    <w:p w:rsidRPr="00C140A0" w:rsidR="00332F9E" w:rsidP="006A0A13" w:rsidRDefault="00332F9E" w14:paraId="4E546621" w14:textId="77777777">
      <w:pPr>
        <w:spacing w:after="0" w:line="360" w:lineRule="auto"/>
        <w:jc w:val="both"/>
        <w:rPr>
          <w:rFonts w:ascii="Verdana" w:hAnsi="Verdana"/>
          <w:sz w:val="24"/>
          <w:szCs w:val="24"/>
        </w:rPr>
      </w:pPr>
    </w:p>
    <w:p w:rsidRPr="00C140A0" w:rsidR="00EB561F" w:rsidP="006A0A13" w:rsidRDefault="00EB561F" w14:paraId="16DEE12C" w14:textId="77777777">
      <w:pPr>
        <w:spacing w:after="0" w:line="360" w:lineRule="auto"/>
        <w:jc w:val="both"/>
        <w:rPr>
          <w:rFonts w:ascii="Verdana" w:hAnsi="Verdana"/>
          <w:sz w:val="24"/>
          <w:szCs w:val="24"/>
        </w:rPr>
      </w:pPr>
      <w:r w:rsidRPr="00C140A0">
        <w:rPr>
          <w:rFonts w:ascii="Verdana" w:hAnsi="Verdana"/>
          <w:sz w:val="24"/>
          <w:szCs w:val="24"/>
        </w:rPr>
        <w:t xml:space="preserve">Relacionamiento con Organismos Multilaterales e Iniciativas Internacionales  </w:t>
      </w:r>
    </w:p>
    <w:p w:rsidRPr="00C140A0" w:rsidR="00EB561F" w:rsidP="006A0A13" w:rsidRDefault="00EB561F" w14:paraId="7F711F03" w14:textId="77777777">
      <w:pPr>
        <w:spacing w:after="0" w:line="360" w:lineRule="auto"/>
        <w:jc w:val="both"/>
        <w:rPr>
          <w:rFonts w:ascii="Verdana" w:hAnsi="Verdana"/>
          <w:sz w:val="24"/>
          <w:szCs w:val="24"/>
        </w:rPr>
      </w:pPr>
      <w:r w:rsidRPr="00C140A0">
        <w:rPr>
          <w:rFonts w:ascii="Verdana" w:hAnsi="Verdana"/>
          <w:sz w:val="24"/>
          <w:szCs w:val="24"/>
        </w:rPr>
        <w:t xml:space="preserve"> </w:t>
      </w:r>
    </w:p>
    <w:p w:rsidRPr="00C140A0" w:rsidR="00EB561F" w:rsidP="006A0A13" w:rsidRDefault="00EB561F" w14:paraId="31BFA19D" w14:textId="77777777">
      <w:pPr>
        <w:spacing w:after="0" w:line="360" w:lineRule="auto"/>
        <w:jc w:val="both"/>
        <w:rPr>
          <w:rFonts w:ascii="Verdana" w:hAnsi="Verdana"/>
          <w:b/>
          <w:bCs/>
          <w:sz w:val="24"/>
          <w:szCs w:val="24"/>
        </w:rPr>
      </w:pPr>
      <w:r w:rsidRPr="00C140A0">
        <w:rPr>
          <w:rFonts w:ascii="Verdana" w:hAnsi="Verdana"/>
          <w:b/>
          <w:bCs/>
          <w:sz w:val="24"/>
          <w:szCs w:val="24"/>
        </w:rPr>
        <w:t xml:space="preserve">AIE- Proceso de Adhesión a la Agencia Internacional de Energía (AIE). </w:t>
      </w:r>
    </w:p>
    <w:p w:rsidRPr="00C140A0" w:rsidR="00EB561F" w:rsidP="006A0A13" w:rsidRDefault="00EB561F" w14:paraId="1FA7D0B0" w14:textId="77777777">
      <w:pPr>
        <w:spacing w:after="0" w:line="360" w:lineRule="auto"/>
        <w:jc w:val="both"/>
        <w:rPr>
          <w:rFonts w:ascii="Verdana" w:hAnsi="Verdana"/>
          <w:sz w:val="24"/>
          <w:szCs w:val="24"/>
        </w:rPr>
      </w:pPr>
    </w:p>
    <w:p w:rsidRPr="00C140A0" w:rsidR="00EB561F" w:rsidP="006A0A13" w:rsidRDefault="00EB561F" w14:paraId="03FDC2D0" w14:textId="77777777">
      <w:pPr>
        <w:spacing w:after="0" w:line="360" w:lineRule="auto"/>
        <w:jc w:val="both"/>
        <w:rPr>
          <w:rFonts w:ascii="Verdana" w:hAnsi="Verdana"/>
          <w:sz w:val="24"/>
          <w:szCs w:val="24"/>
        </w:rPr>
      </w:pPr>
      <w:r w:rsidRPr="00C140A0">
        <w:rPr>
          <w:rFonts w:ascii="Verdana" w:hAnsi="Verdana"/>
          <w:sz w:val="24"/>
          <w:szCs w:val="24"/>
        </w:rPr>
        <w:t xml:space="preserve">Colombia avanzó desde la identificación de brechas estructurales hasta el cumplimiento pleno de los estándares internacionales exigidos por la International Energy Agency, consolidando un proceso técnico e institucional que fortaleció su seguridad energética y su integración internacional.  </w:t>
      </w:r>
    </w:p>
    <w:p w:rsidRPr="00C140A0" w:rsidR="00EB561F" w:rsidP="006A0A13" w:rsidRDefault="00EB561F" w14:paraId="392754FE" w14:textId="77777777">
      <w:pPr>
        <w:spacing w:after="0" w:line="360" w:lineRule="auto"/>
        <w:jc w:val="both"/>
        <w:rPr>
          <w:rFonts w:ascii="Verdana" w:hAnsi="Verdana"/>
          <w:sz w:val="24"/>
          <w:szCs w:val="24"/>
        </w:rPr>
      </w:pPr>
    </w:p>
    <w:p w:rsidRPr="00C140A0" w:rsidR="00EB561F" w:rsidP="006A0A13" w:rsidRDefault="2BE2DDE7" w14:paraId="34F46D4A" w14:textId="77777777">
      <w:pPr>
        <w:spacing w:after="0" w:line="360" w:lineRule="auto"/>
        <w:jc w:val="both"/>
        <w:rPr>
          <w:rFonts w:ascii="Verdana" w:hAnsi="Verdana"/>
          <w:sz w:val="24"/>
          <w:szCs w:val="24"/>
        </w:rPr>
      </w:pPr>
      <w:r w:rsidRPr="180099B3">
        <w:rPr>
          <w:rFonts w:ascii="Verdana" w:hAnsi="Verdana"/>
          <w:sz w:val="24"/>
          <w:szCs w:val="24"/>
        </w:rPr>
        <w:t xml:space="preserve">El principal hito del proceso fue la defensa exitosa del Emergency and Security Review (ESR) en el año 2025 en París, donde se confirmó que Colombia cumplía con todos los requisitos de membresía, destacando la solidez de su marco legal, su capacidad de respuesta ante emergencias y el desarrollo de instrumentos técnicos robustos. Como resultado, en febrero de 2026 los países miembros de la AIE invitaron por unanimidad a Colombia a convertirse en el 33.º país miembro de la Agencia, consolidando un logro histórico para su participación en la gobernanza energética global. </w:t>
      </w:r>
    </w:p>
    <w:p w:rsidR="180099B3" w:rsidP="006A0A13" w:rsidRDefault="180099B3" w14:paraId="201181A2" w14:textId="77777777">
      <w:pPr>
        <w:spacing w:after="0" w:line="360" w:lineRule="auto"/>
        <w:jc w:val="both"/>
        <w:rPr>
          <w:rFonts w:ascii="Verdana" w:hAnsi="Verdana"/>
          <w:sz w:val="24"/>
          <w:szCs w:val="24"/>
        </w:rPr>
      </w:pPr>
    </w:p>
    <w:p w:rsidRPr="00332F9E" w:rsidR="00EB561F" w:rsidP="00332F9E" w:rsidRDefault="2BE2DDE7" w14:paraId="5AA6DDD8" w14:textId="77777777">
      <w:pPr>
        <w:spacing w:after="0" w:line="240" w:lineRule="auto"/>
        <w:jc w:val="center"/>
        <w:rPr>
          <w:rFonts w:ascii="Verdana" w:hAnsi="Verdana"/>
          <w:sz w:val="18"/>
          <w:szCs w:val="18"/>
        </w:rPr>
      </w:pPr>
      <w:r w:rsidRPr="180099B3">
        <w:rPr>
          <w:rFonts w:ascii="Verdana" w:hAnsi="Verdana"/>
          <w:sz w:val="18"/>
          <w:szCs w:val="18"/>
        </w:rPr>
        <w:t xml:space="preserve">Imagen </w:t>
      </w:r>
      <w:r w:rsidRPr="180099B3" w:rsidR="43ED9403">
        <w:rPr>
          <w:rFonts w:ascii="Verdana" w:hAnsi="Verdana"/>
          <w:sz w:val="18"/>
          <w:szCs w:val="18"/>
        </w:rPr>
        <w:t>No.</w:t>
      </w:r>
      <w:r w:rsidRPr="180099B3" w:rsidR="5906A47E">
        <w:rPr>
          <w:rFonts w:ascii="Verdana" w:hAnsi="Verdana"/>
          <w:sz w:val="18"/>
          <w:szCs w:val="18"/>
        </w:rPr>
        <w:t>10</w:t>
      </w:r>
      <w:r w:rsidRPr="180099B3">
        <w:rPr>
          <w:rFonts w:ascii="Verdana" w:hAnsi="Verdana"/>
          <w:sz w:val="18"/>
          <w:szCs w:val="18"/>
        </w:rPr>
        <w:t>. Participación del MME en la Reunión Ministerial de la IEA 2026</w:t>
      </w:r>
    </w:p>
    <w:p w:rsidRPr="00332F9E" w:rsidR="00EB561F" w:rsidP="00332F9E" w:rsidRDefault="00A507F6" w14:paraId="4E9997F0" w14:textId="77777777">
      <w:pPr>
        <w:spacing w:after="0" w:line="240" w:lineRule="auto"/>
        <w:jc w:val="center"/>
        <w:rPr>
          <w:rFonts w:ascii="Verdana" w:hAnsi="Verdana"/>
          <w:sz w:val="18"/>
          <w:szCs w:val="18"/>
        </w:rPr>
      </w:pPr>
      <w:r w:rsidRPr="00332F9E">
        <w:rPr>
          <w:rFonts w:ascii="Verdana" w:hAnsi="Verdana"/>
          <w:noProof/>
          <w:sz w:val="18"/>
          <w:szCs w:val="18"/>
        </w:rPr>
        <w:drawing>
          <wp:inline distT="0" distB="0" distL="0" distR="0" wp14:anchorId="4FAD34FD" wp14:editId="42D6A188">
            <wp:extent cx="2366645" cy="2205355"/>
            <wp:effectExtent l="0" t="0" r="0" b="4445"/>
            <wp:docPr id="15391880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366645" cy="2205355"/>
                    </a:xfrm>
                    <a:prstGeom prst="rect">
                      <a:avLst/>
                    </a:prstGeom>
                    <a:noFill/>
                    <a:ln>
                      <a:noFill/>
                    </a:ln>
                  </pic:spPr>
                </pic:pic>
              </a:graphicData>
            </a:graphic>
          </wp:inline>
        </w:drawing>
      </w:r>
      <w:r w:rsidRPr="00332F9E" w:rsidR="007F466F">
        <w:rPr>
          <w:rFonts w:ascii="Verdana" w:hAnsi="Verdana"/>
          <w:noProof/>
          <w:sz w:val="18"/>
          <w:szCs w:val="18"/>
        </w:rPr>
        <w:drawing>
          <wp:inline distT="0" distB="0" distL="0" distR="0" wp14:anchorId="3EFFAD28" wp14:editId="71A2ADB2">
            <wp:extent cx="2597150" cy="2205355"/>
            <wp:effectExtent l="0" t="0" r="0" b="4445"/>
            <wp:docPr id="62574466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597150" cy="2205355"/>
                    </a:xfrm>
                    <a:prstGeom prst="rect">
                      <a:avLst/>
                    </a:prstGeom>
                    <a:noFill/>
                    <a:ln>
                      <a:noFill/>
                    </a:ln>
                  </pic:spPr>
                </pic:pic>
              </a:graphicData>
            </a:graphic>
          </wp:inline>
        </w:drawing>
      </w:r>
    </w:p>
    <w:p w:rsidRPr="00332F9E" w:rsidR="00EB561F" w:rsidP="00332F9E" w:rsidRDefault="00EB561F" w14:paraId="75669E50" w14:textId="77777777">
      <w:pPr>
        <w:spacing w:after="0" w:line="240" w:lineRule="auto"/>
        <w:jc w:val="center"/>
        <w:rPr>
          <w:rFonts w:ascii="Verdana" w:hAnsi="Verdana"/>
          <w:sz w:val="18"/>
          <w:szCs w:val="18"/>
        </w:rPr>
      </w:pPr>
      <w:r w:rsidRPr="00332F9E">
        <w:rPr>
          <w:rFonts w:ascii="Verdana" w:hAnsi="Verdana"/>
          <w:sz w:val="18"/>
          <w:szCs w:val="18"/>
        </w:rPr>
        <w:t>Fuente: Grupo de Comunicación y Prensa</w:t>
      </w:r>
    </w:p>
    <w:p w:rsidRPr="00C140A0" w:rsidR="00874D12" w:rsidP="00874D12" w:rsidRDefault="00874D12" w14:paraId="7CD451E1" w14:textId="77777777">
      <w:pPr>
        <w:spacing w:after="0" w:line="360" w:lineRule="auto"/>
        <w:jc w:val="center"/>
        <w:rPr>
          <w:rFonts w:ascii="Verdana" w:hAnsi="Verdana"/>
          <w:i/>
          <w:iCs/>
          <w:sz w:val="18"/>
          <w:szCs w:val="18"/>
        </w:rPr>
      </w:pPr>
    </w:p>
    <w:p w:rsidRPr="00C140A0" w:rsidR="00EB561F" w:rsidP="00332F9E" w:rsidRDefault="00EB561F" w14:paraId="78561773" w14:textId="77777777">
      <w:pPr>
        <w:spacing w:after="0" w:line="360" w:lineRule="auto"/>
        <w:jc w:val="both"/>
        <w:rPr>
          <w:rFonts w:ascii="Verdana" w:hAnsi="Verdana"/>
          <w:b/>
          <w:bCs/>
          <w:sz w:val="24"/>
          <w:szCs w:val="24"/>
        </w:rPr>
      </w:pPr>
      <w:r w:rsidRPr="00C140A0">
        <w:rPr>
          <w:rFonts w:ascii="Verdana" w:hAnsi="Verdana"/>
          <w:b/>
          <w:bCs/>
          <w:sz w:val="24"/>
          <w:szCs w:val="24"/>
        </w:rPr>
        <w:t>CELAC-</w:t>
      </w:r>
      <w:r w:rsidRPr="00C140A0">
        <w:rPr>
          <w:rFonts w:ascii="Verdana" w:hAnsi="Verdana" w:cs="Arial"/>
          <w:b/>
          <w:bCs/>
          <w:sz w:val="24"/>
          <w:szCs w:val="24"/>
        </w:rPr>
        <w:t> </w:t>
      </w:r>
      <w:r w:rsidRPr="00C140A0">
        <w:rPr>
          <w:rFonts w:ascii="Verdana" w:hAnsi="Verdana"/>
          <w:b/>
          <w:bCs/>
          <w:sz w:val="24"/>
          <w:szCs w:val="24"/>
        </w:rPr>
        <w:t>PRESIDENCIA PRO TEMPORE CELAC - Agenda Minero Energ</w:t>
      </w:r>
      <w:r w:rsidRPr="00C140A0">
        <w:rPr>
          <w:rFonts w:ascii="Verdana" w:hAnsi="Verdana" w:cs="Aptos"/>
          <w:b/>
          <w:bCs/>
          <w:sz w:val="24"/>
          <w:szCs w:val="24"/>
        </w:rPr>
        <w:t>é</w:t>
      </w:r>
      <w:r w:rsidRPr="00C140A0">
        <w:rPr>
          <w:rFonts w:ascii="Verdana" w:hAnsi="Verdana"/>
          <w:b/>
          <w:bCs/>
          <w:sz w:val="24"/>
          <w:szCs w:val="24"/>
        </w:rPr>
        <w:t xml:space="preserve">tica. </w:t>
      </w:r>
    </w:p>
    <w:p w:rsidR="00332F9E" w:rsidP="00332F9E" w:rsidRDefault="00332F9E" w14:paraId="19CE9A94" w14:textId="77777777">
      <w:pPr>
        <w:spacing w:after="0" w:line="360" w:lineRule="auto"/>
        <w:jc w:val="both"/>
        <w:rPr>
          <w:rFonts w:ascii="Verdana" w:hAnsi="Verdana"/>
          <w:sz w:val="24"/>
          <w:szCs w:val="24"/>
        </w:rPr>
      </w:pPr>
    </w:p>
    <w:p w:rsidRPr="00C140A0" w:rsidR="00EB561F" w:rsidP="00332F9E" w:rsidRDefault="2BE2DDE7" w14:paraId="260CE6BA" w14:textId="77777777">
      <w:pPr>
        <w:spacing w:after="0" w:line="360" w:lineRule="auto"/>
        <w:jc w:val="both"/>
        <w:rPr>
          <w:rFonts w:ascii="Verdana" w:hAnsi="Verdana"/>
          <w:sz w:val="24"/>
          <w:szCs w:val="24"/>
        </w:rPr>
      </w:pPr>
      <w:r w:rsidRPr="180099B3">
        <w:rPr>
          <w:rFonts w:ascii="Verdana" w:hAnsi="Verdana"/>
          <w:sz w:val="24"/>
          <w:szCs w:val="24"/>
        </w:rPr>
        <w:t xml:space="preserve">Durante la Presidencia Pro Tempore de la CELAC (2025–2026), liderada por Colombia, se consolidó la agenda minero-energética regional mediante el impulso de espacios técnicos y ministeriales orientados a fortalecer la cooperación, la integración energética y el posicionamiento de la transición energética justa como eje estratégico para América Latina y el Caribe. Asimismo, se sentaron bases sólidas para garantizar la continuidad de la agenda energética regional en el marco de la CELAC, manteniendo el impulso político y técnico alcanzado durante el periodo. </w:t>
      </w:r>
    </w:p>
    <w:p w:rsidR="180099B3" w:rsidP="180099B3" w:rsidRDefault="180099B3" w14:paraId="57FC2192" w14:textId="77777777">
      <w:pPr>
        <w:spacing w:after="0" w:line="360" w:lineRule="auto"/>
        <w:jc w:val="both"/>
        <w:rPr>
          <w:rFonts w:ascii="Verdana" w:hAnsi="Verdana"/>
          <w:sz w:val="24"/>
          <w:szCs w:val="24"/>
        </w:rPr>
      </w:pPr>
    </w:p>
    <w:p w:rsidRPr="00332F9E" w:rsidR="00EB561F" w:rsidP="00E32B89" w:rsidRDefault="2BE2DDE7" w14:paraId="7EA0BA1F" w14:textId="77777777">
      <w:pPr>
        <w:spacing w:after="0" w:line="360" w:lineRule="auto"/>
        <w:jc w:val="center"/>
        <w:rPr>
          <w:rFonts w:ascii="Verdana" w:hAnsi="Verdana"/>
          <w:sz w:val="18"/>
          <w:szCs w:val="18"/>
        </w:rPr>
      </w:pPr>
      <w:r w:rsidRPr="180099B3">
        <w:rPr>
          <w:rFonts w:ascii="Verdana" w:hAnsi="Verdana"/>
          <w:sz w:val="18"/>
          <w:szCs w:val="18"/>
        </w:rPr>
        <w:t xml:space="preserve">Imagen </w:t>
      </w:r>
      <w:r w:rsidRPr="180099B3" w:rsidR="67E50A1B">
        <w:rPr>
          <w:rFonts w:ascii="Verdana" w:hAnsi="Verdana"/>
          <w:sz w:val="18"/>
          <w:szCs w:val="18"/>
        </w:rPr>
        <w:t>No. 1</w:t>
      </w:r>
      <w:r w:rsidRPr="180099B3" w:rsidR="417127B1">
        <w:rPr>
          <w:rFonts w:ascii="Verdana" w:hAnsi="Verdana"/>
          <w:sz w:val="18"/>
          <w:szCs w:val="18"/>
        </w:rPr>
        <w:t>1</w:t>
      </w:r>
      <w:r w:rsidRPr="180099B3">
        <w:rPr>
          <w:rFonts w:ascii="Verdana" w:hAnsi="Verdana"/>
          <w:sz w:val="18"/>
          <w:szCs w:val="18"/>
        </w:rPr>
        <w:t>. VII Reunión Ministerial de la Energía en el marco de la CELAC</w:t>
      </w:r>
    </w:p>
    <w:p w:rsidRPr="00332F9E" w:rsidR="00EB561F" w:rsidP="00E32B89" w:rsidRDefault="00E32B89" w14:paraId="77114087" w14:textId="77777777">
      <w:pPr>
        <w:spacing w:after="0" w:line="360" w:lineRule="auto"/>
        <w:jc w:val="center"/>
        <w:rPr>
          <w:rFonts w:ascii="Verdana" w:hAnsi="Verdana"/>
          <w:sz w:val="18"/>
          <w:szCs w:val="18"/>
        </w:rPr>
      </w:pPr>
      <w:r w:rsidRPr="00332F9E">
        <w:rPr>
          <w:rFonts w:ascii="Verdana" w:hAnsi="Verdana"/>
          <w:noProof/>
          <w:sz w:val="18"/>
          <w:szCs w:val="18"/>
        </w:rPr>
        <w:drawing>
          <wp:inline distT="0" distB="0" distL="0" distR="0" wp14:anchorId="08EE8186" wp14:editId="40EBAEE5">
            <wp:extent cx="3696335" cy="2458720"/>
            <wp:effectExtent l="0" t="0" r="0" b="0"/>
            <wp:docPr id="194452516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96335" cy="2458720"/>
                    </a:xfrm>
                    <a:prstGeom prst="rect">
                      <a:avLst/>
                    </a:prstGeom>
                    <a:noFill/>
                    <a:ln>
                      <a:noFill/>
                    </a:ln>
                  </pic:spPr>
                </pic:pic>
              </a:graphicData>
            </a:graphic>
          </wp:inline>
        </w:drawing>
      </w:r>
    </w:p>
    <w:p w:rsidRPr="00332F9E" w:rsidR="00EB561F" w:rsidP="00E32B89" w:rsidRDefault="00EB561F" w14:paraId="6BE57240" w14:textId="77777777">
      <w:pPr>
        <w:spacing w:after="0" w:line="360" w:lineRule="auto"/>
        <w:jc w:val="center"/>
        <w:rPr>
          <w:rFonts w:ascii="Verdana" w:hAnsi="Verdana"/>
          <w:sz w:val="18"/>
          <w:szCs w:val="18"/>
        </w:rPr>
      </w:pPr>
      <w:r w:rsidRPr="00332F9E">
        <w:rPr>
          <w:rFonts w:ascii="Verdana" w:hAnsi="Verdana"/>
          <w:sz w:val="18"/>
          <w:szCs w:val="18"/>
        </w:rPr>
        <w:t>Fuente: Grupo de Comunicación y Prensa</w:t>
      </w:r>
    </w:p>
    <w:p w:rsidRPr="00332F9E" w:rsidR="00E32B89" w:rsidP="005358E1" w:rsidRDefault="00E32B89" w14:paraId="5C5D0127" w14:textId="77777777">
      <w:pPr>
        <w:spacing w:after="0" w:line="360" w:lineRule="auto"/>
        <w:jc w:val="center"/>
        <w:rPr>
          <w:rFonts w:ascii="Verdana" w:hAnsi="Verdana"/>
          <w:sz w:val="20"/>
          <w:szCs w:val="20"/>
        </w:rPr>
      </w:pPr>
    </w:p>
    <w:p w:rsidR="00EB561F" w:rsidP="005358E1" w:rsidRDefault="00EB561F" w14:paraId="77021167" w14:textId="77777777">
      <w:pPr>
        <w:spacing w:after="0" w:line="360" w:lineRule="auto"/>
        <w:jc w:val="both"/>
        <w:rPr>
          <w:rFonts w:ascii="Verdana" w:hAnsi="Verdana"/>
          <w:b/>
          <w:bCs/>
          <w:sz w:val="24"/>
          <w:szCs w:val="24"/>
        </w:rPr>
      </w:pPr>
      <w:r w:rsidRPr="00C140A0">
        <w:rPr>
          <w:rFonts w:ascii="Verdana" w:hAnsi="Verdana"/>
          <w:b/>
          <w:bCs/>
          <w:sz w:val="24"/>
          <w:szCs w:val="24"/>
        </w:rPr>
        <w:t xml:space="preserve">OLACDE - Cooperación Técnica con OLACDE para la Construcción de la Hoja de Ruta de Reducción de Emisiones de Metano en Colombia. </w:t>
      </w:r>
    </w:p>
    <w:p w:rsidRPr="00C140A0" w:rsidR="00332F9E" w:rsidP="005358E1" w:rsidRDefault="00332F9E" w14:paraId="25628D43" w14:textId="77777777">
      <w:pPr>
        <w:spacing w:after="0" w:line="360" w:lineRule="auto"/>
        <w:jc w:val="both"/>
        <w:rPr>
          <w:rFonts w:ascii="Verdana" w:hAnsi="Verdana"/>
          <w:b/>
          <w:bCs/>
          <w:sz w:val="24"/>
          <w:szCs w:val="24"/>
        </w:rPr>
      </w:pPr>
    </w:p>
    <w:p w:rsidR="00EB561F" w:rsidP="005358E1" w:rsidRDefault="00EB561F" w14:paraId="50D20C18" w14:textId="77777777">
      <w:pPr>
        <w:spacing w:after="0" w:line="360" w:lineRule="auto"/>
        <w:jc w:val="both"/>
        <w:rPr>
          <w:rFonts w:ascii="Verdana" w:hAnsi="Verdana"/>
          <w:sz w:val="24"/>
          <w:szCs w:val="24"/>
        </w:rPr>
      </w:pPr>
      <w:r w:rsidRPr="00C140A0">
        <w:rPr>
          <w:rFonts w:ascii="Verdana" w:hAnsi="Verdana"/>
          <w:sz w:val="24"/>
          <w:szCs w:val="24"/>
        </w:rPr>
        <w:t xml:space="preserve">Durante el periodo de gestión, el Ministerio de Minas y Energía, en articulación con OLACDE y en el marco del Observatorio de Emisiones de Metano de América Latina y el Caribe (OEMLAC), consolidó un proceso de cooperación técnica para la construcción de la Hoja de Ruta Nacional de Reducción de Emisiones de Metano en los sectores de hidrocarburos y minería de carbón. Este ejercicio permitió fortalecer las capacidades nacionales para la estimación de emisiones, identificar oportunidades de mitigación y avanzar en la definición de acciones concretas y priorizadas para el sector energético. </w:t>
      </w:r>
    </w:p>
    <w:p w:rsidRPr="00C140A0" w:rsidR="00332F9E" w:rsidP="005358E1" w:rsidRDefault="00332F9E" w14:paraId="2526DCDF" w14:textId="77777777">
      <w:pPr>
        <w:spacing w:after="0" w:line="360" w:lineRule="auto"/>
        <w:jc w:val="both"/>
        <w:rPr>
          <w:rFonts w:ascii="Verdana" w:hAnsi="Verdana"/>
          <w:sz w:val="24"/>
          <w:szCs w:val="24"/>
        </w:rPr>
      </w:pPr>
    </w:p>
    <w:p w:rsidRPr="00C140A0" w:rsidR="00E32B89" w:rsidP="005358E1" w:rsidRDefault="00EB561F" w14:paraId="5EF41CEB" w14:textId="77777777">
      <w:pPr>
        <w:spacing w:after="0" w:line="360" w:lineRule="auto"/>
        <w:jc w:val="both"/>
        <w:rPr>
          <w:rFonts w:ascii="Verdana" w:hAnsi="Verdana"/>
          <w:sz w:val="24"/>
          <w:szCs w:val="24"/>
        </w:rPr>
      </w:pPr>
      <w:r w:rsidRPr="00C140A0">
        <w:rPr>
          <w:rFonts w:ascii="Verdana" w:hAnsi="Verdana"/>
          <w:sz w:val="24"/>
          <w:szCs w:val="24"/>
        </w:rPr>
        <w:t xml:space="preserve">Asimismo, posicionó a Colombia como referente regional en la gestión de emisiones de metano en el sector hidrocarburos, sentando bases técnicas y regulatorias para la adopción de la hoja de ruta, el desarrollo de instrumentos complementarios, la implementación de proyectos piloto de </w:t>
      </w:r>
      <w:r w:rsidRPr="00C140A0">
        <w:rPr>
          <w:rFonts w:ascii="Verdana" w:hAnsi="Verdana"/>
          <w:sz w:val="24"/>
          <w:szCs w:val="24"/>
        </w:rPr>
        <w:t>mitigación y la gestión de cooperación y financiamiento internacional, en línea con los compromisos climáticos del país. </w:t>
      </w:r>
    </w:p>
    <w:p w:rsidRPr="00C140A0" w:rsidR="00EB561F" w:rsidP="005358E1" w:rsidRDefault="00EB561F" w14:paraId="56064F44" w14:textId="77777777">
      <w:pPr>
        <w:spacing w:after="0" w:line="360" w:lineRule="auto"/>
        <w:jc w:val="both"/>
        <w:rPr>
          <w:rFonts w:ascii="Verdana" w:hAnsi="Verdana"/>
          <w:sz w:val="24"/>
          <w:szCs w:val="24"/>
        </w:rPr>
      </w:pPr>
      <w:r w:rsidRPr="00C140A0">
        <w:rPr>
          <w:rFonts w:ascii="Verdana" w:hAnsi="Verdana"/>
          <w:sz w:val="24"/>
          <w:szCs w:val="24"/>
        </w:rPr>
        <w:t xml:space="preserve"> </w:t>
      </w:r>
    </w:p>
    <w:p w:rsidR="00EB561F" w:rsidP="005358E1" w:rsidRDefault="00EB561F" w14:paraId="4B1BD31F" w14:textId="77777777">
      <w:pPr>
        <w:spacing w:after="0" w:line="360" w:lineRule="auto"/>
        <w:jc w:val="both"/>
        <w:rPr>
          <w:rFonts w:ascii="Verdana" w:hAnsi="Verdana"/>
          <w:sz w:val="24"/>
          <w:szCs w:val="24"/>
        </w:rPr>
      </w:pPr>
      <w:r w:rsidRPr="00C140A0">
        <w:rPr>
          <w:rFonts w:ascii="Verdana" w:hAnsi="Verdana"/>
          <w:b/>
          <w:bCs/>
          <w:sz w:val="24"/>
          <w:szCs w:val="24"/>
        </w:rPr>
        <w:t>CEPAL - Fortalecimiento del Indicador Multidimensional de Pobreza Energética en Colombia Cooperación entre el Ministerio de Minas y Energía de Colombia y la Comisión Económica para América Latina y el Caribe.</w:t>
      </w:r>
      <w:r w:rsidRPr="00C140A0">
        <w:rPr>
          <w:rFonts w:ascii="Verdana" w:hAnsi="Verdana"/>
          <w:sz w:val="24"/>
          <w:szCs w:val="24"/>
        </w:rPr>
        <w:t xml:space="preserve">   </w:t>
      </w:r>
    </w:p>
    <w:p w:rsidRPr="00C140A0" w:rsidR="00332F9E" w:rsidP="005358E1" w:rsidRDefault="00332F9E" w14:paraId="057F29ED" w14:textId="77777777">
      <w:pPr>
        <w:spacing w:after="0" w:line="360" w:lineRule="auto"/>
        <w:jc w:val="both"/>
        <w:rPr>
          <w:rFonts w:ascii="Verdana" w:hAnsi="Verdana"/>
          <w:sz w:val="24"/>
          <w:szCs w:val="24"/>
        </w:rPr>
      </w:pPr>
    </w:p>
    <w:p w:rsidRPr="00C140A0" w:rsidR="00EB561F" w:rsidP="005358E1" w:rsidRDefault="00EB561F" w14:paraId="7A781E85" w14:textId="77777777">
      <w:pPr>
        <w:spacing w:after="0" w:line="360" w:lineRule="auto"/>
        <w:jc w:val="both"/>
        <w:rPr>
          <w:rFonts w:ascii="Verdana" w:hAnsi="Verdana"/>
          <w:sz w:val="24"/>
          <w:szCs w:val="24"/>
        </w:rPr>
      </w:pPr>
      <w:r w:rsidRPr="00C140A0">
        <w:rPr>
          <w:rFonts w:ascii="Verdana" w:hAnsi="Verdana"/>
          <w:sz w:val="24"/>
          <w:szCs w:val="24"/>
        </w:rPr>
        <w:t xml:space="preserve">Con apoyo técnico de CEPAL y la Red de Pobreza Energética (RedPE), se logró desarrollar el Indicador Multidimensional de Pobreza Energética (IPEM) como herramienta estratégica para la formulación de política pública basada en evidencia. Como principal logro, se presentó el primer Índice de Pobreza Energética Multidimensional de Colombia y se consolidó un panel de indicadores con enfoques territoriales, de género, étnicos e interseccionales, fortaleciendo la capacidad institucional para focalizar inversiones y mejorar la comprensión de la pobreza energética como fenómeno estructural del país. </w:t>
      </w:r>
    </w:p>
    <w:p w:rsidRPr="00C140A0" w:rsidR="00E32B89" w:rsidP="005358E1" w:rsidRDefault="00E32B89" w14:paraId="6D37C1B6" w14:textId="77777777">
      <w:pPr>
        <w:spacing w:after="0" w:line="360" w:lineRule="auto"/>
        <w:jc w:val="both"/>
        <w:rPr>
          <w:rFonts w:ascii="Verdana" w:hAnsi="Verdana"/>
          <w:sz w:val="24"/>
          <w:szCs w:val="24"/>
        </w:rPr>
      </w:pPr>
    </w:p>
    <w:p w:rsidRPr="00C140A0" w:rsidR="00EB561F" w:rsidP="005358E1" w:rsidRDefault="513C1DD1" w14:paraId="0F0F4474" w14:textId="77777777">
      <w:pPr>
        <w:spacing w:after="0" w:line="360" w:lineRule="auto"/>
        <w:jc w:val="both"/>
        <w:rPr>
          <w:rFonts w:ascii="Verdana" w:hAnsi="Verdana"/>
          <w:b/>
          <w:bCs/>
          <w:sz w:val="24"/>
          <w:szCs w:val="24"/>
        </w:rPr>
      </w:pPr>
      <w:r w:rsidRPr="11835F2D">
        <w:rPr>
          <w:rFonts w:ascii="Verdana" w:hAnsi="Verdana"/>
          <w:b/>
          <w:bCs/>
          <w:sz w:val="24"/>
          <w:szCs w:val="24"/>
        </w:rPr>
        <w:t xml:space="preserve">Proyecto de Integración y Desarrollo de Mesoamérica.  </w:t>
      </w:r>
    </w:p>
    <w:p w:rsidR="11835F2D" w:rsidP="005358E1" w:rsidRDefault="11835F2D" w14:paraId="57C1C7D1" w14:textId="77777777">
      <w:pPr>
        <w:spacing w:after="0" w:line="360" w:lineRule="auto"/>
        <w:jc w:val="both"/>
        <w:rPr>
          <w:rFonts w:ascii="Verdana" w:hAnsi="Verdana"/>
          <w:sz w:val="24"/>
          <w:szCs w:val="24"/>
        </w:rPr>
      </w:pPr>
    </w:p>
    <w:p w:rsidRPr="00C140A0" w:rsidR="00EB561F" w:rsidP="005358E1" w:rsidRDefault="00EB561F" w14:paraId="401B872D" w14:textId="77777777">
      <w:pPr>
        <w:spacing w:after="0" w:line="360" w:lineRule="auto"/>
        <w:jc w:val="both"/>
        <w:rPr>
          <w:rFonts w:ascii="Verdana" w:hAnsi="Verdana"/>
          <w:sz w:val="24"/>
          <w:szCs w:val="24"/>
        </w:rPr>
      </w:pPr>
      <w:r w:rsidRPr="00C140A0">
        <w:rPr>
          <w:rFonts w:ascii="Verdana" w:hAnsi="Verdana"/>
          <w:sz w:val="24"/>
          <w:szCs w:val="24"/>
        </w:rPr>
        <w:t xml:space="preserve">El Ministerio fortaleció su participación en la construcción de la Estrategia Mesoamericana de Energía 2030 (EME 2030), impulsando acciones orientadas a la transición energética, la seguridad energética y la integración regional. Entre los principales avances se destacan la validación técnica de los términos de referencia para la formulación de la estrategia, el desarrollo de la propuesta del Corredor Energético Mesoamericano, la gestión de cooperación con BID y BCIE para proyectos de interconexión eléctrica, y el fortalecimiento de iniciativas regionales en eficiencia energética, combustibles sostenibles de aviación y electromovilidad. Asimismo, se aprobó el plan de trabajo 2026 en </w:t>
      </w:r>
      <w:r w:rsidRPr="00C140A0">
        <w:rPr>
          <w:rFonts w:ascii="Verdana" w:hAnsi="Verdana"/>
          <w:sz w:val="24"/>
          <w:szCs w:val="24"/>
        </w:rPr>
        <w:t xml:space="preserve">movilidad eléctrica, incluyendo diagnósticos regionales, corredores de movilidad y procesos de formación y articulación con socios estratégicos. </w:t>
      </w:r>
    </w:p>
    <w:p w:rsidRPr="00C140A0" w:rsidR="00E32B89" w:rsidP="005358E1" w:rsidRDefault="00E32B89" w14:paraId="7B1D928D" w14:textId="77777777">
      <w:pPr>
        <w:spacing w:after="0" w:line="360" w:lineRule="auto"/>
        <w:jc w:val="both"/>
        <w:rPr>
          <w:rFonts w:ascii="Verdana" w:hAnsi="Verdana"/>
          <w:sz w:val="24"/>
          <w:szCs w:val="24"/>
        </w:rPr>
      </w:pPr>
    </w:p>
    <w:p w:rsidR="00EB561F" w:rsidP="005358E1" w:rsidRDefault="00EB561F" w14:paraId="388C16D2" w14:textId="77777777">
      <w:pPr>
        <w:spacing w:after="0" w:line="360" w:lineRule="auto"/>
        <w:jc w:val="both"/>
        <w:rPr>
          <w:rFonts w:ascii="Verdana" w:hAnsi="Verdana"/>
          <w:b/>
          <w:bCs/>
          <w:sz w:val="24"/>
          <w:szCs w:val="24"/>
        </w:rPr>
      </w:pPr>
      <w:r w:rsidRPr="00C140A0">
        <w:rPr>
          <w:rFonts w:ascii="Verdana" w:hAnsi="Verdana"/>
          <w:b/>
          <w:bCs/>
          <w:sz w:val="24"/>
          <w:szCs w:val="24"/>
        </w:rPr>
        <w:t xml:space="preserve">COFFIS - Coalición para la Eliminación Gradual de los Incentivos a los Combustibles Fósiles, Incluidos los Subsidios.  </w:t>
      </w:r>
    </w:p>
    <w:p w:rsidRPr="00C140A0" w:rsidR="00332F9E" w:rsidP="005358E1" w:rsidRDefault="00332F9E" w14:paraId="715449D5" w14:textId="77777777">
      <w:pPr>
        <w:spacing w:after="0" w:line="360" w:lineRule="auto"/>
        <w:jc w:val="both"/>
        <w:rPr>
          <w:rFonts w:ascii="Verdana" w:hAnsi="Verdana"/>
          <w:b/>
          <w:bCs/>
          <w:sz w:val="24"/>
          <w:szCs w:val="24"/>
        </w:rPr>
      </w:pPr>
    </w:p>
    <w:p w:rsidRPr="00C140A0" w:rsidR="00EB561F" w:rsidP="005358E1" w:rsidRDefault="00EB561F" w14:paraId="49A15E86" w14:textId="77777777">
      <w:pPr>
        <w:spacing w:after="0" w:line="360" w:lineRule="auto"/>
        <w:jc w:val="both"/>
        <w:rPr>
          <w:rFonts w:ascii="Verdana" w:hAnsi="Verdana"/>
          <w:sz w:val="24"/>
          <w:szCs w:val="24"/>
        </w:rPr>
      </w:pPr>
      <w:r w:rsidRPr="00C140A0">
        <w:rPr>
          <w:rFonts w:ascii="Verdana" w:hAnsi="Verdana"/>
          <w:sz w:val="24"/>
          <w:szCs w:val="24"/>
        </w:rPr>
        <w:t xml:space="preserve">Durante el periodo 2024–2026, Colombia consolidó su liderazgo regional en transición energética al convertirse en miembro oficial de la coalición COFFIS en el marco de la COP29 y coorganizar, junto con Países Bajos, la Primera Conferencia Internacional para la Eliminación Global de los Combustibles Fósiles realizada en Santa Marta en abril de 2026. El país avanzó en la construcción del inventario nacional de subsidios a combustibles fósiles y en la definición de una hoja de ruta para su eliminación progresiva, priorizando un trabajo técnico articulado con IISD, COFFIS y actores nacionales. Asimismo, se implementaron medidas regulatorias y fiscales para optimizar la gestión del FEPC, reduciendo pagos de compensación mediante ajustes graduales de precios y exclusión de grandes consumidores, mientras se impulsaron estrategias de diversificación económica y nuevas cadenas de valor en energías renovables, biocombustibles e hidrógeno de bajas emisiones. </w:t>
      </w:r>
    </w:p>
    <w:p w:rsidRPr="00C140A0" w:rsidR="00E32B89" w:rsidP="005358E1" w:rsidRDefault="00E32B89" w14:paraId="4EB4151E" w14:textId="77777777">
      <w:pPr>
        <w:spacing w:after="0" w:line="360" w:lineRule="auto"/>
        <w:jc w:val="both"/>
        <w:rPr>
          <w:rFonts w:ascii="Verdana" w:hAnsi="Verdana"/>
          <w:sz w:val="24"/>
          <w:szCs w:val="24"/>
        </w:rPr>
      </w:pPr>
    </w:p>
    <w:p w:rsidRPr="00C140A0" w:rsidR="00EB561F" w:rsidP="005358E1" w:rsidRDefault="00EB561F" w14:paraId="6D9B02F4" w14:textId="77777777">
      <w:pPr>
        <w:spacing w:after="0" w:line="360" w:lineRule="auto"/>
        <w:jc w:val="both"/>
        <w:rPr>
          <w:rFonts w:ascii="Verdana" w:hAnsi="Verdana"/>
          <w:b/>
          <w:bCs/>
          <w:sz w:val="24"/>
          <w:szCs w:val="24"/>
        </w:rPr>
      </w:pPr>
      <w:r w:rsidRPr="00C140A0">
        <w:rPr>
          <w:rFonts w:ascii="Verdana" w:hAnsi="Verdana"/>
          <w:b/>
          <w:bCs/>
          <w:sz w:val="24"/>
          <w:szCs w:val="24"/>
        </w:rPr>
        <w:t xml:space="preserve">CAN-CANREL  </w:t>
      </w:r>
    </w:p>
    <w:p w:rsidRPr="00C140A0" w:rsidR="00EB561F" w:rsidP="005358E1" w:rsidRDefault="00EB561F" w14:paraId="6ECD296C" w14:textId="77777777">
      <w:pPr>
        <w:spacing w:after="0" w:line="360" w:lineRule="auto"/>
        <w:jc w:val="both"/>
        <w:rPr>
          <w:rFonts w:ascii="Verdana" w:hAnsi="Verdana"/>
          <w:sz w:val="24"/>
          <w:szCs w:val="24"/>
        </w:rPr>
      </w:pPr>
    </w:p>
    <w:p w:rsidRPr="00C140A0" w:rsidR="00EB561F" w:rsidP="005358E1" w:rsidRDefault="00EB561F" w14:paraId="4FBB0BE5" w14:textId="77777777">
      <w:pPr>
        <w:spacing w:after="0" w:line="360" w:lineRule="auto"/>
        <w:jc w:val="both"/>
        <w:rPr>
          <w:rFonts w:ascii="Verdana" w:hAnsi="Verdana"/>
          <w:sz w:val="24"/>
          <w:szCs w:val="24"/>
        </w:rPr>
      </w:pPr>
      <w:r w:rsidRPr="00C140A0">
        <w:rPr>
          <w:rFonts w:ascii="Verdana" w:hAnsi="Verdana"/>
          <w:sz w:val="24"/>
          <w:szCs w:val="24"/>
        </w:rPr>
        <w:t>Durante el ejercicio de la Presidencia </w:t>
      </w:r>
      <w:r w:rsidRPr="00C140A0" w:rsidR="00332F9E">
        <w:rPr>
          <w:rFonts w:ascii="Verdana" w:hAnsi="Verdana"/>
          <w:sz w:val="24"/>
          <w:szCs w:val="24"/>
        </w:rPr>
        <w:t>Pro Tempore</w:t>
      </w:r>
      <w:r w:rsidRPr="00C140A0">
        <w:rPr>
          <w:rFonts w:ascii="Verdana" w:hAnsi="Verdana"/>
          <w:sz w:val="24"/>
          <w:szCs w:val="24"/>
        </w:rPr>
        <w:t xml:space="preserve"> (PPT) de Colombia en la Comunidad Andina (CAN), se alcanzaron hitos sustantivos en la agenda institucional. Se logró la concertación de once (11) artículos del Mecanismo de Solución de Diferencias que habían permanecido sin consenso, se activó un intercambio técnico con el Banco Interamericano de Desarrollo (BID) para robustecer capacidades, y se avanzó en la revisión del reglamento interno del CANREL con cinco (5) artículos </w:t>
      </w:r>
      <w:r w:rsidRPr="00C140A0">
        <w:rPr>
          <w:rFonts w:ascii="Verdana" w:hAnsi="Verdana"/>
          <w:sz w:val="24"/>
          <w:szCs w:val="24"/>
        </w:rPr>
        <w:t xml:space="preserve">acordados. Estos resultados se lograron mediante conducción política, trabajo técnico focalizado y articulación interinstitucional. </w:t>
      </w:r>
    </w:p>
    <w:p w:rsidRPr="00C140A0" w:rsidR="00EB561F" w:rsidP="005358E1" w:rsidRDefault="00EB561F" w14:paraId="55C42D2D" w14:textId="77777777">
      <w:pPr>
        <w:spacing w:after="0" w:line="360" w:lineRule="auto"/>
        <w:jc w:val="both"/>
        <w:rPr>
          <w:rFonts w:ascii="Verdana" w:hAnsi="Verdana"/>
          <w:b/>
          <w:bCs/>
          <w:sz w:val="24"/>
          <w:szCs w:val="24"/>
        </w:rPr>
      </w:pPr>
    </w:p>
    <w:p w:rsidRPr="00C140A0" w:rsidR="00EB561F" w:rsidP="005358E1" w:rsidRDefault="00EB561F" w14:paraId="62060125" w14:textId="77777777">
      <w:pPr>
        <w:spacing w:after="0" w:line="360" w:lineRule="auto"/>
        <w:jc w:val="both"/>
        <w:rPr>
          <w:rFonts w:ascii="Verdana" w:hAnsi="Verdana"/>
          <w:b/>
          <w:bCs/>
          <w:sz w:val="24"/>
          <w:szCs w:val="24"/>
        </w:rPr>
      </w:pPr>
      <w:r w:rsidRPr="00C140A0">
        <w:rPr>
          <w:rFonts w:ascii="Verdana" w:hAnsi="Verdana"/>
          <w:b/>
          <w:bCs/>
          <w:sz w:val="24"/>
          <w:szCs w:val="24"/>
        </w:rPr>
        <w:t xml:space="preserve">Mecanismo de Solución de Diferencias (MSD)   </w:t>
      </w:r>
    </w:p>
    <w:p w:rsidR="00332F9E" w:rsidP="005358E1" w:rsidRDefault="00332F9E" w14:paraId="1B66D491" w14:textId="77777777">
      <w:pPr>
        <w:spacing w:after="0" w:line="360" w:lineRule="auto"/>
        <w:jc w:val="both"/>
        <w:rPr>
          <w:rFonts w:ascii="Verdana" w:hAnsi="Verdana"/>
          <w:sz w:val="24"/>
          <w:szCs w:val="24"/>
        </w:rPr>
      </w:pPr>
    </w:p>
    <w:p w:rsidRPr="00C140A0" w:rsidR="00EB561F" w:rsidP="005358E1" w:rsidRDefault="00EB561F" w14:paraId="52F57646" w14:textId="77777777">
      <w:pPr>
        <w:spacing w:after="0" w:line="360" w:lineRule="auto"/>
        <w:jc w:val="both"/>
        <w:rPr>
          <w:rFonts w:ascii="Verdana" w:hAnsi="Verdana"/>
          <w:sz w:val="24"/>
          <w:szCs w:val="24"/>
        </w:rPr>
      </w:pPr>
      <w:r w:rsidRPr="00C140A0">
        <w:rPr>
          <w:rFonts w:ascii="Verdana" w:hAnsi="Verdana"/>
          <w:sz w:val="24"/>
          <w:szCs w:val="24"/>
        </w:rPr>
        <w:t xml:space="preserve">Estado actual: continúa la concertación del Título III. Experto Especial en el MAERCP y del Título IV. Disposiciones finales.  </w:t>
      </w:r>
    </w:p>
    <w:p w:rsidR="00332F9E" w:rsidP="005358E1" w:rsidRDefault="00332F9E" w14:paraId="2DC72CBA" w14:textId="77777777">
      <w:pPr>
        <w:spacing w:after="0" w:line="360" w:lineRule="auto"/>
        <w:jc w:val="both"/>
        <w:rPr>
          <w:rFonts w:ascii="Verdana" w:hAnsi="Verdana"/>
          <w:sz w:val="24"/>
          <w:szCs w:val="24"/>
        </w:rPr>
      </w:pPr>
    </w:p>
    <w:p w:rsidRPr="00C140A0" w:rsidR="00EB561F" w:rsidP="005358E1" w:rsidRDefault="00EB561F" w14:paraId="4D0BB87B" w14:textId="77777777">
      <w:pPr>
        <w:spacing w:after="0" w:line="360" w:lineRule="auto"/>
        <w:jc w:val="both"/>
        <w:rPr>
          <w:rFonts w:ascii="Verdana" w:hAnsi="Verdana"/>
          <w:sz w:val="24"/>
          <w:szCs w:val="24"/>
        </w:rPr>
      </w:pPr>
      <w:r w:rsidRPr="00C140A0">
        <w:rPr>
          <w:rFonts w:ascii="Verdana" w:hAnsi="Verdana"/>
          <w:sz w:val="24"/>
          <w:szCs w:val="24"/>
        </w:rPr>
        <w:t xml:space="preserve">Inicio del análisis para la incorporación de Chile al marco regulatorio para el intercambio intracomunitario de electricidad.  </w:t>
      </w:r>
    </w:p>
    <w:p w:rsidR="00332F9E" w:rsidP="005358E1" w:rsidRDefault="00332F9E" w14:paraId="55B12983" w14:textId="77777777">
      <w:pPr>
        <w:spacing w:after="0" w:line="360" w:lineRule="auto"/>
        <w:jc w:val="both"/>
        <w:rPr>
          <w:rFonts w:ascii="Verdana" w:hAnsi="Verdana"/>
          <w:sz w:val="24"/>
          <w:szCs w:val="24"/>
        </w:rPr>
      </w:pPr>
    </w:p>
    <w:p w:rsidRPr="00C140A0" w:rsidR="00EB561F" w:rsidP="005358E1" w:rsidRDefault="513C1DD1" w14:paraId="089276D6" w14:textId="77777777">
      <w:pPr>
        <w:spacing w:after="0" w:line="360" w:lineRule="auto"/>
        <w:jc w:val="both"/>
        <w:rPr>
          <w:rFonts w:ascii="Verdana" w:hAnsi="Verdana"/>
          <w:sz w:val="24"/>
          <w:szCs w:val="24"/>
        </w:rPr>
      </w:pPr>
      <w:r w:rsidRPr="11835F2D">
        <w:rPr>
          <w:rFonts w:ascii="Verdana" w:hAnsi="Verdana"/>
          <w:sz w:val="24"/>
          <w:szCs w:val="24"/>
        </w:rPr>
        <w:t>Se avanzó en la hoja de ruta jurídica y técnica para la adhesión de Chile al régimen andino de intercambio eléctrico (Decisión 816), mediante la articulación interinstitucional con entidades nacionales, la Secretaría General de la CAN, BID y autoridades chilenas. Como resultado, se logró un procedimiento acordado para la adhesión, el Vo</w:t>
      </w:r>
      <w:r w:rsidRPr="11835F2D" w:rsidR="63C7CC62">
        <w:rPr>
          <w:rFonts w:ascii="Verdana" w:hAnsi="Verdana"/>
          <w:sz w:val="24"/>
          <w:szCs w:val="24"/>
        </w:rPr>
        <w:t>.</w:t>
      </w:r>
      <w:r w:rsidRPr="11835F2D">
        <w:rPr>
          <w:rFonts w:ascii="Verdana" w:hAnsi="Verdana"/>
          <w:sz w:val="24"/>
          <w:szCs w:val="24"/>
        </w:rPr>
        <w:t>Bo</w:t>
      </w:r>
      <w:r w:rsidRPr="11835F2D" w:rsidR="3A2E75E6">
        <w:rPr>
          <w:rFonts w:ascii="Verdana" w:hAnsi="Verdana"/>
          <w:sz w:val="24"/>
          <w:szCs w:val="24"/>
        </w:rPr>
        <w:t>.</w:t>
      </w:r>
      <w:r w:rsidRPr="11835F2D">
        <w:rPr>
          <w:rFonts w:ascii="Verdana" w:hAnsi="Verdana"/>
          <w:sz w:val="24"/>
          <w:szCs w:val="24"/>
        </w:rPr>
        <w:t xml:space="preserve"> técnico a la modificación de la Decisión 666 y la conformación de un grupo de trabajo encargado de consolidar el marco normativo y operativo requerido para formalizar el ingreso de Chile al esquema andino de integración eléctrica, fortaleciendo así la integración energética regional.   </w:t>
      </w:r>
    </w:p>
    <w:p w:rsidRPr="00C140A0" w:rsidR="00EB561F" w:rsidP="005358E1" w:rsidRDefault="00EB561F" w14:paraId="75E5A6F6" w14:textId="77777777">
      <w:pPr>
        <w:spacing w:after="0" w:line="360" w:lineRule="auto"/>
        <w:jc w:val="both"/>
        <w:rPr>
          <w:rFonts w:ascii="Verdana" w:hAnsi="Verdana"/>
          <w:b/>
          <w:bCs/>
          <w:sz w:val="24"/>
          <w:szCs w:val="24"/>
        </w:rPr>
      </w:pPr>
      <w:r w:rsidRPr="00C140A0">
        <w:rPr>
          <w:rFonts w:ascii="Verdana" w:hAnsi="Verdana"/>
          <w:b/>
          <w:bCs/>
          <w:sz w:val="24"/>
          <w:szCs w:val="24"/>
        </w:rPr>
        <w:t xml:space="preserve">Consenso de Brasilia   </w:t>
      </w:r>
    </w:p>
    <w:p w:rsidR="00332F9E" w:rsidP="005358E1" w:rsidRDefault="00332F9E" w14:paraId="0643268E" w14:textId="77777777">
      <w:pPr>
        <w:spacing w:after="0" w:line="360" w:lineRule="auto"/>
        <w:jc w:val="both"/>
        <w:rPr>
          <w:rFonts w:ascii="Verdana" w:hAnsi="Verdana"/>
          <w:sz w:val="24"/>
          <w:szCs w:val="24"/>
        </w:rPr>
      </w:pPr>
    </w:p>
    <w:p w:rsidRPr="00C140A0" w:rsidR="00EB561F" w:rsidP="005358E1" w:rsidRDefault="513C1DD1" w14:paraId="592ABA60" w14:textId="77777777">
      <w:pPr>
        <w:spacing w:after="0" w:line="360" w:lineRule="auto"/>
        <w:jc w:val="both"/>
        <w:rPr>
          <w:rFonts w:ascii="Verdana" w:hAnsi="Verdana"/>
          <w:sz w:val="24"/>
          <w:szCs w:val="24"/>
        </w:rPr>
      </w:pPr>
      <w:r w:rsidRPr="11835F2D">
        <w:rPr>
          <w:rFonts w:ascii="Verdana" w:hAnsi="Verdana"/>
          <w:sz w:val="24"/>
          <w:szCs w:val="24"/>
        </w:rPr>
        <w:t xml:space="preserve">El 2 de diciembre de 2024, Colombia lideró en Bogotá la Segunda Reunión de </w:t>
      </w:r>
      <w:r w:rsidRPr="11835F2D" w:rsidR="132EDF9D">
        <w:rPr>
          <w:rFonts w:ascii="Verdana" w:hAnsi="Verdana"/>
          <w:sz w:val="24"/>
          <w:szCs w:val="24"/>
        </w:rPr>
        <w:t>viceministros</w:t>
      </w:r>
      <w:r w:rsidRPr="11835F2D">
        <w:rPr>
          <w:rFonts w:ascii="Verdana" w:hAnsi="Verdana"/>
          <w:sz w:val="24"/>
          <w:szCs w:val="24"/>
        </w:rPr>
        <w:t xml:space="preserve"> de Energía del Consenso de Brasilia, consolidando acuerdos regionales para avanzar en interconexión eléctrica, integración gasífera y planificación energética en América del Sur. Como resultado, el Ministerio de Minas y Energía y la UPME presentaron una plataforma regional desarrollada por Colombia para centralizar y analizar información eléctrica y gasífera en tiempo real, fortaleciendo las capacidades de gestión, monitoreo y planificación energética regional. </w:t>
      </w:r>
    </w:p>
    <w:p w:rsidRPr="00C140A0" w:rsidR="00BD35DB" w:rsidP="005358E1" w:rsidRDefault="00BD35DB" w14:paraId="573CD5D5" w14:textId="77777777">
      <w:pPr>
        <w:spacing w:after="0" w:line="360" w:lineRule="auto"/>
        <w:jc w:val="both"/>
        <w:rPr>
          <w:rFonts w:ascii="Verdana" w:hAnsi="Verdana"/>
          <w:b/>
          <w:bCs/>
          <w:sz w:val="24"/>
          <w:szCs w:val="24"/>
        </w:rPr>
      </w:pPr>
    </w:p>
    <w:p w:rsidRPr="00C140A0" w:rsidR="00EB561F" w:rsidP="005358E1" w:rsidRDefault="00EB561F" w14:paraId="53E427DE" w14:textId="77777777">
      <w:pPr>
        <w:spacing w:after="0" w:line="360" w:lineRule="auto"/>
        <w:jc w:val="both"/>
        <w:rPr>
          <w:rFonts w:ascii="Verdana" w:hAnsi="Verdana"/>
          <w:b/>
          <w:bCs/>
          <w:sz w:val="24"/>
          <w:szCs w:val="24"/>
        </w:rPr>
      </w:pPr>
      <w:r w:rsidRPr="00C140A0">
        <w:rPr>
          <w:rFonts w:ascii="Verdana" w:hAnsi="Verdana"/>
          <w:b/>
          <w:bCs/>
          <w:sz w:val="24"/>
          <w:szCs w:val="24"/>
        </w:rPr>
        <w:t xml:space="preserve">Sistema De Naciones Unidas  </w:t>
      </w:r>
    </w:p>
    <w:p w:rsidR="00332F9E" w:rsidP="005358E1" w:rsidRDefault="00332F9E" w14:paraId="72DA412B" w14:textId="77777777">
      <w:pPr>
        <w:spacing w:after="0" w:line="360" w:lineRule="auto"/>
        <w:jc w:val="both"/>
        <w:rPr>
          <w:rFonts w:ascii="Verdana" w:hAnsi="Verdana"/>
          <w:sz w:val="24"/>
          <w:szCs w:val="24"/>
        </w:rPr>
      </w:pPr>
    </w:p>
    <w:p w:rsidRPr="00C140A0" w:rsidR="00EB561F" w:rsidP="005358E1" w:rsidRDefault="00EB561F" w14:paraId="3A030070" w14:textId="77777777">
      <w:pPr>
        <w:spacing w:after="0" w:line="360" w:lineRule="auto"/>
        <w:jc w:val="both"/>
        <w:rPr>
          <w:rFonts w:ascii="Verdana" w:hAnsi="Verdana"/>
          <w:sz w:val="24"/>
          <w:szCs w:val="24"/>
        </w:rPr>
      </w:pPr>
      <w:r w:rsidRPr="00C140A0">
        <w:rPr>
          <w:rFonts w:ascii="Verdana" w:hAnsi="Verdana"/>
          <w:sz w:val="24"/>
          <w:szCs w:val="24"/>
        </w:rPr>
        <w:t xml:space="preserve">Durante el cuatrienio 2022–2026, el Ministerio de Minas y Energía fortaleció su cooperación con agencias de Naciones Unidas como ONUDI, OIT, UNODC, PNUMA, PNUD y OMI, impulsando proyectos de transición energética justa, energías bajas en carbono, empleo verde, control de minería ilícita, gobernanza ambiental y transporte sostenible, con impactos en reducción de emisiones, fortalecimiento institucional y acceso a energía en territorios priorizados. </w:t>
      </w:r>
    </w:p>
    <w:p w:rsidRPr="00C140A0" w:rsidR="00EB561F" w:rsidP="005358E1" w:rsidRDefault="00EB561F" w14:paraId="20349F3B" w14:textId="77777777">
      <w:pPr>
        <w:spacing w:after="0" w:line="360" w:lineRule="auto"/>
        <w:jc w:val="both"/>
        <w:rPr>
          <w:rFonts w:ascii="Verdana" w:hAnsi="Verdana"/>
          <w:sz w:val="24"/>
          <w:szCs w:val="24"/>
        </w:rPr>
      </w:pPr>
    </w:p>
    <w:p w:rsidRPr="00332F9E" w:rsidR="00EB561F" w:rsidP="005358E1" w:rsidRDefault="00EB561F" w14:paraId="1DCD6C68" w14:textId="77777777">
      <w:pPr>
        <w:spacing w:after="0" w:line="360" w:lineRule="auto"/>
        <w:jc w:val="both"/>
        <w:rPr>
          <w:rFonts w:ascii="Verdana" w:hAnsi="Verdana"/>
          <w:b/>
          <w:bCs/>
          <w:sz w:val="24"/>
          <w:szCs w:val="24"/>
        </w:rPr>
      </w:pPr>
      <w:r w:rsidRPr="00332F9E">
        <w:rPr>
          <w:rFonts w:ascii="Verdana" w:hAnsi="Verdana"/>
          <w:b/>
          <w:bCs/>
          <w:sz w:val="24"/>
          <w:szCs w:val="24"/>
        </w:rPr>
        <w:t>Movilización de recursos: Iniciativas y Proyectos de Cooperación Internacional aprobados y en ejecución</w:t>
      </w:r>
      <w:r w:rsidRPr="00332F9E" w:rsidR="00332F9E">
        <w:rPr>
          <w:rFonts w:ascii="Verdana" w:hAnsi="Verdana"/>
          <w:b/>
          <w:bCs/>
          <w:sz w:val="24"/>
          <w:szCs w:val="24"/>
        </w:rPr>
        <w:t>.</w:t>
      </w:r>
      <w:r w:rsidRPr="00332F9E">
        <w:rPr>
          <w:rFonts w:ascii="Verdana" w:hAnsi="Verdana"/>
          <w:b/>
          <w:bCs/>
          <w:sz w:val="24"/>
          <w:szCs w:val="24"/>
        </w:rPr>
        <w:t xml:space="preserve"> </w:t>
      </w:r>
    </w:p>
    <w:p w:rsidRPr="00C140A0" w:rsidR="00EB561F" w:rsidP="005358E1" w:rsidRDefault="00EB561F" w14:paraId="6CC4A0AE" w14:textId="77777777">
      <w:pPr>
        <w:spacing w:after="0" w:line="360" w:lineRule="auto"/>
        <w:jc w:val="both"/>
        <w:rPr>
          <w:rFonts w:ascii="Verdana" w:hAnsi="Verdana"/>
          <w:sz w:val="24"/>
          <w:szCs w:val="24"/>
        </w:rPr>
      </w:pPr>
    </w:p>
    <w:p w:rsidRPr="00C140A0" w:rsidR="00BD35DB" w:rsidP="005358E1" w:rsidRDefault="513C1DD1" w14:paraId="4E551751" w14:textId="77777777">
      <w:pPr>
        <w:spacing w:after="0" w:line="360" w:lineRule="auto"/>
        <w:jc w:val="both"/>
        <w:rPr>
          <w:rFonts w:ascii="Verdana" w:hAnsi="Verdana"/>
          <w:sz w:val="24"/>
          <w:szCs w:val="24"/>
        </w:rPr>
      </w:pPr>
      <w:r w:rsidRPr="11835F2D">
        <w:rPr>
          <w:rFonts w:ascii="Verdana" w:hAnsi="Verdana"/>
          <w:sz w:val="24"/>
          <w:szCs w:val="24"/>
        </w:rPr>
        <w:t xml:space="preserve">Desde el Minas y Energía se fortaleció la movilización de recursos de cooperación internacional entre los años 2022 y 2026 mediante la gestión y estructuración de iniciativas técnicas y financieras con gobiernos, agencias de cooperación, banca multilateral y organismos internacionales, orientadas a apoyar la Transición Energética Justa, la integración energética regional, la descarbonización, las comunidades energéticas, la electrificación rural y el fortalecimiento institucional del sector minero-energético. </w:t>
      </w:r>
    </w:p>
    <w:p w:rsidR="11835F2D" w:rsidP="005358E1" w:rsidRDefault="11835F2D" w14:paraId="316C4BAE" w14:textId="77777777">
      <w:pPr>
        <w:spacing w:after="0" w:line="360" w:lineRule="auto"/>
        <w:jc w:val="both"/>
        <w:rPr>
          <w:rFonts w:ascii="Verdana" w:hAnsi="Verdana"/>
          <w:sz w:val="24"/>
          <w:szCs w:val="24"/>
        </w:rPr>
      </w:pPr>
    </w:p>
    <w:p w:rsidRPr="00332F9E" w:rsidR="00EB561F" w:rsidP="00332F9E" w:rsidRDefault="2BE2DDE7" w14:paraId="22A0101B" w14:textId="77777777">
      <w:pPr>
        <w:spacing w:after="0" w:line="240" w:lineRule="auto"/>
        <w:jc w:val="center"/>
        <w:rPr>
          <w:rFonts w:ascii="Verdana" w:hAnsi="Verdana"/>
          <w:sz w:val="18"/>
          <w:szCs w:val="18"/>
        </w:rPr>
      </w:pPr>
      <w:r w:rsidRPr="180099B3">
        <w:rPr>
          <w:rFonts w:ascii="Verdana" w:hAnsi="Verdana"/>
          <w:sz w:val="18"/>
          <w:szCs w:val="18"/>
        </w:rPr>
        <w:t>Tabla</w:t>
      </w:r>
      <w:r w:rsidRPr="180099B3" w:rsidR="38A36A8F">
        <w:rPr>
          <w:rFonts w:ascii="Verdana" w:hAnsi="Verdana"/>
          <w:sz w:val="18"/>
          <w:szCs w:val="18"/>
        </w:rPr>
        <w:t xml:space="preserve"> No. 71</w:t>
      </w:r>
      <w:r w:rsidRPr="180099B3">
        <w:rPr>
          <w:rFonts w:ascii="Verdana" w:hAnsi="Verdana"/>
          <w:sz w:val="18"/>
          <w:szCs w:val="18"/>
        </w:rPr>
        <w:t>. Cuadro resumen proyectos e iniciativas de cooperación</w:t>
      </w:r>
    </w:p>
    <w:tbl>
      <w:tblPr>
        <w:tblW w:w="864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3820"/>
        <w:gridCol w:w="4820"/>
      </w:tblGrid>
      <w:tr w:rsidRPr="00332F9E" w:rsidR="00BD35DB" w:rsidTr="00920246" w14:paraId="423E6439" w14:textId="77777777">
        <w:trPr>
          <w:trHeight w:val="441"/>
        </w:trPr>
        <w:tc>
          <w:tcPr>
            <w:tcW w:w="3820" w:type="dxa"/>
            <w:tcBorders>
              <w:top w:val="single" w:color="auto" w:sz="6" w:space="0"/>
              <w:left w:val="single" w:color="auto" w:sz="6" w:space="0"/>
              <w:bottom w:val="single" w:color="auto" w:sz="6" w:space="0"/>
              <w:right w:val="single" w:color="auto" w:sz="6" w:space="0"/>
            </w:tcBorders>
            <w:shd w:val="clear" w:color="auto" w:fill="A6A6A6" w:themeFill="background1" w:themeFillShade="A6"/>
            <w:vAlign w:val="center"/>
            <w:hideMark/>
          </w:tcPr>
          <w:p w:rsidRPr="00332F9E" w:rsidR="00BD35DB" w:rsidP="00332F9E" w:rsidRDefault="00BD35DB" w14:paraId="719690A1" w14:textId="77777777">
            <w:pPr>
              <w:spacing w:after="0" w:line="240" w:lineRule="auto"/>
              <w:jc w:val="center"/>
              <w:rPr>
                <w:rFonts w:ascii="Verdana" w:hAnsi="Verdana"/>
                <w:sz w:val="18"/>
                <w:szCs w:val="18"/>
              </w:rPr>
            </w:pPr>
            <w:r w:rsidRPr="00332F9E">
              <w:rPr>
                <w:rFonts w:ascii="Verdana" w:hAnsi="Verdana"/>
                <w:b/>
                <w:bCs/>
                <w:sz w:val="18"/>
                <w:szCs w:val="18"/>
              </w:rPr>
              <w:t>CONCEPTO</w:t>
            </w:r>
          </w:p>
        </w:tc>
        <w:tc>
          <w:tcPr>
            <w:tcW w:w="4820" w:type="dxa"/>
            <w:tcBorders>
              <w:top w:val="single" w:color="auto" w:sz="6" w:space="0"/>
              <w:left w:val="single" w:color="auto" w:sz="6" w:space="0"/>
              <w:bottom w:val="single" w:color="auto" w:sz="6" w:space="0"/>
              <w:right w:val="single" w:color="auto" w:sz="6" w:space="0"/>
            </w:tcBorders>
            <w:shd w:val="clear" w:color="auto" w:fill="A6A6A6" w:themeFill="background1" w:themeFillShade="A6"/>
            <w:vAlign w:val="center"/>
            <w:hideMark/>
          </w:tcPr>
          <w:p w:rsidRPr="00332F9E" w:rsidR="00BD35DB" w:rsidP="00332F9E" w:rsidRDefault="00BD35DB" w14:paraId="383772DD" w14:textId="77777777">
            <w:pPr>
              <w:spacing w:after="0" w:line="240" w:lineRule="auto"/>
              <w:jc w:val="center"/>
              <w:rPr>
                <w:rFonts w:ascii="Verdana" w:hAnsi="Verdana"/>
                <w:sz w:val="18"/>
                <w:szCs w:val="18"/>
              </w:rPr>
            </w:pPr>
            <w:r w:rsidRPr="00332F9E">
              <w:rPr>
                <w:rFonts w:ascii="Verdana" w:hAnsi="Verdana"/>
                <w:b/>
                <w:bCs/>
                <w:sz w:val="18"/>
                <w:szCs w:val="18"/>
              </w:rPr>
              <w:t>RESULTADO</w:t>
            </w:r>
          </w:p>
        </w:tc>
      </w:tr>
      <w:tr w:rsidRPr="00332F9E" w:rsidR="00BD35DB" w:rsidTr="00920246" w14:paraId="1AC6EBFB" w14:textId="77777777">
        <w:trPr>
          <w:trHeight w:val="285"/>
        </w:trPr>
        <w:tc>
          <w:tcPr>
            <w:tcW w:w="3820" w:type="dxa"/>
            <w:tcBorders>
              <w:top w:val="single" w:color="auto" w:sz="6" w:space="0"/>
              <w:left w:val="single" w:color="auto" w:sz="6" w:space="0"/>
              <w:bottom w:val="single" w:color="auto" w:sz="6" w:space="0"/>
              <w:right w:val="single" w:color="auto" w:sz="6" w:space="0"/>
            </w:tcBorders>
            <w:vAlign w:val="center"/>
            <w:hideMark/>
          </w:tcPr>
          <w:p w:rsidRPr="00332F9E" w:rsidR="00BD35DB" w:rsidP="00332F9E" w:rsidRDefault="00BD35DB" w14:paraId="6E97B3AC" w14:textId="77777777">
            <w:pPr>
              <w:spacing w:after="0" w:line="240" w:lineRule="auto"/>
              <w:jc w:val="both"/>
              <w:rPr>
                <w:rFonts w:ascii="Verdana" w:hAnsi="Verdana"/>
                <w:sz w:val="18"/>
                <w:szCs w:val="18"/>
              </w:rPr>
            </w:pPr>
            <w:r w:rsidRPr="00332F9E">
              <w:rPr>
                <w:rFonts w:ascii="Verdana" w:hAnsi="Verdana"/>
                <w:sz w:val="18"/>
                <w:szCs w:val="18"/>
              </w:rPr>
              <w:t>Proyectos e iniciativas  </w:t>
            </w:r>
          </w:p>
        </w:tc>
        <w:tc>
          <w:tcPr>
            <w:tcW w:w="4820" w:type="dxa"/>
            <w:tcBorders>
              <w:top w:val="single" w:color="auto" w:sz="6" w:space="0"/>
              <w:left w:val="single" w:color="auto" w:sz="6" w:space="0"/>
              <w:bottom w:val="single" w:color="auto" w:sz="6" w:space="0"/>
              <w:right w:val="single" w:color="auto" w:sz="6" w:space="0"/>
            </w:tcBorders>
            <w:vAlign w:val="center"/>
            <w:hideMark/>
          </w:tcPr>
          <w:p w:rsidRPr="00332F9E" w:rsidR="00BD35DB" w:rsidP="00332F9E" w:rsidRDefault="00BD35DB" w14:paraId="4CD4CCF0" w14:textId="77777777">
            <w:pPr>
              <w:spacing w:after="0" w:line="240" w:lineRule="auto"/>
              <w:jc w:val="both"/>
              <w:rPr>
                <w:rFonts w:ascii="Verdana" w:hAnsi="Verdana"/>
                <w:sz w:val="18"/>
                <w:szCs w:val="18"/>
              </w:rPr>
            </w:pPr>
            <w:r w:rsidRPr="00332F9E">
              <w:rPr>
                <w:rFonts w:ascii="Verdana" w:hAnsi="Verdana"/>
                <w:sz w:val="18"/>
                <w:szCs w:val="18"/>
              </w:rPr>
              <w:t>Más de 70 iniciativas y proyectos de cooperación internacional </w:t>
            </w:r>
          </w:p>
        </w:tc>
      </w:tr>
      <w:tr w:rsidRPr="00332F9E" w:rsidR="00BD35DB" w:rsidTr="00920246" w14:paraId="47D5F1E6" w14:textId="77777777">
        <w:trPr>
          <w:trHeight w:val="285"/>
        </w:trPr>
        <w:tc>
          <w:tcPr>
            <w:tcW w:w="3820" w:type="dxa"/>
            <w:tcBorders>
              <w:top w:val="single" w:color="auto" w:sz="6" w:space="0"/>
              <w:left w:val="single" w:color="auto" w:sz="6" w:space="0"/>
              <w:bottom w:val="single" w:color="auto" w:sz="6" w:space="0"/>
              <w:right w:val="single" w:color="auto" w:sz="6" w:space="0"/>
            </w:tcBorders>
            <w:vAlign w:val="center"/>
            <w:hideMark/>
          </w:tcPr>
          <w:p w:rsidRPr="00332F9E" w:rsidR="00BD35DB" w:rsidP="00332F9E" w:rsidRDefault="00BD35DB" w14:paraId="5C57B906" w14:textId="77777777">
            <w:pPr>
              <w:spacing w:after="0" w:line="240" w:lineRule="auto"/>
              <w:jc w:val="both"/>
              <w:rPr>
                <w:rFonts w:ascii="Verdana" w:hAnsi="Verdana"/>
                <w:sz w:val="18"/>
                <w:szCs w:val="18"/>
              </w:rPr>
            </w:pPr>
            <w:r w:rsidRPr="00332F9E">
              <w:rPr>
                <w:rFonts w:ascii="Verdana" w:hAnsi="Verdana"/>
                <w:sz w:val="18"/>
                <w:szCs w:val="18"/>
              </w:rPr>
              <w:t>Principales cooperantes </w:t>
            </w:r>
          </w:p>
        </w:tc>
        <w:tc>
          <w:tcPr>
            <w:tcW w:w="4820" w:type="dxa"/>
            <w:tcBorders>
              <w:top w:val="single" w:color="auto" w:sz="6" w:space="0"/>
              <w:left w:val="single" w:color="auto" w:sz="6" w:space="0"/>
              <w:bottom w:val="single" w:color="auto" w:sz="6" w:space="0"/>
              <w:right w:val="single" w:color="auto" w:sz="6" w:space="0"/>
            </w:tcBorders>
            <w:vAlign w:val="center"/>
            <w:hideMark/>
          </w:tcPr>
          <w:p w:rsidRPr="00332F9E" w:rsidR="00BD35DB" w:rsidP="00332F9E" w:rsidRDefault="00BD35DB" w14:paraId="2C6207E7" w14:textId="77777777">
            <w:pPr>
              <w:spacing w:after="0" w:line="240" w:lineRule="auto"/>
              <w:jc w:val="both"/>
              <w:rPr>
                <w:rFonts w:ascii="Verdana" w:hAnsi="Verdana"/>
                <w:sz w:val="18"/>
                <w:szCs w:val="18"/>
              </w:rPr>
            </w:pPr>
            <w:r w:rsidRPr="00332F9E">
              <w:rPr>
                <w:rFonts w:ascii="Verdana" w:hAnsi="Verdana"/>
                <w:sz w:val="18"/>
                <w:szCs w:val="18"/>
              </w:rPr>
              <w:t>Alemania (GIZ, KfW, IKI), BID, Banco Mundial, Unión Europea, Corea, Dinamarca, Suiza, Noruega, Países Bajos, Francia, Reino Unido, GGGI, CAF, BCIE, Japón y China. </w:t>
            </w:r>
          </w:p>
        </w:tc>
      </w:tr>
      <w:tr w:rsidRPr="00332F9E" w:rsidR="00BD35DB" w:rsidTr="00920246" w14:paraId="67565BC4" w14:textId="77777777">
        <w:trPr>
          <w:trHeight w:val="918"/>
        </w:trPr>
        <w:tc>
          <w:tcPr>
            <w:tcW w:w="3820" w:type="dxa"/>
            <w:tcBorders>
              <w:top w:val="single" w:color="auto" w:sz="6" w:space="0"/>
              <w:left w:val="single" w:color="auto" w:sz="6" w:space="0"/>
              <w:bottom w:val="single" w:color="auto" w:sz="6" w:space="0"/>
              <w:right w:val="single" w:color="auto" w:sz="6" w:space="0"/>
            </w:tcBorders>
            <w:vAlign w:val="center"/>
            <w:hideMark/>
          </w:tcPr>
          <w:p w:rsidRPr="00332F9E" w:rsidR="00BD35DB" w:rsidP="00332F9E" w:rsidRDefault="00BD35DB" w14:paraId="75ADDB3E" w14:textId="77777777">
            <w:pPr>
              <w:spacing w:after="0" w:line="240" w:lineRule="auto"/>
              <w:jc w:val="both"/>
              <w:rPr>
                <w:rFonts w:ascii="Verdana" w:hAnsi="Verdana"/>
                <w:sz w:val="18"/>
                <w:szCs w:val="18"/>
              </w:rPr>
            </w:pPr>
            <w:r w:rsidRPr="00332F9E">
              <w:rPr>
                <w:rFonts w:ascii="Verdana" w:hAnsi="Verdana"/>
                <w:sz w:val="18"/>
                <w:szCs w:val="18"/>
              </w:rPr>
              <w:t>Temáticas priorizadas </w:t>
            </w:r>
          </w:p>
        </w:tc>
        <w:tc>
          <w:tcPr>
            <w:tcW w:w="4820" w:type="dxa"/>
            <w:tcBorders>
              <w:top w:val="single" w:color="auto" w:sz="6" w:space="0"/>
              <w:left w:val="single" w:color="auto" w:sz="6" w:space="0"/>
              <w:bottom w:val="single" w:color="auto" w:sz="6" w:space="0"/>
              <w:right w:val="single" w:color="auto" w:sz="6" w:space="0"/>
            </w:tcBorders>
            <w:vAlign w:val="center"/>
            <w:hideMark/>
          </w:tcPr>
          <w:p w:rsidRPr="00332F9E" w:rsidR="00BD35DB" w:rsidP="00332F9E" w:rsidRDefault="00BD35DB" w14:paraId="29C0DFCC" w14:textId="77777777">
            <w:pPr>
              <w:spacing w:after="0" w:line="240" w:lineRule="auto"/>
              <w:jc w:val="both"/>
              <w:rPr>
                <w:rFonts w:ascii="Verdana" w:hAnsi="Verdana"/>
                <w:sz w:val="18"/>
                <w:szCs w:val="18"/>
              </w:rPr>
            </w:pPr>
            <w:r w:rsidRPr="00332F9E">
              <w:rPr>
                <w:rFonts w:ascii="Verdana" w:hAnsi="Verdana"/>
                <w:sz w:val="18"/>
                <w:szCs w:val="18"/>
              </w:rPr>
              <w:t>Transición energética justa, hidrógeno, eólica costa afuera, movilidad eléctrica, comunidades energéticas, electrificación rural, geotermia, CCUS e integración energética regional. </w:t>
            </w:r>
          </w:p>
        </w:tc>
      </w:tr>
    </w:tbl>
    <w:p w:rsidRPr="00332F9E" w:rsidR="00EB561F" w:rsidP="00332F9E" w:rsidRDefault="00EB561F" w14:paraId="770B530E" w14:textId="77777777">
      <w:pPr>
        <w:spacing w:after="0" w:line="240" w:lineRule="auto"/>
        <w:jc w:val="center"/>
        <w:rPr>
          <w:rFonts w:ascii="Verdana" w:hAnsi="Verdana"/>
          <w:sz w:val="18"/>
          <w:szCs w:val="18"/>
        </w:rPr>
      </w:pPr>
      <w:r w:rsidRPr="00332F9E">
        <w:rPr>
          <w:rFonts w:ascii="Verdana" w:hAnsi="Verdana"/>
          <w:sz w:val="18"/>
          <w:szCs w:val="18"/>
        </w:rPr>
        <w:t>Fuente: Grupo de Gestión Internacional</w:t>
      </w:r>
    </w:p>
    <w:p w:rsidRPr="00C140A0" w:rsidR="00EB561F" w:rsidP="005358E1" w:rsidRDefault="00EB561F" w14:paraId="087E2CA9" w14:textId="77777777">
      <w:pPr>
        <w:spacing w:after="0" w:line="360" w:lineRule="auto"/>
        <w:jc w:val="both"/>
        <w:rPr>
          <w:rFonts w:ascii="Verdana" w:hAnsi="Verdana"/>
          <w:sz w:val="24"/>
          <w:szCs w:val="24"/>
        </w:rPr>
      </w:pPr>
    </w:p>
    <w:p w:rsidRPr="00C140A0" w:rsidR="00EB561F" w:rsidP="005358E1" w:rsidRDefault="00EB561F" w14:paraId="6B840A83" w14:textId="77777777">
      <w:pPr>
        <w:spacing w:after="0" w:line="360" w:lineRule="auto"/>
        <w:jc w:val="both"/>
        <w:rPr>
          <w:rFonts w:ascii="Verdana" w:hAnsi="Verdana"/>
          <w:sz w:val="24"/>
          <w:szCs w:val="24"/>
        </w:rPr>
      </w:pPr>
      <w:r w:rsidRPr="00C140A0">
        <w:rPr>
          <w:rFonts w:ascii="Verdana" w:hAnsi="Verdana"/>
          <w:sz w:val="24"/>
          <w:szCs w:val="24"/>
        </w:rPr>
        <w:t xml:space="preserve">Se gestionaron recursos estratégicos para proyectos de comunidades energéticas, integración regional, movilidad eléctrica, hidrógeno, eólica costa afuera, electrificación rural y reconversión productiva. </w:t>
      </w:r>
    </w:p>
    <w:p w:rsidR="00920246" w:rsidP="005358E1" w:rsidRDefault="00920246" w14:paraId="4394297E" w14:textId="77777777">
      <w:pPr>
        <w:spacing w:after="0" w:line="360" w:lineRule="auto"/>
        <w:jc w:val="both"/>
        <w:rPr>
          <w:rFonts w:ascii="Verdana" w:hAnsi="Verdana"/>
          <w:sz w:val="24"/>
          <w:szCs w:val="24"/>
        </w:rPr>
      </w:pPr>
    </w:p>
    <w:p w:rsidRPr="00C140A0" w:rsidR="00EB561F" w:rsidP="005358E1" w:rsidRDefault="00EB561F" w14:paraId="2608A1D0" w14:textId="77777777">
      <w:pPr>
        <w:spacing w:after="0" w:line="360" w:lineRule="auto"/>
        <w:jc w:val="both"/>
        <w:rPr>
          <w:rFonts w:ascii="Verdana" w:hAnsi="Verdana"/>
          <w:sz w:val="24"/>
          <w:szCs w:val="24"/>
        </w:rPr>
      </w:pPr>
      <w:r w:rsidRPr="00C140A0">
        <w:rPr>
          <w:rFonts w:ascii="Verdana" w:hAnsi="Verdana"/>
          <w:sz w:val="24"/>
          <w:szCs w:val="24"/>
        </w:rPr>
        <w:t xml:space="preserve">Se estructuraron iniciativas de alto impacto con el BID, Banco Mundial y KfW para financiamiento climático, infraestructura sostenible y fortalecimiento institucional. </w:t>
      </w:r>
    </w:p>
    <w:p w:rsidR="00920246" w:rsidP="005358E1" w:rsidRDefault="00920246" w14:paraId="343476A4" w14:textId="77777777">
      <w:pPr>
        <w:spacing w:after="0" w:line="360" w:lineRule="auto"/>
        <w:jc w:val="both"/>
        <w:rPr>
          <w:rFonts w:ascii="Verdana" w:hAnsi="Verdana"/>
          <w:sz w:val="24"/>
          <w:szCs w:val="24"/>
        </w:rPr>
      </w:pPr>
    </w:p>
    <w:p w:rsidRPr="00C140A0" w:rsidR="00EB561F" w:rsidP="005358E1" w:rsidRDefault="00EB561F" w14:paraId="5BB82F65" w14:textId="77777777">
      <w:pPr>
        <w:spacing w:after="0" w:line="360" w:lineRule="auto"/>
        <w:jc w:val="both"/>
        <w:rPr>
          <w:rFonts w:ascii="Verdana" w:hAnsi="Verdana"/>
          <w:sz w:val="24"/>
          <w:szCs w:val="24"/>
        </w:rPr>
      </w:pPr>
      <w:r w:rsidRPr="00C140A0">
        <w:rPr>
          <w:rFonts w:ascii="Verdana" w:hAnsi="Verdana"/>
          <w:sz w:val="24"/>
          <w:szCs w:val="24"/>
        </w:rPr>
        <w:t xml:space="preserve">La cooperación internacional permitió fortalecer capacidades técnicas, regulatorias e institucionales del sector minero-energético y consolidar el posicionamiento internacional de Colombia. </w:t>
      </w:r>
    </w:p>
    <w:p w:rsidRPr="00C140A0" w:rsidR="00FE6C55" w:rsidP="005358E1" w:rsidRDefault="00FE6C55" w14:paraId="43FF09E9" w14:textId="77777777">
      <w:pPr>
        <w:spacing w:after="0" w:line="360" w:lineRule="auto"/>
        <w:jc w:val="both"/>
        <w:rPr>
          <w:rFonts w:ascii="Verdana" w:hAnsi="Verdana"/>
          <w:sz w:val="24"/>
          <w:szCs w:val="24"/>
        </w:rPr>
      </w:pPr>
    </w:p>
    <w:p w:rsidRPr="00C140A0" w:rsidR="00636989" w:rsidP="005358E1" w:rsidRDefault="513C1DD1" w14:paraId="2A2C0FC7" w14:textId="77777777">
      <w:pPr>
        <w:spacing w:after="0" w:line="360" w:lineRule="auto"/>
        <w:jc w:val="both"/>
        <w:rPr>
          <w:rFonts w:ascii="Verdana" w:hAnsi="Verdana"/>
          <w:sz w:val="24"/>
          <w:szCs w:val="24"/>
        </w:rPr>
      </w:pPr>
      <w:r w:rsidRPr="11835F2D">
        <w:rPr>
          <w:rFonts w:ascii="Verdana" w:hAnsi="Verdana"/>
          <w:sz w:val="24"/>
          <w:szCs w:val="24"/>
        </w:rPr>
        <w:t>E</w:t>
      </w:r>
      <w:r w:rsidRPr="11835F2D" w:rsidR="22854263">
        <w:rPr>
          <w:rFonts w:ascii="Verdana" w:hAnsi="Verdana"/>
          <w:sz w:val="24"/>
          <w:szCs w:val="24"/>
        </w:rPr>
        <w:t xml:space="preserve">stas acciones </w:t>
      </w:r>
      <w:r w:rsidRPr="11835F2D">
        <w:rPr>
          <w:rFonts w:ascii="Verdana" w:hAnsi="Verdana"/>
          <w:sz w:val="24"/>
          <w:szCs w:val="24"/>
        </w:rPr>
        <w:t>de Cooperación y Gestión Internacional, del Ministerio de Minas y Energía, demuestra cómo la política pública se traduce en equidad social. No solo hemos acelerado la transición hacia una matriz energética limpia, sino que hemos descentralizado el impacto, llevando desarrollo real a los territorios más vulnerables. Al canalizar la cooperación técnica y financiera internacional hacia un marco regulatorio moderno y robusto, no estamos entregando una gestión de gobierno, estamos consolidando una política de Estado que asegura el futuro energético del país.</w:t>
      </w:r>
    </w:p>
    <w:p w:rsidR="11835F2D" w:rsidP="005358E1" w:rsidRDefault="11835F2D" w14:paraId="776620DA" w14:textId="77777777">
      <w:pPr>
        <w:spacing w:after="0" w:line="360" w:lineRule="auto"/>
        <w:jc w:val="both"/>
        <w:rPr>
          <w:rFonts w:ascii="Verdana" w:hAnsi="Verdana"/>
          <w:sz w:val="24"/>
          <w:szCs w:val="24"/>
        </w:rPr>
      </w:pPr>
    </w:p>
    <w:p w:rsidRPr="00017216" w:rsidR="00A82055" w:rsidRDefault="7B565575" w14:paraId="24074A0D" w14:textId="77777777">
      <w:pPr>
        <w:pStyle w:val="Prrafodelista"/>
        <w:numPr>
          <w:ilvl w:val="0"/>
          <w:numId w:val="42"/>
        </w:numPr>
        <w:spacing w:after="0" w:line="360" w:lineRule="auto"/>
        <w:outlineLvl w:val="0"/>
        <w:rPr>
          <w:rFonts w:ascii="Verdana" w:hAnsi="Verdana"/>
          <w:b/>
          <w:bCs/>
          <w:sz w:val="24"/>
          <w:szCs w:val="24"/>
        </w:rPr>
      </w:pPr>
      <w:bookmarkStart w:name="_Toc233996750" w:id="33"/>
      <w:r w:rsidRPr="0FF05B1B">
        <w:rPr>
          <w:rFonts w:ascii="Verdana" w:hAnsi="Verdana"/>
          <w:b/>
          <w:bCs/>
          <w:sz w:val="24"/>
          <w:szCs w:val="24"/>
        </w:rPr>
        <w:t>Nuestras tecnologías de la información y la comunicación</w:t>
      </w:r>
      <w:bookmarkEnd w:id="33"/>
    </w:p>
    <w:p w:rsidR="0FF05B1B" w:rsidP="005358E1" w:rsidRDefault="0FF05B1B" w14:paraId="72157C4B" w14:textId="2F2FBC02">
      <w:pPr>
        <w:spacing w:after="0" w:line="360" w:lineRule="auto"/>
        <w:rPr>
          <w:rFonts w:ascii="Verdana" w:hAnsi="Verdana"/>
          <w:b/>
          <w:bCs/>
          <w:sz w:val="24"/>
          <w:szCs w:val="24"/>
        </w:rPr>
      </w:pPr>
    </w:p>
    <w:p w:rsidRPr="002905E0" w:rsidR="0FF05B1B" w:rsidP="005358E1" w:rsidRDefault="002905E0" w14:paraId="25CFC080" w14:textId="038DB6BC">
      <w:pPr>
        <w:spacing w:after="0" w:line="360" w:lineRule="auto"/>
        <w:jc w:val="both"/>
        <w:rPr>
          <w:rFonts w:ascii="Verdana" w:hAnsi="Verdana"/>
          <w:sz w:val="24"/>
          <w:szCs w:val="24"/>
        </w:rPr>
      </w:pPr>
      <w:r w:rsidRPr="002905E0">
        <w:rPr>
          <w:rFonts w:ascii="Verdana" w:hAnsi="Verdana"/>
          <w:sz w:val="24"/>
          <w:szCs w:val="24"/>
        </w:rPr>
        <w:t xml:space="preserve">La gestión de las Tecnologías de la Información y las Comunicaciones (TIC) constituye un componente fundamental y estratégico para el cumplimiento de las metas institucionales, en tanto habilita la eficiente </w:t>
      </w:r>
      <w:r w:rsidRPr="002905E0">
        <w:rPr>
          <w:rFonts w:ascii="Verdana" w:hAnsi="Verdana"/>
          <w:sz w:val="24"/>
          <w:szCs w:val="24"/>
        </w:rPr>
        <w:t>prestación de los servicios y el fortalecimiento de la toma de decisiones basada en datos. En este sentido, la Entidad orienta su accionar a la implementación de los lineamientos definidos en las políticas de Gobierno Digital y Seguridad Digital, frente a las cuales se mantiene un alto compromiso institucional para su fortalecimiento y consolidación.</w:t>
      </w:r>
    </w:p>
    <w:p w:rsidR="0FF05B1B" w:rsidP="005358E1" w:rsidRDefault="0FF05B1B" w14:paraId="088561FE" w14:textId="313A2449">
      <w:pPr>
        <w:spacing w:after="0" w:line="360" w:lineRule="auto"/>
        <w:rPr>
          <w:rFonts w:ascii="Verdana" w:hAnsi="Verdana"/>
          <w:b/>
          <w:bCs/>
          <w:sz w:val="24"/>
          <w:szCs w:val="24"/>
        </w:rPr>
      </w:pPr>
    </w:p>
    <w:p w:rsidRPr="00017216" w:rsidR="003C4398" w:rsidRDefault="3159F30A" w14:paraId="46B09C21" w14:textId="77777777">
      <w:pPr>
        <w:pStyle w:val="Prrafodelista"/>
        <w:numPr>
          <w:ilvl w:val="1"/>
          <w:numId w:val="42"/>
        </w:numPr>
        <w:spacing w:after="0" w:line="360" w:lineRule="auto"/>
        <w:outlineLvl w:val="1"/>
        <w:rPr>
          <w:rFonts w:ascii="Verdana" w:hAnsi="Verdana"/>
          <w:b/>
          <w:bCs/>
          <w:sz w:val="24"/>
          <w:szCs w:val="24"/>
        </w:rPr>
      </w:pPr>
      <w:bookmarkStart w:name="_Toc233996751" w:id="34"/>
      <w:r w:rsidRPr="0FF05B1B">
        <w:rPr>
          <w:rFonts w:ascii="Verdana" w:hAnsi="Verdana"/>
          <w:b/>
          <w:bCs/>
          <w:sz w:val="24"/>
          <w:szCs w:val="24"/>
        </w:rPr>
        <w:t>Tecnologías al servicio de los grupos de valor</w:t>
      </w:r>
      <w:bookmarkEnd w:id="34"/>
    </w:p>
    <w:p w:rsidR="00920246" w:rsidP="005358E1" w:rsidRDefault="00920246" w14:paraId="00627BCD" w14:textId="77777777">
      <w:pPr>
        <w:spacing w:after="0" w:line="360" w:lineRule="auto"/>
        <w:rPr>
          <w:rFonts w:ascii="Verdana" w:hAnsi="Verdana"/>
          <w:b/>
          <w:bCs/>
          <w:sz w:val="24"/>
          <w:szCs w:val="24"/>
        </w:rPr>
      </w:pPr>
    </w:p>
    <w:p w:rsidRPr="002905E0" w:rsidR="002905E0" w:rsidP="005358E1" w:rsidRDefault="002905E0" w14:paraId="750C5DCD" w14:textId="77777777">
      <w:pPr>
        <w:spacing w:after="0" w:line="360" w:lineRule="auto"/>
        <w:jc w:val="both"/>
        <w:rPr>
          <w:rFonts w:ascii="Verdana" w:hAnsi="Verdana"/>
          <w:sz w:val="24"/>
          <w:szCs w:val="24"/>
        </w:rPr>
      </w:pPr>
      <w:r w:rsidRPr="002905E0">
        <w:rPr>
          <w:rFonts w:ascii="Verdana" w:hAnsi="Verdana"/>
          <w:sz w:val="24"/>
          <w:szCs w:val="24"/>
        </w:rPr>
        <w:t xml:space="preserve">En el marco de la estrategia institucional de transformación digital y fortalecimiento de las capacidades tecnológicas del Ministerio de Minas y Energía, el Grupo de Tecnologías de la Información y las Comunicaciones (GTICS) lidera la ejecución de dos proyectos de inversión orientados a fortalecer la gestión institucional y el uso estratégico de las tecnologías de la información.  </w:t>
      </w:r>
    </w:p>
    <w:p w:rsidRPr="002905E0" w:rsidR="002905E0" w:rsidP="005358E1" w:rsidRDefault="002905E0" w14:paraId="7677766F" w14:textId="77777777">
      <w:pPr>
        <w:spacing w:after="0" w:line="360" w:lineRule="auto"/>
        <w:jc w:val="both"/>
        <w:rPr>
          <w:rFonts w:ascii="Verdana" w:hAnsi="Verdana"/>
          <w:sz w:val="24"/>
          <w:szCs w:val="24"/>
        </w:rPr>
      </w:pPr>
    </w:p>
    <w:p w:rsidRPr="002905E0" w:rsidR="002905E0" w:rsidP="005358E1" w:rsidRDefault="002905E0" w14:paraId="60076EFE" w14:textId="3057E52C">
      <w:pPr>
        <w:spacing w:after="0" w:line="360" w:lineRule="auto"/>
        <w:jc w:val="both"/>
        <w:rPr>
          <w:rFonts w:ascii="Verdana" w:hAnsi="Verdana"/>
          <w:sz w:val="24"/>
          <w:szCs w:val="24"/>
        </w:rPr>
      </w:pPr>
      <w:r w:rsidRPr="002905E0">
        <w:rPr>
          <w:rFonts w:ascii="Verdana" w:hAnsi="Verdana"/>
          <w:sz w:val="24"/>
          <w:szCs w:val="24"/>
        </w:rPr>
        <w:t xml:space="preserve">El primero corresponde al Proyecto de Inversión de Fortalecimiento Institucional  de la Secretaría General, orientado al desarrollo de capacidades para la gestión del conocimiento y la innovación en la Entidad </w:t>
      </w:r>
      <w:r w:rsidR="00122EB1">
        <w:rPr>
          <w:rFonts w:ascii="Verdana" w:hAnsi="Verdana"/>
          <w:sz w:val="24"/>
          <w:szCs w:val="24"/>
        </w:rPr>
        <w:t>d</w:t>
      </w:r>
      <w:r w:rsidRPr="002905E0">
        <w:rPr>
          <w:rFonts w:ascii="Verdana" w:hAnsi="Verdana"/>
          <w:sz w:val="24"/>
          <w:szCs w:val="24"/>
        </w:rPr>
        <w:t xml:space="preserve">el cual dependen los recursos para la Renovación de servicios de Nube Azure dedicada a la Infraestructura de Datos Sectoriales, de igual forma los recursos para la consolidación del  equipo de Gestión y Gobierno de Datos, los recursos para la contratar los servicios de sistemas de información tercerizados como Neón y Avánzame, y los recursos para el desarrollo de aplicaciones misionales. </w:t>
      </w:r>
    </w:p>
    <w:p w:rsidRPr="002905E0" w:rsidR="002905E0" w:rsidP="005358E1" w:rsidRDefault="002905E0" w14:paraId="1839EB0E" w14:textId="77777777">
      <w:pPr>
        <w:spacing w:after="0" w:line="360" w:lineRule="auto"/>
        <w:jc w:val="both"/>
        <w:rPr>
          <w:rFonts w:ascii="Verdana" w:hAnsi="Verdana"/>
          <w:sz w:val="24"/>
          <w:szCs w:val="24"/>
        </w:rPr>
      </w:pPr>
    </w:p>
    <w:p w:rsidRPr="002905E0" w:rsidR="002905E0" w:rsidP="005358E1" w:rsidRDefault="002905E0" w14:paraId="00FB3754" w14:textId="66D36B91">
      <w:pPr>
        <w:spacing w:after="0" w:line="360" w:lineRule="auto"/>
        <w:jc w:val="both"/>
        <w:rPr>
          <w:rFonts w:ascii="Verdana" w:hAnsi="Verdana"/>
          <w:sz w:val="24"/>
          <w:szCs w:val="24"/>
        </w:rPr>
      </w:pPr>
      <w:r w:rsidRPr="002905E0">
        <w:rPr>
          <w:rFonts w:ascii="Verdana" w:hAnsi="Verdana"/>
          <w:sz w:val="24"/>
          <w:szCs w:val="24"/>
        </w:rPr>
        <w:t xml:space="preserve">El segundo al Proyecto de Inversión tiene por objetivo el fortalecimiento de la capacidad del Ministerio de Minas y Energía para implementar de manera efectiva la Política de Gobierno Digital, mediante la implementación de los habilitadores de Arquitectura, Seguridad, Uso y </w:t>
      </w:r>
      <w:r w:rsidRPr="002905E0">
        <w:rPr>
          <w:rFonts w:ascii="Verdana" w:hAnsi="Verdana"/>
          <w:sz w:val="24"/>
          <w:szCs w:val="24"/>
        </w:rPr>
        <w:t xml:space="preserve">Apropiación de TI y Servicios Ciudadanos Digitales, que apoyan la gestión misional y estratégica del Ministerio.  </w:t>
      </w:r>
    </w:p>
    <w:p w:rsidRPr="002905E0" w:rsidR="002905E0" w:rsidP="005358E1" w:rsidRDefault="002905E0" w14:paraId="408650AE" w14:textId="77777777">
      <w:pPr>
        <w:spacing w:after="0" w:line="360" w:lineRule="auto"/>
        <w:jc w:val="both"/>
        <w:rPr>
          <w:rFonts w:ascii="Verdana" w:hAnsi="Verdana"/>
          <w:sz w:val="24"/>
          <w:szCs w:val="24"/>
        </w:rPr>
      </w:pPr>
    </w:p>
    <w:p w:rsidR="002905E0" w:rsidP="005358E1" w:rsidRDefault="002905E0" w14:paraId="65BBE032" w14:textId="37654E3B">
      <w:pPr>
        <w:spacing w:after="0" w:line="360" w:lineRule="auto"/>
        <w:jc w:val="both"/>
        <w:rPr>
          <w:rFonts w:ascii="Verdana" w:hAnsi="Verdana"/>
          <w:sz w:val="24"/>
          <w:szCs w:val="24"/>
        </w:rPr>
      </w:pPr>
      <w:r w:rsidRPr="002905E0">
        <w:rPr>
          <w:rFonts w:ascii="Verdana" w:hAnsi="Verdana"/>
          <w:sz w:val="24"/>
          <w:szCs w:val="24"/>
        </w:rPr>
        <w:t>A continuación, se presentan los avances del cuatrienio en materia de Gestión de Tecnologías de la Información y las Comunicacione</w:t>
      </w:r>
      <w:r>
        <w:rPr>
          <w:rFonts w:ascii="Verdana" w:hAnsi="Verdana"/>
          <w:sz w:val="24"/>
          <w:szCs w:val="24"/>
        </w:rPr>
        <w:t>s.</w:t>
      </w:r>
    </w:p>
    <w:p w:rsidR="002905E0" w:rsidP="005358E1" w:rsidRDefault="002905E0" w14:paraId="21A4850A" w14:textId="77777777">
      <w:pPr>
        <w:spacing w:after="0" w:line="360" w:lineRule="auto"/>
        <w:jc w:val="both"/>
        <w:rPr>
          <w:rFonts w:ascii="Verdana" w:hAnsi="Verdana"/>
          <w:sz w:val="24"/>
          <w:szCs w:val="24"/>
        </w:rPr>
      </w:pPr>
    </w:p>
    <w:p w:rsidRPr="002905E0" w:rsidR="002905E0" w:rsidRDefault="002905E0" w14:paraId="76DF7C97" w14:textId="0A4C3334">
      <w:pPr>
        <w:pStyle w:val="Prrafodelista"/>
        <w:numPr>
          <w:ilvl w:val="2"/>
          <w:numId w:val="42"/>
        </w:numPr>
        <w:spacing w:after="0" w:line="360" w:lineRule="auto"/>
        <w:jc w:val="both"/>
        <w:rPr>
          <w:rFonts w:ascii="Verdana" w:hAnsi="Verdana"/>
          <w:b/>
          <w:bCs/>
          <w:sz w:val="24"/>
          <w:szCs w:val="24"/>
        </w:rPr>
      </w:pPr>
      <w:r w:rsidRPr="002905E0">
        <w:rPr>
          <w:rFonts w:ascii="Verdana" w:hAnsi="Verdana"/>
          <w:b/>
          <w:bCs/>
          <w:sz w:val="24"/>
          <w:szCs w:val="24"/>
        </w:rPr>
        <w:t xml:space="preserve">Período 2022 </w:t>
      </w:r>
    </w:p>
    <w:p w:rsidRPr="002905E0" w:rsidR="002905E0" w:rsidP="005358E1" w:rsidRDefault="002905E0" w14:paraId="76BBB73F" w14:textId="77777777">
      <w:pPr>
        <w:spacing w:after="0" w:line="360" w:lineRule="auto"/>
        <w:jc w:val="both"/>
        <w:rPr>
          <w:rFonts w:ascii="Verdana" w:hAnsi="Verdana"/>
          <w:sz w:val="24"/>
          <w:szCs w:val="24"/>
        </w:rPr>
      </w:pPr>
    </w:p>
    <w:p w:rsidRPr="002905E0" w:rsidR="002905E0" w:rsidP="005358E1" w:rsidRDefault="002905E0" w14:paraId="1A71D89C" w14:textId="77777777">
      <w:pPr>
        <w:spacing w:after="0" w:line="360" w:lineRule="auto"/>
        <w:jc w:val="both"/>
        <w:rPr>
          <w:rFonts w:ascii="Verdana" w:hAnsi="Verdana"/>
          <w:b/>
          <w:bCs/>
          <w:sz w:val="24"/>
          <w:szCs w:val="24"/>
        </w:rPr>
      </w:pPr>
      <w:r w:rsidRPr="002905E0">
        <w:rPr>
          <w:rFonts w:ascii="Verdana" w:hAnsi="Verdana"/>
          <w:b/>
          <w:bCs/>
          <w:sz w:val="24"/>
          <w:szCs w:val="24"/>
        </w:rPr>
        <w:t xml:space="preserve">Marco de Referencia de Arquitectura Empresarial  </w:t>
      </w:r>
    </w:p>
    <w:p w:rsidRPr="002905E0" w:rsidR="002905E0" w:rsidP="005358E1" w:rsidRDefault="002905E0" w14:paraId="1C8FA1BB" w14:textId="77777777">
      <w:pPr>
        <w:spacing w:after="0" w:line="360" w:lineRule="auto"/>
        <w:jc w:val="both"/>
        <w:rPr>
          <w:rFonts w:ascii="Verdana" w:hAnsi="Verdana"/>
          <w:sz w:val="24"/>
          <w:szCs w:val="24"/>
        </w:rPr>
      </w:pPr>
    </w:p>
    <w:p w:rsidRPr="002905E0" w:rsidR="002905E0" w:rsidP="005358E1" w:rsidRDefault="002905E0" w14:paraId="4D3C3A3B" w14:textId="77777777">
      <w:pPr>
        <w:spacing w:after="0" w:line="360" w:lineRule="auto"/>
        <w:jc w:val="both"/>
        <w:rPr>
          <w:rFonts w:ascii="Verdana" w:hAnsi="Verdana"/>
          <w:sz w:val="24"/>
          <w:szCs w:val="24"/>
        </w:rPr>
      </w:pPr>
      <w:r w:rsidRPr="002905E0">
        <w:rPr>
          <w:rFonts w:ascii="Verdana" w:hAnsi="Verdana"/>
          <w:sz w:val="24"/>
          <w:szCs w:val="24"/>
        </w:rPr>
        <w:t xml:space="preserve">Las acciones desarrolladas en este componente permitieron la maximización de la capacidad de la infraestructura de TI y una administración eficiente de los recursos de red. Para dar soporte a esta infraestructura, se fortalecieron los servicios tecnológicos mediante una Mesa de Ayuda especializada encargada del mantenimiento preventivo y correctivo, y de la atención de incidentes. Asimismo, como soporte a la digitalización, se implementó el modelo de gestión documental a través del Sistema de Gestión de Documentos Electrónicos de Archivo (SGDEA)-ARGO, integrando componentes de orquestación de procesos para articular la creación de expedientes electrónicos. </w:t>
      </w:r>
    </w:p>
    <w:p w:rsidRPr="002905E0" w:rsidR="002905E0" w:rsidP="005358E1" w:rsidRDefault="002905E0" w14:paraId="1A92C539" w14:textId="77777777">
      <w:pPr>
        <w:spacing w:after="0" w:line="360" w:lineRule="auto"/>
        <w:jc w:val="both"/>
        <w:rPr>
          <w:rFonts w:ascii="Verdana" w:hAnsi="Verdana"/>
          <w:sz w:val="24"/>
          <w:szCs w:val="24"/>
        </w:rPr>
      </w:pPr>
    </w:p>
    <w:p w:rsidRPr="002905E0" w:rsidR="002905E0" w:rsidP="005358E1" w:rsidRDefault="002905E0" w14:paraId="0BA4E2BE" w14:textId="77777777">
      <w:pPr>
        <w:spacing w:after="0" w:line="360" w:lineRule="auto"/>
        <w:jc w:val="both"/>
        <w:rPr>
          <w:rFonts w:ascii="Verdana" w:hAnsi="Verdana"/>
          <w:b/>
          <w:bCs/>
          <w:sz w:val="24"/>
          <w:szCs w:val="24"/>
        </w:rPr>
      </w:pPr>
      <w:r w:rsidRPr="002905E0">
        <w:rPr>
          <w:rFonts w:ascii="Verdana" w:hAnsi="Verdana"/>
          <w:b/>
          <w:bCs/>
          <w:sz w:val="24"/>
          <w:szCs w:val="24"/>
        </w:rPr>
        <w:t xml:space="preserve">Seguridad de la Información </w:t>
      </w:r>
    </w:p>
    <w:p w:rsidRPr="002905E0" w:rsidR="002905E0" w:rsidP="005358E1" w:rsidRDefault="002905E0" w14:paraId="4F9B4DFE" w14:textId="77777777">
      <w:pPr>
        <w:spacing w:after="0" w:line="360" w:lineRule="auto"/>
        <w:jc w:val="both"/>
        <w:rPr>
          <w:rFonts w:ascii="Verdana" w:hAnsi="Verdana"/>
          <w:sz w:val="24"/>
          <w:szCs w:val="24"/>
        </w:rPr>
      </w:pPr>
    </w:p>
    <w:p w:rsidRPr="002905E0" w:rsidR="002905E0" w:rsidP="005358E1" w:rsidRDefault="002905E0" w14:paraId="140BE13E" w14:textId="77777777">
      <w:pPr>
        <w:spacing w:after="0" w:line="360" w:lineRule="auto"/>
        <w:jc w:val="both"/>
        <w:rPr>
          <w:rFonts w:ascii="Verdana" w:hAnsi="Verdana"/>
          <w:sz w:val="24"/>
          <w:szCs w:val="24"/>
        </w:rPr>
      </w:pPr>
      <w:r w:rsidRPr="002905E0">
        <w:rPr>
          <w:rFonts w:ascii="Verdana" w:hAnsi="Verdana"/>
          <w:sz w:val="24"/>
          <w:szCs w:val="24"/>
        </w:rPr>
        <w:t xml:space="preserve">Con el objetivo de proteger la infraestructura y los procesos del Ministerio de Minas y Energía, se implementó la segunda fase del Plan de Recuperación ante Desastres, dando cumplimiento a los lineamientos técnicos exigidos. Además, el despliegue del nuevo portal web incluyó mejoras significativas en los niveles de seguridad de la información. </w:t>
      </w:r>
    </w:p>
    <w:p w:rsidRPr="002905E0" w:rsidR="002905E0" w:rsidP="005358E1" w:rsidRDefault="002905E0" w14:paraId="26CCC471" w14:textId="77777777">
      <w:pPr>
        <w:spacing w:after="0" w:line="360" w:lineRule="auto"/>
        <w:jc w:val="both"/>
        <w:rPr>
          <w:rFonts w:ascii="Verdana" w:hAnsi="Verdana"/>
          <w:sz w:val="24"/>
          <w:szCs w:val="24"/>
        </w:rPr>
      </w:pPr>
    </w:p>
    <w:p w:rsidR="00122EB1" w:rsidP="005358E1" w:rsidRDefault="00122EB1" w14:paraId="06056220" w14:textId="77777777">
      <w:pPr>
        <w:spacing w:after="0" w:line="360" w:lineRule="auto"/>
        <w:jc w:val="both"/>
        <w:rPr>
          <w:rFonts w:ascii="Verdana" w:hAnsi="Verdana"/>
          <w:b/>
          <w:bCs/>
          <w:sz w:val="24"/>
          <w:szCs w:val="24"/>
        </w:rPr>
      </w:pPr>
    </w:p>
    <w:p w:rsidRPr="002905E0" w:rsidR="002905E0" w:rsidP="005358E1" w:rsidRDefault="002905E0" w14:paraId="1898F061" w14:textId="36FF950A">
      <w:pPr>
        <w:spacing w:after="0" w:line="360" w:lineRule="auto"/>
        <w:jc w:val="both"/>
        <w:rPr>
          <w:rFonts w:ascii="Verdana" w:hAnsi="Verdana"/>
          <w:b/>
          <w:bCs/>
          <w:sz w:val="24"/>
          <w:szCs w:val="24"/>
        </w:rPr>
      </w:pPr>
      <w:r w:rsidRPr="002905E0">
        <w:rPr>
          <w:rFonts w:ascii="Verdana" w:hAnsi="Verdana"/>
          <w:b/>
          <w:bCs/>
          <w:sz w:val="24"/>
          <w:szCs w:val="24"/>
        </w:rPr>
        <w:t xml:space="preserve">Uso y Apropiación de TI </w:t>
      </w:r>
    </w:p>
    <w:p w:rsidRPr="002905E0" w:rsidR="002905E0" w:rsidP="005358E1" w:rsidRDefault="002905E0" w14:paraId="3E4A7E19" w14:textId="77777777">
      <w:pPr>
        <w:spacing w:after="0" w:line="360" w:lineRule="auto"/>
        <w:jc w:val="both"/>
        <w:rPr>
          <w:rFonts w:ascii="Verdana" w:hAnsi="Verdana"/>
          <w:sz w:val="24"/>
          <w:szCs w:val="24"/>
        </w:rPr>
      </w:pPr>
    </w:p>
    <w:p w:rsidRPr="002905E0" w:rsidR="002905E0" w:rsidP="005358E1" w:rsidRDefault="002905E0" w14:paraId="4AD45C26" w14:textId="77777777">
      <w:pPr>
        <w:spacing w:after="0" w:line="360" w:lineRule="auto"/>
        <w:jc w:val="both"/>
        <w:rPr>
          <w:rFonts w:ascii="Verdana" w:hAnsi="Verdana"/>
          <w:sz w:val="24"/>
          <w:szCs w:val="24"/>
        </w:rPr>
      </w:pPr>
      <w:r w:rsidRPr="002905E0">
        <w:rPr>
          <w:rFonts w:ascii="Verdana" w:hAnsi="Verdana"/>
          <w:sz w:val="24"/>
          <w:szCs w:val="24"/>
        </w:rPr>
        <w:t xml:space="preserve">Se diseñó e implementó un nuevo portal web que incorpora tecnologías de accesibilidad para acercar los contenidos al ciudadano y mejorar su interacción con la entidad. En este mismo sentido, los nuevos trámites automatizados se diseñaron desde la perspectiva del usuario, ofreciendo ventanillas electrónicas agradables y sencillas que minimizan la complejidad, mantienen informado al interesado y fomentan el uso de las herramientas como un mecanismo de transparencia. </w:t>
      </w:r>
    </w:p>
    <w:p w:rsidRPr="002905E0" w:rsidR="002905E0" w:rsidP="005358E1" w:rsidRDefault="002905E0" w14:paraId="4FDFFA31" w14:textId="77777777">
      <w:pPr>
        <w:spacing w:after="0" w:line="360" w:lineRule="auto"/>
        <w:jc w:val="both"/>
        <w:rPr>
          <w:rFonts w:ascii="Verdana" w:hAnsi="Verdana"/>
          <w:sz w:val="24"/>
          <w:szCs w:val="24"/>
        </w:rPr>
      </w:pPr>
    </w:p>
    <w:p w:rsidRPr="002905E0" w:rsidR="002905E0" w:rsidP="005358E1" w:rsidRDefault="002905E0" w14:paraId="5E8E0237" w14:textId="77777777">
      <w:pPr>
        <w:spacing w:after="0" w:line="360" w:lineRule="auto"/>
        <w:jc w:val="both"/>
        <w:rPr>
          <w:rFonts w:ascii="Verdana" w:hAnsi="Verdana"/>
          <w:b/>
          <w:bCs/>
          <w:sz w:val="24"/>
          <w:szCs w:val="24"/>
        </w:rPr>
      </w:pPr>
      <w:r w:rsidRPr="002905E0">
        <w:rPr>
          <w:rFonts w:ascii="Verdana" w:hAnsi="Verdana"/>
          <w:b/>
          <w:bCs/>
          <w:sz w:val="24"/>
          <w:szCs w:val="24"/>
        </w:rPr>
        <w:t xml:space="preserve">Servicios Ciudadanos Digitales </w:t>
      </w:r>
    </w:p>
    <w:p w:rsidRPr="002905E0" w:rsidR="002905E0" w:rsidP="005358E1" w:rsidRDefault="002905E0" w14:paraId="08F7DEB6" w14:textId="77777777">
      <w:pPr>
        <w:spacing w:after="0" w:line="360" w:lineRule="auto"/>
        <w:jc w:val="both"/>
        <w:rPr>
          <w:rFonts w:ascii="Verdana" w:hAnsi="Verdana"/>
          <w:sz w:val="24"/>
          <w:szCs w:val="24"/>
        </w:rPr>
      </w:pPr>
    </w:p>
    <w:p w:rsidRPr="002905E0" w:rsidR="002905E0" w:rsidP="005358E1" w:rsidRDefault="002905E0" w14:paraId="2827A0B8" w14:textId="77777777">
      <w:pPr>
        <w:spacing w:after="0" w:line="360" w:lineRule="auto"/>
        <w:jc w:val="both"/>
        <w:rPr>
          <w:rFonts w:ascii="Verdana" w:hAnsi="Verdana"/>
          <w:sz w:val="24"/>
          <w:szCs w:val="24"/>
        </w:rPr>
      </w:pPr>
      <w:r w:rsidRPr="002905E0">
        <w:rPr>
          <w:rFonts w:ascii="Verdana" w:hAnsi="Verdana"/>
          <w:sz w:val="24"/>
          <w:szCs w:val="24"/>
        </w:rPr>
        <w:t xml:space="preserve">En el marco de la Política de Gobierno Digital, el Ministerio se conectó a la infraestructura de interoperabilidad de servicios ciudadanos (X-Road), exponiendo servicios para otras instituciones. Adicionalmente, en cumplimiento del Decreto 088 de 2022, se avanzó en la automatización y digitalización de trámites. Destacan los procesos de Declaratoria de Utilidad Pública de Interés Social (DUPIS) y Exploración de Recurso Geotérmico, los cuales cuentan con ventanillas para el registro de usuarios, cargue de solicitudes, clasificación documental y generación de alertas, agilizando la interacción del ciudadano y facilitando la toma de decisiones para la entidad. </w:t>
      </w:r>
    </w:p>
    <w:p w:rsidRPr="002905E0" w:rsidR="002905E0" w:rsidP="005358E1" w:rsidRDefault="002905E0" w14:paraId="134D79F4" w14:textId="77777777">
      <w:pPr>
        <w:spacing w:after="0" w:line="360" w:lineRule="auto"/>
        <w:jc w:val="both"/>
        <w:rPr>
          <w:rFonts w:ascii="Verdana" w:hAnsi="Verdana"/>
          <w:sz w:val="24"/>
          <w:szCs w:val="24"/>
        </w:rPr>
      </w:pPr>
    </w:p>
    <w:p w:rsidRPr="002905E0" w:rsidR="002905E0" w:rsidP="005358E1" w:rsidRDefault="002905E0" w14:paraId="1E4C4794" w14:textId="77777777">
      <w:pPr>
        <w:spacing w:after="0" w:line="360" w:lineRule="auto"/>
        <w:jc w:val="both"/>
        <w:rPr>
          <w:rFonts w:ascii="Verdana" w:hAnsi="Verdana"/>
          <w:b/>
          <w:bCs/>
          <w:sz w:val="24"/>
          <w:szCs w:val="24"/>
        </w:rPr>
      </w:pPr>
      <w:r w:rsidRPr="002905E0">
        <w:rPr>
          <w:rFonts w:ascii="Verdana" w:hAnsi="Verdana"/>
          <w:b/>
          <w:bCs/>
          <w:sz w:val="24"/>
          <w:szCs w:val="24"/>
        </w:rPr>
        <w:t xml:space="preserve">Gestión y Gobierno de Datos </w:t>
      </w:r>
    </w:p>
    <w:p w:rsidRPr="002905E0" w:rsidR="002905E0" w:rsidP="005358E1" w:rsidRDefault="002905E0" w14:paraId="6F62CC9C" w14:textId="77777777">
      <w:pPr>
        <w:spacing w:after="0" w:line="360" w:lineRule="auto"/>
        <w:jc w:val="both"/>
        <w:rPr>
          <w:rFonts w:ascii="Verdana" w:hAnsi="Verdana"/>
          <w:sz w:val="24"/>
          <w:szCs w:val="24"/>
        </w:rPr>
      </w:pPr>
    </w:p>
    <w:p w:rsidRPr="002905E0" w:rsidR="002905E0" w:rsidP="005358E1" w:rsidRDefault="002905E0" w14:paraId="3C506054" w14:textId="77777777">
      <w:pPr>
        <w:spacing w:after="0" w:line="360" w:lineRule="auto"/>
        <w:jc w:val="both"/>
        <w:rPr>
          <w:rFonts w:ascii="Verdana" w:hAnsi="Verdana"/>
          <w:sz w:val="24"/>
          <w:szCs w:val="24"/>
        </w:rPr>
      </w:pPr>
      <w:r w:rsidRPr="002905E0">
        <w:rPr>
          <w:rFonts w:ascii="Verdana" w:hAnsi="Verdana"/>
          <w:sz w:val="24"/>
          <w:szCs w:val="24"/>
        </w:rPr>
        <w:t xml:space="preserve">En el marco del CONPES 3839 de 2015, se desarrolló INTÉGRAME, la plataforma de integración, interoperabilidad y analítica avanzada más importante del sector, la cual consolida datos de más de 15 entidades. Esta solución tecnológica ha sido fundamental para la toma de decisiones rápidas, precisas y transparentes, habilitando la construcción de políticas </w:t>
      </w:r>
      <w:r w:rsidRPr="002905E0">
        <w:rPr>
          <w:rFonts w:ascii="Verdana" w:hAnsi="Verdana"/>
          <w:sz w:val="24"/>
          <w:szCs w:val="24"/>
        </w:rPr>
        <w:t xml:space="preserve">públicas basadas en datos. Entre sus principales logros a mayo de 2023 se encuentran: la mejora en la planeación de combustibles, la trazabilidad de tarifas de energía, la medición del impacto de proyectos de conexión, la evaluación de la reactivación económica sectorial y el apoyo a estrategias de legalidad para identificar inconsistencias en el consumo y reporte de energía. </w:t>
      </w:r>
    </w:p>
    <w:p w:rsidRPr="002905E0" w:rsidR="002905E0" w:rsidP="005358E1" w:rsidRDefault="002905E0" w14:paraId="728C4078" w14:textId="77777777">
      <w:pPr>
        <w:spacing w:after="0" w:line="360" w:lineRule="auto"/>
        <w:jc w:val="both"/>
        <w:rPr>
          <w:rFonts w:ascii="Verdana" w:hAnsi="Verdana"/>
          <w:sz w:val="24"/>
          <w:szCs w:val="24"/>
        </w:rPr>
      </w:pPr>
    </w:p>
    <w:p w:rsidRPr="002905E0" w:rsidR="002905E0" w:rsidRDefault="002905E0" w14:paraId="09922027" w14:textId="59E97925">
      <w:pPr>
        <w:pStyle w:val="Prrafodelista"/>
        <w:numPr>
          <w:ilvl w:val="2"/>
          <w:numId w:val="42"/>
        </w:numPr>
        <w:spacing w:after="0" w:line="360" w:lineRule="auto"/>
        <w:jc w:val="both"/>
        <w:rPr>
          <w:rFonts w:ascii="Verdana" w:hAnsi="Verdana"/>
          <w:b/>
          <w:bCs/>
          <w:sz w:val="24"/>
          <w:szCs w:val="24"/>
        </w:rPr>
      </w:pPr>
      <w:r w:rsidRPr="002905E0">
        <w:rPr>
          <w:rFonts w:ascii="Verdana" w:hAnsi="Verdana"/>
          <w:b/>
          <w:bCs/>
          <w:sz w:val="24"/>
          <w:szCs w:val="24"/>
        </w:rPr>
        <w:t xml:space="preserve">Período 2023 </w:t>
      </w:r>
    </w:p>
    <w:p w:rsidRPr="002905E0" w:rsidR="002905E0" w:rsidP="005358E1" w:rsidRDefault="002905E0" w14:paraId="45E822A7" w14:textId="77777777">
      <w:pPr>
        <w:spacing w:after="0" w:line="360" w:lineRule="auto"/>
        <w:jc w:val="both"/>
        <w:rPr>
          <w:rFonts w:ascii="Verdana" w:hAnsi="Verdana"/>
          <w:sz w:val="24"/>
          <w:szCs w:val="24"/>
        </w:rPr>
      </w:pPr>
    </w:p>
    <w:p w:rsidRPr="002905E0" w:rsidR="002905E0" w:rsidP="005358E1" w:rsidRDefault="002905E0" w14:paraId="75863A21" w14:textId="77777777">
      <w:pPr>
        <w:spacing w:after="0" w:line="360" w:lineRule="auto"/>
        <w:jc w:val="both"/>
        <w:rPr>
          <w:rFonts w:ascii="Verdana" w:hAnsi="Verdana"/>
          <w:b/>
          <w:bCs/>
          <w:sz w:val="24"/>
          <w:szCs w:val="24"/>
        </w:rPr>
      </w:pPr>
      <w:r w:rsidRPr="002905E0">
        <w:rPr>
          <w:rFonts w:ascii="Verdana" w:hAnsi="Verdana"/>
          <w:b/>
          <w:bCs/>
          <w:sz w:val="24"/>
          <w:szCs w:val="24"/>
        </w:rPr>
        <w:t xml:space="preserve">Uso y Apropiación de TI </w:t>
      </w:r>
    </w:p>
    <w:p w:rsidRPr="002905E0" w:rsidR="002905E0" w:rsidP="005358E1" w:rsidRDefault="002905E0" w14:paraId="3970FF8C" w14:textId="77777777">
      <w:pPr>
        <w:spacing w:after="0" w:line="360" w:lineRule="auto"/>
        <w:jc w:val="both"/>
        <w:rPr>
          <w:rFonts w:ascii="Verdana" w:hAnsi="Verdana"/>
          <w:sz w:val="24"/>
          <w:szCs w:val="24"/>
        </w:rPr>
      </w:pPr>
    </w:p>
    <w:p w:rsidRPr="002905E0" w:rsidR="002905E0" w:rsidP="005358E1" w:rsidRDefault="002905E0" w14:paraId="3F086591" w14:textId="77777777">
      <w:pPr>
        <w:spacing w:after="0" w:line="360" w:lineRule="auto"/>
        <w:jc w:val="both"/>
        <w:rPr>
          <w:rFonts w:ascii="Verdana" w:hAnsi="Verdana"/>
          <w:sz w:val="24"/>
          <w:szCs w:val="24"/>
        </w:rPr>
      </w:pPr>
      <w:r w:rsidRPr="002905E0">
        <w:rPr>
          <w:rFonts w:ascii="Verdana" w:hAnsi="Verdana"/>
          <w:sz w:val="24"/>
          <w:szCs w:val="24"/>
        </w:rPr>
        <w:t xml:space="preserve">A partir del ejercicio de Caracterización de Ciudadanos y Grupos de Valor, fueron identificadas las características y necesidades particulares de los usuarios. Esta comprensión permitió adoptar y gestionar nuevas tecnologías enfocadas en hacer que la comunicación y la interacción con el Ministerio sean cada vez más accesibles, intuitivas y transparentes para todos los grupos de interés. </w:t>
      </w:r>
    </w:p>
    <w:p w:rsidRPr="002905E0" w:rsidR="002905E0" w:rsidP="005358E1" w:rsidRDefault="002905E0" w14:paraId="402D3EFF" w14:textId="77777777">
      <w:pPr>
        <w:spacing w:after="0" w:line="360" w:lineRule="auto"/>
        <w:jc w:val="both"/>
        <w:rPr>
          <w:rFonts w:ascii="Verdana" w:hAnsi="Verdana"/>
          <w:sz w:val="24"/>
          <w:szCs w:val="24"/>
        </w:rPr>
      </w:pPr>
    </w:p>
    <w:p w:rsidRPr="002905E0" w:rsidR="002905E0" w:rsidP="005358E1" w:rsidRDefault="002905E0" w14:paraId="22D695E1" w14:textId="77777777">
      <w:pPr>
        <w:spacing w:after="0" w:line="360" w:lineRule="auto"/>
        <w:jc w:val="both"/>
        <w:rPr>
          <w:rFonts w:ascii="Verdana" w:hAnsi="Verdana"/>
          <w:b/>
          <w:bCs/>
          <w:sz w:val="24"/>
          <w:szCs w:val="24"/>
        </w:rPr>
      </w:pPr>
      <w:r w:rsidRPr="002905E0">
        <w:rPr>
          <w:rFonts w:ascii="Verdana" w:hAnsi="Verdana"/>
          <w:b/>
          <w:bCs/>
          <w:sz w:val="24"/>
          <w:szCs w:val="24"/>
        </w:rPr>
        <w:t xml:space="preserve">Servicios Ciudadanos Digitales </w:t>
      </w:r>
    </w:p>
    <w:p w:rsidRPr="002905E0" w:rsidR="002905E0" w:rsidP="005358E1" w:rsidRDefault="002905E0" w14:paraId="1D409907" w14:textId="77777777">
      <w:pPr>
        <w:spacing w:after="0" w:line="360" w:lineRule="auto"/>
        <w:jc w:val="both"/>
        <w:rPr>
          <w:rFonts w:ascii="Verdana" w:hAnsi="Verdana"/>
          <w:sz w:val="24"/>
          <w:szCs w:val="24"/>
        </w:rPr>
      </w:pPr>
    </w:p>
    <w:p w:rsidRPr="002905E0" w:rsidR="002905E0" w:rsidP="005358E1" w:rsidRDefault="002905E0" w14:paraId="523B7589" w14:textId="77777777">
      <w:pPr>
        <w:spacing w:after="0" w:line="360" w:lineRule="auto"/>
        <w:jc w:val="both"/>
        <w:rPr>
          <w:rFonts w:ascii="Verdana" w:hAnsi="Verdana"/>
          <w:sz w:val="24"/>
          <w:szCs w:val="24"/>
        </w:rPr>
      </w:pPr>
      <w:r w:rsidRPr="002905E0">
        <w:rPr>
          <w:rFonts w:ascii="Verdana" w:hAnsi="Verdana"/>
          <w:sz w:val="24"/>
          <w:szCs w:val="24"/>
        </w:rPr>
        <w:t xml:space="preserve">Mediante un trabajo articulado entre las áreas de Relacionamiento con el Ciudadano y Tecnologías de la Información, se realizó la implementación de soluciones digitales orientadas a fortalecer y modernizar la interacción con la ciudadanía. Estas acciones tecnológicas buscan consolidar una entidad más eficiente, innovadora y competitiva en la provisión de servicios. </w:t>
      </w:r>
    </w:p>
    <w:p w:rsidRPr="002905E0" w:rsidR="002905E0" w:rsidP="005358E1" w:rsidRDefault="002905E0" w14:paraId="4E18FA5C" w14:textId="77777777">
      <w:pPr>
        <w:spacing w:after="0" w:line="360" w:lineRule="auto"/>
        <w:jc w:val="both"/>
        <w:rPr>
          <w:rFonts w:ascii="Verdana" w:hAnsi="Verdana"/>
          <w:sz w:val="24"/>
          <w:szCs w:val="24"/>
        </w:rPr>
      </w:pPr>
    </w:p>
    <w:p w:rsidRPr="002905E0" w:rsidR="002905E0" w:rsidRDefault="002905E0" w14:paraId="2F498359" w14:textId="7E3A98D7">
      <w:pPr>
        <w:pStyle w:val="Prrafodelista"/>
        <w:numPr>
          <w:ilvl w:val="2"/>
          <w:numId w:val="42"/>
        </w:numPr>
        <w:spacing w:after="0" w:line="360" w:lineRule="auto"/>
        <w:jc w:val="both"/>
        <w:rPr>
          <w:rFonts w:ascii="Verdana" w:hAnsi="Verdana"/>
          <w:b/>
          <w:bCs/>
          <w:sz w:val="24"/>
          <w:szCs w:val="24"/>
        </w:rPr>
      </w:pPr>
      <w:r w:rsidRPr="002905E0">
        <w:rPr>
          <w:rFonts w:ascii="Verdana" w:hAnsi="Verdana"/>
          <w:b/>
          <w:bCs/>
          <w:sz w:val="24"/>
          <w:szCs w:val="24"/>
        </w:rPr>
        <w:t xml:space="preserve">Período 2024 </w:t>
      </w:r>
    </w:p>
    <w:p w:rsidR="002905E0" w:rsidP="005358E1" w:rsidRDefault="002905E0" w14:paraId="3240C4B3" w14:textId="17920FAA">
      <w:pPr>
        <w:spacing w:after="0" w:line="360" w:lineRule="auto"/>
        <w:jc w:val="both"/>
        <w:rPr>
          <w:rFonts w:ascii="Verdana" w:hAnsi="Verdana"/>
          <w:b/>
          <w:bCs/>
          <w:sz w:val="24"/>
          <w:szCs w:val="24"/>
        </w:rPr>
      </w:pPr>
    </w:p>
    <w:p w:rsidRPr="002905E0" w:rsidR="00122EB1" w:rsidP="005358E1" w:rsidRDefault="00122EB1" w14:paraId="596F9C69" w14:textId="77777777">
      <w:pPr>
        <w:spacing w:after="0" w:line="360" w:lineRule="auto"/>
        <w:jc w:val="both"/>
        <w:rPr>
          <w:rFonts w:ascii="Verdana" w:hAnsi="Verdana"/>
          <w:b/>
          <w:bCs/>
          <w:sz w:val="24"/>
          <w:szCs w:val="24"/>
        </w:rPr>
      </w:pPr>
    </w:p>
    <w:p w:rsidRPr="002905E0" w:rsidR="002905E0" w:rsidP="005358E1" w:rsidRDefault="002905E0" w14:paraId="79C6D8EC" w14:textId="77777777">
      <w:pPr>
        <w:spacing w:after="0" w:line="360" w:lineRule="auto"/>
        <w:jc w:val="both"/>
        <w:rPr>
          <w:rFonts w:ascii="Verdana" w:hAnsi="Verdana"/>
          <w:b/>
          <w:bCs/>
          <w:sz w:val="24"/>
          <w:szCs w:val="24"/>
        </w:rPr>
      </w:pPr>
      <w:r w:rsidRPr="002905E0">
        <w:rPr>
          <w:rFonts w:ascii="Verdana" w:hAnsi="Verdana"/>
          <w:b/>
          <w:bCs/>
          <w:sz w:val="24"/>
          <w:szCs w:val="24"/>
        </w:rPr>
        <w:t xml:space="preserve">Marco de Referencia de Arquitectura Empresarial  </w:t>
      </w:r>
    </w:p>
    <w:p w:rsidRPr="002905E0" w:rsidR="002905E0" w:rsidP="005358E1" w:rsidRDefault="002905E0" w14:paraId="5C7CC407" w14:textId="77777777">
      <w:pPr>
        <w:spacing w:after="0" w:line="360" w:lineRule="auto"/>
        <w:jc w:val="both"/>
        <w:rPr>
          <w:rFonts w:ascii="Verdana" w:hAnsi="Verdana"/>
          <w:sz w:val="24"/>
          <w:szCs w:val="24"/>
        </w:rPr>
      </w:pPr>
    </w:p>
    <w:p w:rsidRPr="002905E0" w:rsidR="002905E0" w:rsidP="005358E1" w:rsidRDefault="002905E0" w14:paraId="397928C5" w14:textId="77777777">
      <w:pPr>
        <w:spacing w:after="0" w:line="360" w:lineRule="auto"/>
        <w:jc w:val="both"/>
        <w:rPr>
          <w:rFonts w:ascii="Verdana" w:hAnsi="Verdana"/>
          <w:sz w:val="24"/>
          <w:szCs w:val="24"/>
        </w:rPr>
      </w:pPr>
      <w:r w:rsidRPr="002905E0">
        <w:rPr>
          <w:rFonts w:ascii="Verdana" w:hAnsi="Verdana"/>
          <w:sz w:val="24"/>
          <w:szCs w:val="24"/>
        </w:rPr>
        <w:t xml:space="preserve">La gestión tecnológica institucional se desarrolló en alineación con el Marco de Referencia de Arquitectura Empresarial (MRAE V3.0) del MinTIC. Para optimizar la operación y eficiencia interna, se implementaron soluciones como la Mesa de Ayuda GLPI, el sistema de Control de Proyectos TAIGA y el Registro de contenedores Docker para la administración de imágenes en entornos controlados. Asimismo, se ejecutó la actualización de capacidades, interfaces y reportes de las principales plataformas misionales y de apoyo, incluyendo CargaME, SIVEEIC, SISEG, SIGAME, EITI, la Intranet y el Portal Web. </w:t>
      </w:r>
    </w:p>
    <w:p w:rsidRPr="002905E0" w:rsidR="002905E0" w:rsidP="005358E1" w:rsidRDefault="002905E0" w14:paraId="781DDA71" w14:textId="77777777">
      <w:pPr>
        <w:spacing w:after="0" w:line="360" w:lineRule="auto"/>
        <w:jc w:val="both"/>
        <w:rPr>
          <w:rFonts w:ascii="Verdana" w:hAnsi="Verdana"/>
          <w:sz w:val="24"/>
          <w:szCs w:val="24"/>
        </w:rPr>
      </w:pPr>
    </w:p>
    <w:p w:rsidRPr="002905E0" w:rsidR="002905E0" w:rsidP="005358E1" w:rsidRDefault="002905E0" w14:paraId="2C5208D4" w14:textId="77777777">
      <w:pPr>
        <w:spacing w:after="0" w:line="360" w:lineRule="auto"/>
        <w:jc w:val="both"/>
        <w:rPr>
          <w:rFonts w:ascii="Verdana" w:hAnsi="Verdana"/>
          <w:b/>
          <w:bCs/>
          <w:sz w:val="24"/>
          <w:szCs w:val="24"/>
        </w:rPr>
      </w:pPr>
      <w:r w:rsidRPr="002905E0">
        <w:rPr>
          <w:rFonts w:ascii="Verdana" w:hAnsi="Verdana"/>
          <w:b/>
          <w:bCs/>
          <w:sz w:val="24"/>
          <w:szCs w:val="24"/>
        </w:rPr>
        <w:t xml:space="preserve">Seguridad de la Información </w:t>
      </w:r>
    </w:p>
    <w:p w:rsidRPr="002905E0" w:rsidR="002905E0" w:rsidP="005358E1" w:rsidRDefault="002905E0" w14:paraId="62297685" w14:textId="77777777">
      <w:pPr>
        <w:spacing w:after="0" w:line="360" w:lineRule="auto"/>
        <w:jc w:val="both"/>
        <w:rPr>
          <w:rFonts w:ascii="Verdana" w:hAnsi="Verdana"/>
          <w:sz w:val="24"/>
          <w:szCs w:val="24"/>
        </w:rPr>
      </w:pPr>
    </w:p>
    <w:p w:rsidRPr="002905E0" w:rsidR="002905E0" w:rsidP="005358E1" w:rsidRDefault="002905E0" w14:paraId="6BB4AD6C" w14:textId="77777777">
      <w:pPr>
        <w:spacing w:after="0" w:line="360" w:lineRule="auto"/>
        <w:jc w:val="both"/>
        <w:rPr>
          <w:rFonts w:ascii="Verdana" w:hAnsi="Verdana"/>
          <w:sz w:val="24"/>
          <w:szCs w:val="24"/>
        </w:rPr>
      </w:pPr>
      <w:r w:rsidRPr="002905E0">
        <w:rPr>
          <w:rFonts w:ascii="Verdana" w:hAnsi="Verdana"/>
          <w:sz w:val="24"/>
          <w:szCs w:val="24"/>
        </w:rPr>
        <w:t xml:space="preserve">En el ámbito de la seguridad y el control de la información, se habilitaron entornos tecnológicos seguros, tales como el registro de contenedores Docker para la administración protegida de imágenes. Adicionalmente, se desarrollaron canales que garantizan la confidencialidad en el tratamiento de la información sensible, destacando la implementación del Buzón de integridad para el reporte de posibles conflictos de interés. </w:t>
      </w:r>
    </w:p>
    <w:p w:rsidRPr="002905E0" w:rsidR="002905E0" w:rsidP="005358E1" w:rsidRDefault="002905E0" w14:paraId="0D6DF1A9" w14:textId="77777777">
      <w:pPr>
        <w:spacing w:after="0" w:line="360" w:lineRule="auto"/>
        <w:jc w:val="both"/>
        <w:rPr>
          <w:rFonts w:ascii="Verdana" w:hAnsi="Verdana"/>
          <w:sz w:val="24"/>
          <w:szCs w:val="24"/>
        </w:rPr>
      </w:pPr>
    </w:p>
    <w:p w:rsidRPr="002905E0" w:rsidR="002905E0" w:rsidP="005358E1" w:rsidRDefault="002905E0" w14:paraId="4DDCA9C0" w14:textId="77777777">
      <w:pPr>
        <w:spacing w:after="0" w:line="360" w:lineRule="auto"/>
        <w:jc w:val="both"/>
        <w:rPr>
          <w:rFonts w:ascii="Verdana" w:hAnsi="Verdana"/>
          <w:b/>
          <w:bCs/>
          <w:sz w:val="24"/>
          <w:szCs w:val="24"/>
        </w:rPr>
      </w:pPr>
      <w:r w:rsidRPr="002905E0">
        <w:rPr>
          <w:rFonts w:ascii="Verdana" w:hAnsi="Verdana"/>
          <w:b/>
          <w:bCs/>
          <w:sz w:val="24"/>
          <w:szCs w:val="24"/>
        </w:rPr>
        <w:t xml:space="preserve">Uso y Apropiación de TI </w:t>
      </w:r>
    </w:p>
    <w:p w:rsidRPr="002905E0" w:rsidR="002905E0" w:rsidP="005358E1" w:rsidRDefault="002905E0" w14:paraId="2568FDEC" w14:textId="77777777">
      <w:pPr>
        <w:spacing w:after="0" w:line="360" w:lineRule="auto"/>
        <w:jc w:val="both"/>
        <w:rPr>
          <w:rFonts w:ascii="Verdana" w:hAnsi="Verdana"/>
          <w:sz w:val="24"/>
          <w:szCs w:val="24"/>
        </w:rPr>
      </w:pPr>
    </w:p>
    <w:p w:rsidRPr="002905E0" w:rsidR="002905E0" w:rsidP="005358E1" w:rsidRDefault="002905E0" w14:paraId="47E2120A" w14:textId="77777777">
      <w:pPr>
        <w:spacing w:after="0" w:line="360" w:lineRule="auto"/>
        <w:jc w:val="both"/>
        <w:rPr>
          <w:rFonts w:ascii="Verdana" w:hAnsi="Verdana"/>
          <w:sz w:val="24"/>
          <w:szCs w:val="24"/>
        </w:rPr>
      </w:pPr>
      <w:r w:rsidRPr="002905E0">
        <w:rPr>
          <w:rFonts w:ascii="Verdana" w:hAnsi="Verdana"/>
          <w:sz w:val="24"/>
          <w:szCs w:val="24"/>
        </w:rPr>
        <w:t xml:space="preserve">Se priorizó la usabilidad y la atención a las necesidades de los grupos de valor a través de estrategias de adopción tecnológica. A nivel interno, se implementaron herramientas como el Carnet digital y el sistema de Asistencia digital para la gestión de eventos. Externamente, se ejecutó un plan de articulación con universidades y actores del sector en nueve ciudades del país, lo que impulsó significativamente la consulta de las </w:t>
      </w:r>
      <w:r w:rsidRPr="002905E0">
        <w:rPr>
          <w:rFonts w:ascii="Verdana" w:hAnsi="Verdana"/>
          <w:sz w:val="24"/>
          <w:szCs w:val="24"/>
        </w:rPr>
        <w:t xml:space="preserve">plataformas de datos: Intégrame registró 28.475 visitas (8.711 usuarios únicos) e IDE-ME alcanzó 1.308 visitas (739 usuarios únicos). </w:t>
      </w:r>
    </w:p>
    <w:p w:rsidRPr="002905E0" w:rsidR="002905E0" w:rsidP="005358E1" w:rsidRDefault="002905E0" w14:paraId="46DAD22A" w14:textId="77777777">
      <w:pPr>
        <w:spacing w:after="0" w:line="360" w:lineRule="auto"/>
        <w:jc w:val="both"/>
        <w:rPr>
          <w:rFonts w:ascii="Verdana" w:hAnsi="Verdana"/>
          <w:sz w:val="24"/>
          <w:szCs w:val="24"/>
        </w:rPr>
      </w:pPr>
    </w:p>
    <w:p w:rsidRPr="002905E0" w:rsidR="002905E0" w:rsidP="005358E1" w:rsidRDefault="002905E0" w14:paraId="53BD6881" w14:textId="77777777">
      <w:pPr>
        <w:spacing w:after="0" w:line="360" w:lineRule="auto"/>
        <w:jc w:val="both"/>
        <w:rPr>
          <w:rFonts w:ascii="Verdana" w:hAnsi="Verdana"/>
          <w:b/>
          <w:bCs/>
          <w:sz w:val="24"/>
          <w:szCs w:val="24"/>
        </w:rPr>
      </w:pPr>
      <w:r w:rsidRPr="002905E0">
        <w:rPr>
          <w:rFonts w:ascii="Verdana" w:hAnsi="Verdana"/>
          <w:b/>
          <w:bCs/>
          <w:sz w:val="24"/>
          <w:szCs w:val="24"/>
        </w:rPr>
        <w:t xml:space="preserve">Servicios Ciudadanos Digitales </w:t>
      </w:r>
    </w:p>
    <w:p w:rsidRPr="002905E0" w:rsidR="002905E0" w:rsidP="005358E1" w:rsidRDefault="002905E0" w14:paraId="245EEF23" w14:textId="77777777">
      <w:pPr>
        <w:spacing w:after="0" w:line="360" w:lineRule="auto"/>
        <w:jc w:val="both"/>
        <w:rPr>
          <w:rFonts w:ascii="Verdana" w:hAnsi="Verdana"/>
          <w:sz w:val="24"/>
          <w:szCs w:val="24"/>
        </w:rPr>
      </w:pPr>
    </w:p>
    <w:p w:rsidRPr="002905E0" w:rsidR="002905E0" w:rsidP="005358E1" w:rsidRDefault="002905E0" w14:paraId="6908D61F" w14:textId="77777777">
      <w:pPr>
        <w:spacing w:after="0" w:line="360" w:lineRule="auto"/>
        <w:jc w:val="both"/>
        <w:rPr>
          <w:rFonts w:ascii="Verdana" w:hAnsi="Verdana"/>
          <w:sz w:val="24"/>
          <w:szCs w:val="24"/>
        </w:rPr>
      </w:pPr>
      <w:r w:rsidRPr="002905E0">
        <w:rPr>
          <w:rFonts w:ascii="Verdana" w:hAnsi="Verdana"/>
          <w:sz w:val="24"/>
          <w:szCs w:val="24"/>
        </w:rPr>
        <w:t xml:space="preserve">En cumplimiento de la Política de Gobierno Digital, se desplegaron soluciones orientadas a fortalecer la participación ciudadana, la transparencia y la prestación de servicios. Entre los desarrollos de software destacados se encuentran la aplicación móvil "Energía del Cambio", enfocada en facturación y transición energética; la App de encuestas para la recolección de información; y el Buzón de integridad como canal directo de reporte institucional. </w:t>
      </w:r>
    </w:p>
    <w:p w:rsidRPr="002905E0" w:rsidR="002905E0" w:rsidP="005358E1" w:rsidRDefault="002905E0" w14:paraId="130B5D3F" w14:textId="77777777">
      <w:pPr>
        <w:spacing w:after="0" w:line="360" w:lineRule="auto"/>
        <w:jc w:val="both"/>
        <w:rPr>
          <w:rFonts w:ascii="Verdana" w:hAnsi="Verdana"/>
          <w:sz w:val="24"/>
          <w:szCs w:val="24"/>
        </w:rPr>
      </w:pPr>
    </w:p>
    <w:p w:rsidRPr="002905E0" w:rsidR="002905E0" w:rsidP="005358E1" w:rsidRDefault="002905E0" w14:paraId="360508A3" w14:textId="77777777">
      <w:pPr>
        <w:spacing w:after="0" w:line="360" w:lineRule="auto"/>
        <w:jc w:val="both"/>
        <w:rPr>
          <w:rFonts w:ascii="Verdana" w:hAnsi="Verdana"/>
          <w:b/>
          <w:bCs/>
          <w:sz w:val="24"/>
          <w:szCs w:val="24"/>
        </w:rPr>
      </w:pPr>
      <w:r w:rsidRPr="002905E0">
        <w:rPr>
          <w:rFonts w:ascii="Verdana" w:hAnsi="Verdana"/>
          <w:b/>
          <w:bCs/>
          <w:sz w:val="24"/>
          <w:szCs w:val="24"/>
        </w:rPr>
        <w:t xml:space="preserve">Gestión y Gobierno de Datos </w:t>
      </w:r>
    </w:p>
    <w:p w:rsidRPr="002905E0" w:rsidR="002905E0" w:rsidP="005358E1" w:rsidRDefault="002905E0" w14:paraId="7A292B61" w14:textId="77777777">
      <w:pPr>
        <w:spacing w:after="0" w:line="360" w:lineRule="auto"/>
        <w:jc w:val="both"/>
        <w:rPr>
          <w:rFonts w:ascii="Verdana" w:hAnsi="Verdana"/>
          <w:sz w:val="24"/>
          <w:szCs w:val="24"/>
        </w:rPr>
      </w:pPr>
    </w:p>
    <w:p w:rsidRPr="002905E0" w:rsidR="002905E0" w:rsidP="005358E1" w:rsidRDefault="002905E0" w14:paraId="18722419" w14:textId="77777777">
      <w:pPr>
        <w:spacing w:after="0" w:line="360" w:lineRule="auto"/>
        <w:jc w:val="both"/>
        <w:rPr>
          <w:rFonts w:ascii="Verdana" w:hAnsi="Verdana"/>
          <w:sz w:val="24"/>
          <w:szCs w:val="24"/>
        </w:rPr>
      </w:pPr>
      <w:r w:rsidRPr="002905E0">
        <w:rPr>
          <w:rFonts w:ascii="Verdana" w:hAnsi="Verdana"/>
          <w:sz w:val="24"/>
          <w:szCs w:val="24"/>
        </w:rPr>
        <w:t xml:space="preserve">Se consolidó la infraestructura de datos abiertos y el aprovechamiento estadístico del sector minero-energético. Se fortaleció la plataforma estadística Intégrame, la cual dispone de 99 tableros de control (86 de carácter público). Paralelamente, se potenció el micrositio IDE-ME como plataforma central de datos geoespaciales del sector, albergando un total de 1.043 capas de información, de las cuales 265 son de producción propia. Ambas plataformas se posicionan como referentes para el acceso y explotación de datos misionales. </w:t>
      </w:r>
    </w:p>
    <w:p w:rsidRPr="002905E0" w:rsidR="002905E0" w:rsidP="005358E1" w:rsidRDefault="002905E0" w14:paraId="6DDF904C" w14:textId="77777777">
      <w:pPr>
        <w:spacing w:after="0" w:line="360" w:lineRule="auto"/>
        <w:jc w:val="both"/>
        <w:rPr>
          <w:rFonts w:ascii="Verdana" w:hAnsi="Verdana"/>
          <w:sz w:val="24"/>
          <w:szCs w:val="24"/>
        </w:rPr>
      </w:pPr>
    </w:p>
    <w:p w:rsidRPr="002905E0" w:rsidR="002905E0" w:rsidRDefault="002905E0" w14:paraId="34AF9CCF" w14:textId="2464783C">
      <w:pPr>
        <w:pStyle w:val="Prrafodelista"/>
        <w:numPr>
          <w:ilvl w:val="2"/>
          <w:numId w:val="42"/>
        </w:numPr>
        <w:spacing w:after="0" w:line="360" w:lineRule="auto"/>
        <w:jc w:val="both"/>
        <w:rPr>
          <w:rFonts w:ascii="Verdana" w:hAnsi="Verdana"/>
          <w:b/>
          <w:bCs/>
          <w:sz w:val="24"/>
          <w:szCs w:val="24"/>
        </w:rPr>
      </w:pPr>
      <w:r w:rsidRPr="002905E0">
        <w:rPr>
          <w:rFonts w:ascii="Verdana" w:hAnsi="Verdana"/>
          <w:b/>
          <w:bCs/>
          <w:sz w:val="24"/>
          <w:szCs w:val="24"/>
        </w:rPr>
        <w:t>Período 2025 – 2026 (</w:t>
      </w:r>
      <w:r>
        <w:rPr>
          <w:rFonts w:ascii="Verdana" w:hAnsi="Verdana"/>
          <w:b/>
          <w:bCs/>
          <w:sz w:val="24"/>
          <w:szCs w:val="24"/>
        </w:rPr>
        <w:t>m</w:t>
      </w:r>
      <w:r w:rsidRPr="002905E0">
        <w:rPr>
          <w:rFonts w:ascii="Verdana" w:hAnsi="Verdana"/>
          <w:b/>
          <w:bCs/>
          <w:sz w:val="24"/>
          <w:szCs w:val="24"/>
        </w:rPr>
        <w:t xml:space="preserve">arzo) </w:t>
      </w:r>
    </w:p>
    <w:p w:rsidRPr="002905E0" w:rsidR="002905E0" w:rsidP="005358E1" w:rsidRDefault="002905E0" w14:paraId="2202106A" w14:textId="77777777">
      <w:pPr>
        <w:spacing w:after="0" w:line="360" w:lineRule="auto"/>
        <w:jc w:val="both"/>
        <w:rPr>
          <w:rFonts w:ascii="Verdana" w:hAnsi="Verdana"/>
          <w:sz w:val="24"/>
          <w:szCs w:val="24"/>
        </w:rPr>
      </w:pPr>
    </w:p>
    <w:p w:rsidRPr="002905E0" w:rsidR="002905E0" w:rsidP="005358E1" w:rsidRDefault="002905E0" w14:paraId="443C853B" w14:textId="77777777">
      <w:pPr>
        <w:spacing w:after="0" w:line="360" w:lineRule="auto"/>
        <w:jc w:val="both"/>
        <w:rPr>
          <w:rFonts w:ascii="Verdana" w:hAnsi="Verdana"/>
          <w:b/>
          <w:bCs/>
          <w:sz w:val="24"/>
          <w:szCs w:val="24"/>
        </w:rPr>
      </w:pPr>
      <w:r w:rsidRPr="002905E0">
        <w:rPr>
          <w:rFonts w:ascii="Verdana" w:hAnsi="Verdana"/>
          <w:b/>
          <w:bCs/>
          <w:sz w:val="24"/>
          <w:szCs w:val="24"/>
        </w:rPr>
        <w:t xml:space="preserve">Marco de Referencia de Arquitectura Empresarial </w:t>
      </w:r>
    </w:p>
    <w:p w:rsidRPr="002905E0" w:rsidR="002905E0" w:rsidP="005358E1" w:rsidRDefault="002905E0" w14:paraId="60CFF04A" w14:textId="77777777">
      <w:pPr>
        <w:spacing w:after="0" w:line="360" w:lineRule="auto"/>
        <w:jc w:val="both"/>
        <w:rPr>
          <w:rFonts w:ascii="Verdana" w:hAnsi="Verdana"/>
          <w:sz w:val="24"/>
          <w:szCs w:val="24"/>
        </w:rPr>
      </w:pPr>
    </w:p>
    <w:p w:rsidRPr="002905E0" w:rsidR="002905E0" w:rsidP="005358E1" w:rsidRDefault="002905E0" w14:paraId="24422824" w14:textId="77777777">
      <w:pPr>
        <w:spacing w:after="0" w:line="360" w:lineRule="auto"/>
        <w:jc w:val="both"/>
        <w:rPr>
          <w:rFonts w:ascii="Verdana" w:hAnsi="Verdana"/>
          <w:sz w:val="24"/>
          <w:szCs w:val="24"/>
        </w:rPr>
      </w:pPr>
      <w:r w:rsidRPr="002905E0">
        <w:rPr>
          <w:rFonts w:ascii="Verdana" w:hAnsi="Verdana"/>
          <w:sz w:val="24"/>
          <w:szCs w:val="24"/>
        </w:rPr>
        <w:t xml:space="preserve">En estricta alineación con el Marco de Referencia de Arquitectura Empresarial (MRAE V3.0) y los Planes Estratégicos de Tecnologías de la </w:t>
      </w:r>
      <w:r w:rsidRPr="002905E0">
        <w:rPr>
          <w:rFonts w:ascii="Verdana" w:hAnsi="Verdana"/>
          <w:sz w:val="24"/>
          <w:szCs w:val="24"/>
        </w:rPr>
        <w:t xml:space="preserve">Información (PETI) 2020-2023 y 2024-2027, el Ministerio ejecutó un plan de modernización enfocado en la reconstrucción de sistemas misionales críticos sobre arquitecturas modernas y estándares abiertos. A nivel de plataformas, se destacan los siguientes hitos tecnológicos: </w:t>
      </w:r>
    </w:p>
    <w:p w:rsidRPr="002905E0" w:rsidR="002905E0" w:rsidP="005358E1" w:rsidRDefault="002905E0" w14:paraId="190ABE14" w14:textId="77777777">
      <w:pPr>
        <w:spacing w:after="0" w:line="360" w:lineRule="auto"/>
        <w:jc w:val="both"/>
        <w:rPr>
          <w:rFonts w:ascii="Verdana" w:hAnsi="Verdana"/>
          <w:sz w:val="24"/>
          <w:szCs w:val="24"/>
        </w:rPr>
      </w:pPr>
    </w:p>
    <w:p w:rsidRPr="002905E0" w:rsidR="002905E0" w:rsidP="005358E1" w:rsidRDefault="002905E0" w14:paraId="4C2AC64E" w14:textId="77777777">
      <w:pPr>
        <w:spacing w:after="0" w:line="360" w:lineRule="auto"/>
        <w:jc w:val="both"/>
        <w:rPr>
          <w:rFonts w:ascii="Verdana" w:hAnsi="Verdana"/>
          <w:sz w:val="24"/>
          <w:szCs w:val="24"/>
        </w:rPr>
      </w:pPr>
      <w:r w:rsidRPr="002905E0">
        <w:rPr>
          <w:rFonts w:ascii="Verdana" w:hAnsi="Verdana"/>
          <w:sz w:val="24"/>
          <w:szCs w:val="24"/>
        </w:rPr>
        <w:t xml:space="preserve">SISEG v3.0: Se implementó una arquitectura hexagonal y se migró la generación de reportes analíticos de JasperServer a JasperReports embebido, lo cual eliminó la dependencia de servidores externos, reduciendo los riesgos de obsolescencia tecnológica y los costos de licenciamiento. Asimismo, se realizó una depuración integral del módulo de Gas. </w:t>
      </w:r>
    </w:p>
    <w:p w:rsidRPr="002905E0" w:rsidR="002905E0" w:rsidP="005358E1" w:rsidRDefault="002905E0" w14:paraId="20066B4A" w14:textId="77777777">
      <w:pPr>
        <w:spacing w:after="0" w:line="360" w:lineRule="auto"/>
        <w:jc w:val="both"/>
        <w:rPr>
          <w:rFonts w:ascii="Verdana" w:hAnsi="Verdana"/>
          <w:sz w:val="24"/>
          <w:szCs w:val="24"/>
        </w:rPr>
      </w:pPr>
    </w:p>
    <w:p w:rsidRPr="002905E0" w:rsidR="002905E0" w:rsidP="005358E1" w:rsidRDefault="002905E0" w14:paraId="314EBE44" w14:textId="77777777">
      <w:pPr>
        <w:spacing w:after="0" w:line="360" w:lineRule="auto"/>
        <w:jc w:val="both"/>
        <w:rPr>
          <w:rFonts w:ascii="Verdana" w:hAnsi="Verdana"/>
          <w:sz w:val="24"/>
          <w:szCs w:val="24"/>
        </w:rPr>
      </w:pPr>
      <w:r w:rsidRPr="002905E0">
        <w:rPr>
          <w:rFonts w:ascii="Verdana" w:hAnsi="Verdana"/>
          <w:sz w:val="24"/>
          <w:szCs w:val="24"/>
        </w:rPr>
        <w:t xml:space="preserve">SIGPAC v1.0.0: Se desplegó una arquitectura monorepo (NestJS, Next.js 14, Prisma y PostgreSQL 16) orientada a automatizar las validaciones de las reglas de negocio en los diferentes estados del proceso de cobro coactivo. </w:t>
      </w:r>
    </w:p>
    <w:p w:rsidRPr="002905E0" w:rsidR="002905E0" w:rsidP="005358E1" w:rsidRDefault="002905E0" w14:paraId="34E5FC03" w14:textId="77777777">
      <w:pPr>
        <w:spacing w:after="0" w:line="360" w:lineRule="auto"/>
        <w:jc w:val="both"/>
        <w:rPr>
          <w:rFonts w:ascii="Verdana" w:hAnsi="Verdana"/>
          <w:sz w:val="24"/>
          <w:szCs w:val="24"/>
        </w:rPr>
      </w:pPr>
    </w:p>
    <w:p w:rsidRPr="002905E0" w:rsidR="002905E0" w:rsidP="005358E1" w:rsidRDefault="002905E0" w14:paraId="7601D99A" w14:textId="77777777">
      <w:pPr>
        <w:spacing w:after="0" w:line="360" w:lineRule="auto"/>
        <w:jc w:val="both"/>
        <w:rPr>
          <w:rFonts w:ascii="Verdana" w:hAnsi="Verdana"/>
          <w:sz w:val="24"/>
          <w:szCs w:val="24"/>
        </w:rPr>
      </w:pPr>
      <w:r w:rsidRPr="002905E0">
        <w:rPr>
          <w:rFonts w:ascii="Verdana" w:hAnsi="Verdana"/>
          <w:sz w:val="24"/>
          <w:szCs w:val="24"/>
        </w:rPr>
        <w:t xml:space="preserve">FondoBecas v2.0: Su reconstrucción total se fundamentó en el entorno .NET 8 con Entity Framework Core, soportando configuraciones multi-ambiente (Desarrollo, QA, Producción). </w:t>
      </w:r>
    </w:p>
    <w:p w:rsidRPr="002905E0" w:rsidR="002905E0" w:rsidP="005358E1" w:rsidRDefault="002905E0" w14:paraId="4005D2F8" w14:textId="77777777">
      <w:pPr>
        <w:spacing w:after="0" w:line="360" w:lineRule="auto"/>
        <w:jc w:val="both"/>
        <w:rPr>
          <w:rFonts w:ascii="Verdana" w:hAnsi="Verdana"/>
          <w:sz w:val="24"/>
          <w:szCs w:val="24"/>
        </w:rPr>
      </w:pPr>
    </w:p>
    <w:p w:rsidRPr="002905E0" w:rsidR="002905E0" w:rsidP="005358E1" w:rsidRDefault="002905E0" w14:paraId="3A7B4ED5" w14:textId="77777777">
      <w:pPr>
        <w:spacing w:after="0" w:line="360" w:lineRule="auto"/>
        <w:jc w:val="both"/>
        <w:rPr>
          <w:rFonts w:ascii="Verdana" w:hAnsi="Verdana"/>
          <w:sz w:val="24"/>
          <w:szCs w:val="24"/>
        </w:rPr>
      </w:pPr>
      <w:r w:rsidRPr="002905E0">
        <w:rPr>
          <w:rFonts w:ascii="Verdana" w:hAnsi="Verdana"/>
          <w:sz w:val="24"/>
          <w:szCs w:val="24"/>
        </w:rPr>
        <w:t xml:space="preserve">De manera transversal, el Ministerio consolidó una práctica de ingeniería de software disciplinada. Esto incluyó la gestión centralizada del código fuente en repositorios corporativos (GitLab interno y Bitbucket) bajo el modelo Git Flow con ramas protegidas (develop, release, feature, hotfix). Además, se institucionalizó el versionamiento semántico con etiquetas de release y documentación técnica integrada (README, CHANGELOG, LICENSE), despliegues escalonados entre ambientes, trazabilidad de requerimientos mediante nomenclatura de historias de usuario (HU-XXX) </w:t>
      </w:r>
      <w:r w:rsidRPr="002905E0">
        <w:rPr>
          <w:rFonts w:ascii="Verdana" w:hAnsi="Verdana"/>
          <w:sz w:val="24"/>
          <w:szCs w:val="24"/>
        </w:rPr>
        <w:t xml:space="preserve">en los commits, y aseguramiento de la calidad del código mediante procesos de revisión por pares (pull/merge requests). </w:t>
      </w:r>
    </w:p>
    <w:p w:rsidRPr="002905E0" w:rsidR="002905E0" w:rsidP="005358E1" w:rsidRDefault="002905E0" w14:paraId="278C19F2" w14:textId="77777777">
      <w:pPr>
        <w:spacing w:after="0" w:line="360" w:lineRule="auto"/>
        <w:jc w:val="both"/>
        <w:rPr>
          <w:rFonts w:ascii="Verdana" w:hAnsi="Verdana"/>
          <w:sz w:val="24"/>
          <w:szCs w:val="24"/>
        </w:rPr>
      </w:pPr>
    </w:p>
    <w:p w:rsidRPr="002905E0" w:rsidR="002905E0" w:rsidP="005358E1" w:rsidRDefault="002905E0" w14:paraId="6844303F" w14:textId="199B33B3">
      <w:pPr>
        <w:spacing w:after="0" w:line="360" w:lineRule="auto"/>
        <w:jc w:val="both"/>
        <w:rPr>
          <w:rFonts w:ascii="Verdana" w:hAnsi="Verdana"/>
          <w:b/>
          <w:bCs/>
          <w:sz w:val="24"/>
          <w:szCs w:val="24"/>
        </w:rPr>
      </w:pPr>
      <w:r w:rsidRPr="002905E0">
        <w:rPr>
          <w:rFonts w:ascii="Verdana" w:hAnsi="Verdana"/>
          <w:sz w:val="24"/>
          <w:szCs w:val="24"/>
        </w:rPr>
        <w:t xml:space="preserve"> </w:t>
      </w:r>
      <w:r w:rsidRPr="002905E0">
        <w:rPr>
          <w:rFonts w:ascii="Verdana" w:hAnsi="Verdana"/>
          <w:b/>
          <w:bCs/>
          <w:sz w:val="24"/>
          <w:szCs w:val="24"/>
        </w:rPr>
        <w:t xml:space="preserve">Seguridad de la Información </w:t>
      </w:r>
    </w:p>
    <w:p w:rsidRPr="002905E0" w:rsidR="002905E0" w:rsidP="005358E1" w:rsidRDefault="002905E0" w14:paraId="1AFBC225" w14:textId="77777777">
      <w:pPr>
        <w:spacing w:after="0" w:line="360" w:lineRule="auto"/>
        <w:jc w:val="both"/>
        <w:rPr>
          <w:rFonts w:ascii="Verdana" w:hAnsi="Verdana"/>
          <w:sz w:val="24"/>
          <w:szCs w:val="24"/>
        </w:rPr>
      </w:pPr>
    </w:p>
    <w:p w:rsidRPr="002905E0" w:rsidR="002905E0" w:rsidP="005358E1" w:rsidRDefault="002905E0" w14:paraId="4753D670" w14:textId="77777777">
      <w:pPr>
        <w:spacing w:after="0" w:line="360" w:lineRule="auto"/>
        <w:jc w:val="both"/>
        <w:rPr>
          <w:rFonts w:ascii="Verdana" w:hAnsi="Verdana"/>
          <w:sz w:val="24"/>
          <w:szCs w:val="24"/>
        </w:rPr>
      </w:pPr>
      <w:r w:rsidRPr="002905E0">
        <w:rPr>
          <w:rFonts w:ascii="Verdana" w:hAnsi="Verdana"/>
          <w:sz w:val="24"/>
          <w:szCs w:val="24"/>
        </w:rPr>
        <w:t xml:space="preserve">La estrategia de seguridad se fortaleció tanto en la infraestructura de cara al usuario como en el ciclo de vida del desarrollo de software (DevSecOps). Para el control de acceso en los sistemas misionales modernos (SIGPAC v1.0.0 y FondoBecas v2.0), se implementó la autenticación corporativa contra el Directorio Activo (LDAP) y esquemas de control de acceso basado en roles (RBAC). Por su parte, en plataformas públicas como el Portal y el CMS de la iniciativa EITI, se ejecutaron tareas de mantenimiento correctivo enfocadas en la remediación definitiva de vulnerabilidades identificadas mediante análisis de seguridad. </w:t>
      </w:r>
    </w:p>
    <w:p w:rsidRPr="002905E0" w:rsidR="002905E0" w:rsidP="005358E1" w:rsidRDefault="002905E0" w14:paraId="76566E16" w14:textId="77777777">
      <w:pPr>
        <w:spacing w:after="0" w:line="360" w:lineRule="auto"/>
        <w:jc w:val="both"/>
        <w:rPr>
          <w:rFonts w:ascii="Verdana" w:hAnsi="Verdana"/>
          <w:sz w:val="24"/>
          <w:szCs w:val="24"/>
        </w:rPr>
      </w:pPr>
    </w:p>
    <w:p w:rsidRPr="002905E0" w:rsidR="002905E0" w:rsidP="005358E1" w:rsidRDefault="002905E0" w14:paraId="6CCA354E" w14:textId="77777777">
      <w:pPr>
        <w:spacing w:after="0" w:line="360" w:lineRule="auto"/>
        <w:jc w:val="both"/>
        <w:rPr>
          <w:rFonts w:ascii="Verdana" w:hAnsi="Verdana"/>
          <w:sz w:val="24"/>
          <w:szCs w:val="24"/>
        </w:rPr>
      </w:pPr>
      <w:r w:rsidRPr="002905E0">
        <w:rPr>
          <w:rFonts w:ascii="Verdana" w:hAnsi="Verdana"/>
          <w:sz w:val="24"/>
          <w:szCs w:val="24"/>
        </w:rPr>
        <w:t xml:space="preserve">A nivel interno de ingeniería, se aplicaron medidas rigurosas para proteger la confidencialidad de la infraestructura. Esto comprendió la separación estricta de credenciales utilizando variables de entorno diferenciadas por ambiente, la exclusión de artefactos de los entornos de desarrollo (IDE) y secretos del control de versiones (mediante ajustes en los archivos gitignore), la exigencia de autenticación corporativa para el acceso a los repositorios y la revisión sistemática de vulnerabilidades en las dependencias de código. </w:t>
      </w:r>
    </w:p>
    <w:p w:rsidRPr="002905E0" w:rsidR="002905E0" w:rsidP="005358E1" w:rsidRDefault="002905E0" w14:paraId="1810FD77" w14:textId="77777777">
      <w:pPr>
        <w:spacing w:after="0" w:line="360" w:lineRule="auto"/>
        <w:jc w:val="both"/>
        <w:rPr>
          <w:rFonts w:ascii="Verdana" w:hAnsi="Verdana"/>
          <w:b/>
          <w:bCs/>
          <w:sz w:val="24"/>
          <w:szCs w:val="24"/>
        </w:rPr>
      </w:pPr>
    </w:p>
    <w:p w:rsidRPr="002905E0" w:rsidR="002905E0" w:rsidP="005358E1" w:rsidRDefault="002905E0" w14:paraId="5ED87E25" w14:textId="77777777">
      <w:pPr>
        <w:spacing w:after="0" w:line="360" w:lineRule="auto"/>
        <w:jc w:val="both"/>
        <w:rPr>
          <w:rFonts w:ascii="Verdana" w:hAnsi="Verdana"/>
          <w:b/>
          <w:bCs/>
          <w:sz w:val="24"/>
          <w:szCs w:val="24"/>
        </w:rPr>
      </w:pPr>
      <w:r w:rsidRPr="002905E0">
        <w:rPr>
          <w:rFonts w:ascii="Verdana" w:hAnsi="Verdana"/>
          <w:b/>
          <w:bCs/>
          <w:sz w:val="24"/>
          <w:szCs w:val="24"/>
        </w:rPr>
        <w:t xml:space="preserve">Uso y Apropiación de TI </w:t>
      </w:r>
    </w:p>
    <w:p w:rsidRPr="002905E0" w:rsidR="002905E0" w:rsidP="005358E1" w:rsidRDefault="002905E0" w14:paraId="326C28F5" w14:textId="77777777">
      <w:pPr>
        <w:spacing w:after="0" w:line="360" w:lineRule="auto"/>
        <w:jc w:val="both"/>
        <w:rPr>
          <w:rFonts w:ascii="Verdana" w:hAnsi="Verdana"/>
          <w:sz w:val="24"/>
          <w:szCs w:val="24"/>
        </w:rPr>
      </w:pPr>
    </w:p>
    <w:p w:rsidRPr="002905E0" w:rsidR="002905E0" w:rsidP="005358E1" w:rsidRDefault="002905E0" w14:paraId="7A6C1ED5" w14:textId="77777777">
      <w:pPr>
        <w:spacing w:after="0" w:line="360" w:lineRule="auto"/>
        <w:jc w:val="both"/>
        <w:rPr>
          <w:rFonts w:ascii="Verdana" w:hAnsi="Verdana"/>
          <w:sz w:val="24"/>
          <w:szCs w:val="24"/>
        </w:rPr>
      </w:pPr>
      <w:r w:rsidRPr="002905E0">
        <w:rPr>
          <w:rFonts w:ascii="Verdana" w:hAnsi="Verdana"/>
          <w:sz w:val="24"/>
          <w:szCs w:val="24"/>
        </w:rPr>
        <w:t xml:space="preserve">Con el objetivo de maximizar la usabilidad, la accesibilidad y el cumplimiento de los lineamientos de calidad FUEM (Fiabilidad, Usabilidad, Estabilidad, Mantenibilidad), se optimizó significativamente la experiencia </w:t>
      </w:r>
      <w:r w:rsidRPr="002905E0">
        <w:rPr>
          <w:rFonts w:ascii="Verdana" w:hAnsi="Verdana"/>
          <w:sz w:val="24"/>
          <w:szCs w:val="24"/>
        </w:rPr>
        <w:t xml:space="preserve">e interacción de todos los grupos de valor (ciudadanía, operadores, comercializadores y aliados institucionales). </w:t>
      </w:r>
    </w:p>
    <w:p w:rsidRPr="002905E0" w:rsidR="002905E0" w:rsidP="005358E1" w:rsidRDefault="002905E0" w14:paraId="20E7DDCC" w14:textId="77777777">
      <w:pPr>
        <w:spacing w:after="0" w:line="360" w:lineRule="auto"/>
        <w:jc w:val="both"/>
        <w:rPr>
          <w:rFonts w:ascii="Verdana" w:hAnsi="Verdana"/>
          <w:sz w:val="24"/>
          <w:szCs w:val="24"/>
        </w:rPr>
      </w:pPr>
    </w:p>
    <w:p w:rsidRPr="002905E0" w:rsidR="002905E0" w:rsidP="005358E1" w:rsidRDefault="002905E0" w14:paraId="7A349DDE" w14:textId="77777777">
      <w:pPr>
        <w:spacing w:after="0" w:line="360" w:lineRule="auto"/>
        <w:jc w:val="both"/>
        <w:rPr>
          <w:rFonts w:ascii="Verdana" w:hAnsi="Verdana"/>
          <w:sz w:val="24"/>
          <w:szCs w:val="24"/>
        </w:rPr>
      </w:pPr>
      <w:r w:rsidRPr="002905E0">
        <w:rPr>
          <w:rFonts w:ascii="Verdana" w:hAnsi="Verdana"/>
          <w:sz w:val="24"/>
          <w:szCs w:val="24"/>
        </w:rPr>
        <w:t xml:space="preserve">En el ámbito de las operaciones sectoriales, la versión 3.0 de SISEG reestructuró por completo su menú y su matriz de perfiles, incorporando seis nuevos roles con permisos diferenciados (Líderes, Validadores y Operadores), además de implementar nuevas validaciones para el cargue de los formatos F1 a F8 que facilitan el proceso de conciliación. Por otro lado, la plataforma SIGPAC automatizó la gestión administrativa de los deudores a través de 13 estados de proceso, incluyendo notificaciones con bitácora de auditoría, registro de acuerdos de pago, un planificador automático de plazos para medidas cautelares y la generación ágil de reportes institucionales en PDF y Excel. Finalmente, el nuevo sistema FondoBecas v2.0 centralizó todo el ciclo del beneficio educativo, dotando a la Subdirección de Talento Humano con paneles de indicadores y gráficas para un seguimiento y toma de decisiones más intuitivo. </w:t>
      </w:r>
    </w:p>
    <w:p w:rsidRPr="002905E0" w:rsidR="002905E0" w:rsidP="005358E1" w:rsidRDefault="002905E0" w14:paraId="7710DDA2" w14:textId="77777777">
      <w:pPr>
        <w:spacing w:after="0" w:line="360" w:lineRule="auto"/>
        <w:jc w:val="both"/>
        <w:rPr>
          <w:rFonts w:ascii="Verdana" w:hAnsi="Verdana"/>
          <w:b/>
          <w:bCs/>
          <w:sz w:val="24"/>
          <w:szCs w:val="24"/>
        </w:rPr>
      </w:pPr>
    </w:p>
    <w:p w:rsidRPr="002905E0" w:rsidR="002905E0" w:rsidP="005358E1" w:rsidRDefault="002905E0" w14:paraId="5D138437" w14:textId="77777777">
      <w:pPr>
        <w:spacing w:after="0" w:line="360" w:lineRule="auto"/>
        <w:jc w:val="both"/>
        <w:rPr>
          <w:rFonts w:ascii="Verdana" w:hAnsi="Verdana"/>
          <w:b/>
          <w:bCs/>
          <w:sz w:val="24"/>
          <w:szCs w:val="24"/>
        </w:rPr>
      </w:pPr>
      <w:r w:rsidRPr="002905E0">
        <w:rPr>
          <w:rFonts w:ascii="Verdana" w:hAnsi="Verdana"/>
          <w:b/>
          <w:bCs/>
          <w:sz w:val="24"/>
          <w:szCs w:val="24"/>
        </w:rPr>
        <w:t xml:space="preserve">Servicios Ciudadanos Digitales </w:t>
      </w:r>
    </w:p>
    <w:p w:rsidRPr="002905E0" w:rsidR="002905E0" w:rsidP="005358E1" w:rsidRDefault="002905E0" w14:paraId="50C40F44" w14:textId="77777777">
      <w:pPr>
        <w:spacing w:after="0" w:line="360" w:lineRule="auto"/>
        <w:jc w:val="both"/>
        <w:rPr>
          <w:rFonts w:ascii="Verdana" w:hAnsi="Verdana"/>
          <w:sz w:val="24"/>
          <w:szCs w:val="24"/>
        </w:rPr>
      </w:pPr>
    </w:p>
    <w:p w:rsidRPr="002905E0" w:rsidR="002905E0" w:rsidP="005358E1" w:rsidRDefault="002905E0" w14:paraId="0C8A8304" w14:textId="77777777">
      <w:pPr>
        <w:spacing w:after="0" w:line="360" w:lineRule="auto"/>
        <w:jc w:val="both"/>
        <w:rPr>
          <w:rFonts w:ascii="Verdana" w:hAnsi="Verdana"/>
          <w:sz w:val="24"/>
          <w:szCs w:val="24"/>
        </w:rPr>
      </w:pPr>
      <w:r w:rsidRPr="002905E0">
        <w:rPr>
          <w:rFonts w:ascii="Verdana" w:hAnsi="Verdana"/>
          <w:sz w:val="24"/>
          <w:szCs w:val="24"/>
        </w:rPr>
        <w:t xml:space="preserve">Para garantizar una interacción transparente y ágil entre el Estado y el ciudadano, el Ministerio amplió su portafolio de servicios digitales. Se logró la digitalización y automatización de trámites prioritarios para el sector, específicamente la Declaratoria de Utilidad Pública de Interés Social (DUPIS) y la Exploración de Recurso Geotérmico. </w:t>
      </w:r>
    </w:p>
    <w:p w:rsidRPr="002905E0" w:rsidR="002905E0" w:rsidP="005358E1" w:rsidRDefault="002905E0" w14:paraId="38D0E5BA" w14:textId="77777777">
      <w:pPr>
        <w:spacing w:after="0" w:line="360" w:lineRule="auto"/>
        <w:jc w:val="both"/>
        <w:rPr>
          <w:rFonts w:ascii="Verdana" w:hAnsi="Verdana"/>
          <w:sz w:val="24"/>
          <w:szCs w:val="24"/>
        </w:rPr>
      </w:pPr>
    </w:p>
    <w:p w:rsidRPr="002905E0" w:rsidR="002905E0" w:rsidP="005358E1" w:rsidRDefault="002905E0" w14:paraId="4109F007" w14:textId="77777777">
      <w:pPr>
        <w:spacing w:after="0" w:line="360" w:lineRule="auto"/>
        <w:jc w:val="both"/>
        <w:rPr>
          <w:rFonts w:ascii="Verdana" w:hAnsi="Verdana"/>
          <w:sz w:val="24"/>
          <w:szCs w:val="24"/>
        </w:rPr>
      </w:pPr>
      <w:r w:rsidRPr="002905E0">
        <w:rPr>
          <w:rFonts w:ascii="Verdana" w:hAnsi="Verdana"/>
          <w:sz w:val="24"/>
          <w:szCs w:val="24"/>
        </w:rPr>
        <w:t xml:space="preserve">Adicionalmente, se consolidaron canales enfocados en la rendición de cuentas y la participación, tales como el Buzón de Integridad y la aplicación móvil "Energía del Cambio" (orientada a facturación y transición energética), la cual completó su migración al repositorio institucional para continuar su estabilización. Un avance crítico fue el despliegue del módulo </w:t>
      </w:r>
      <w:r w:rsidRPr="002905E0">
        <w:rPr>
          <w:rFonts w:ascii="Verdana" w:hAnsi="Verdana"/>
          <w:sz w:val="24"/>
          <w:szCs w:val="24"/>
        </w:rPr>
        <w:t xml:space="preserve">de reportes EITI (sobre Next.js), el cual incorporó plantillas oficiales por entidad reportante y un procesador (parser) dual capaz de procesar de manera simultánea las versiones v1 y v2 del estándar internacional, lo que garantizó una transición transparente y sin interrupciones operativas para los usuarios reportantes, complementado con un nuevo formulario web de cargue de informes. </w:t>
      </w:r>
    </w:p>
    <w:p w:rsidRPr="002905E0" w:rsidR="002905E0" w:rsidP="005358E1" w:rsidRDefault="002905E0" w14:paraId="354A261E" w14:textId="77777777">
      <w:pPr>
        <w:spacing w:after="0" w:line="360" w:lineRule="auto"/>
        <w:jc w:val="both"/>
        <w:rPr>
          <w:rFonts w:ascii="Verdana" w:hAnsi="Verdana"/>
          <w:sz w:val="24"/>
          <w:szCs w:val="24"/>
        </w:rPr>
      </w:pPr>
    </w:p>
    <w:p w:rsidRPr="002905E0" w:rsidR="002905E0" w:rsidP="005358E1" w:rsidRDefault="002905E0" w14:paraId="017C062D" w14:textId="68731715">
      <w:pPr>
        <w:spacing w:after="0" w:line="360" w:lineRule="auto"/>
        <w:jc w:val="both"/>
        <w:rPr>
          <w:rFonts w:ascii="Verdana" w:hAnsi="Verdana"/>
          <w:b/>
          <w:bCs/>
          <w:sz w:val="24"/>
          <w:szCs w:val="24"/>
        </w:rPr>
      </w:pPr>
      <w:r w:rsidRPr="002905E0">
        <w:rPr>
          <w:rFonts w:ascii="Verdana" w:hAnsi="Verdana"/>
          <w:sz w:val="24"/>
          <w:szCs w:val="24"/>
        </w:rPr>
        <w:t xml:space="preserve"> </w:t>
      </w:r>
      <w:r w:rsidRPr="002905E0">
        <w:rPr>
          <w:rFonts w:ascii="Verdana" w:hAnsi="Verdana"/>
          <w:b/>
          <w:bCs/>
          <w:sz w:val="24"/>
          <w:szCs w:val="24"/>
        </w:rPr>
        <w:t xml:space="preserve">Gestión y Gobierno de Datos </w:t>
      </w:r>
    </w:p>
    <w:p w:rsidRPr="002905E0" w:rsidR="002905E0" w:rsidP="005358E1" w:rsidRDefault="002905E0" w14:paraId="0E058E25" w14:textId="77777777">
      <w:pPr>
        <w:spacing w:after="0" w:line="360" w:lineRule="auto"/>
        <w:jc w:val="both"/>
        <w:rPr>
          <w:rFonts w:ascii="Verdana" w:hAnsi="Verdana"/>
          <w:sz w:val="24"/>
          <w:szCs w:val="24"/>
        </w:rPr>
      </w:pPr>
    </w:p>
    <w:p w:rsidRPr="002905E0" w:rsidR="002905E0" w:rsidP="005358E1" w:rsidRDefault="002905E0" w14:paraId="062AD1DA" w14:textId="77777777">
      <w:pPr>
        <w:spacing w:after="0" w:line="360" w:lineRule="auto"/>
        <w:jc w:val="both"/>
        <w:rPr>
          <w:rFonts w:ascii="Verdana" w:hAnsi="Verdana"/>
          <w:sz w:val="24"/>
          <w:szCs w:val="24"/>
        </w:rPr>
      </w:pPr>
      <w:r w:rsidRPr="002905E0">
        <w:rPr>
          <w:rFonts w:ascii="Verdana" w:hAnsi="Verdana"/>
          <w:sz w:val="24"/>
          <w:szCs w:val="24"/>
        </w:rPr>
        <w:t xml:space="preserve">La estrategia de aprovechamiento de los datos del sector minero-energético se consolidó a través del fortalecimiento de las plataformas misionales orientadas a la transparencia y la analítica. El Ministerio mantuvo y potenció la plataforma Intégrame como herramienta principal para la disposición de datos estadísticos sectoriales, así como el micrositio IDE-ME para la consulta especializada de datos geoespaciales. </w:t>
      </w:r>
    </w:p>
    <w:p w:rsidRPr="002905E0" w:rsidR="002905E0" w:rsidP="005358E1" w:rsidRDefault="002905E0" w14:paraId="33C13DD9" w14:textId="77777777">
      <w:pPr>
        <w:spacing w:after="0" w:line="360" w:lineRule="auto"/>
        <w:jc w:val="both"/>
        <w:rPr>
          <w:rFonts w:ascii="Verdana" w:hAnsi="Verdana"/>
          <w:sz w:val="24"/>
          <w:szCs w:val="24"/>
        </w:rPr>
      </w:pPr>
    </w:p>
    <w:p w:rsidR="002905E0" w:rsidP="005358E1" w:rsidRDefault="002905E0" w14:paraId="29E90CA7" w14:textId="176E7F05">
      <w:pPr>
        <w:spacing w:after="0" w:line="360" w:lineRule="auto"/>
        <w:jc w:val="both"/>
        <w:rPr>
          <w:rFonts w:ascii="Verdana" w:hAnsi="Verdana"/>
          <w:sz w:val="24"/>
          <w:szCs w:val="24"/>
        </w:rPr>
      </w:pPr>
      <w:r w:rsidRPr="002905E0">
        <w:rPr>
          <w:rFonts w:ascii="Verdana" w:hAnsi="Verdana"/>
          <w:sz w:val="24"/>
          <w:szCs w:val="24"/>
        </w:rPr>
        <w:t>La puesta en marcha de estas soluciones, sumadas a los desarrollos en EITI y los sistemas de información misionales reconstruidos, permitieron al Ministerio sustituir tecnologías obsoletas y reducir la deuda técnica, dejando a disposición de todos los actores del sector un ecosistema digital de alta confianza, interoperable y plenamente alineado con los estándares de apertura de la información del Estado colombiano.</w:t>
      </w:r>
    </w:p>
    <w:p w:rsidRPr="00C140A0" w:rsidR="7371D108" w:rsidP="005358E1" w:rsidRDefault="7371D108" w14:paraId="5D342AD5" w14:textId="77777777">
      <w:pPr>
        <w:pStyle w:val="Prrafodelista"/>
        <w:spacing w:after="0" w:line="360" w:lineRule="auto"/>
        <w:ind w:left="0"/>
        <w:rPr>
          <w:rFonts w:ascii="Verdana" w:hAnsi="Verdana"/>
          <w:b/>
          <w:bCs/>
          <w:sz w:val="24"/>
          <w:szCs w:val="24"/>
        </w:rPr>
      </w:pPr>
    </w:p>
    <w:p w:rsidRPr="00017216" w:rsidR="003C4398" w:rsidRDefault="3159F30A" w14:paraId="355C1289" w14:textId="77777777">
      <w:pPr>
        <w:pStyle w:val="Prrafodelista"/>
        <w:numPr>
          <w:ilvl w:val="1"/>
          <w:numId w:val="42"/>
        </w:numPr>
        <w:spacing w:after="0" w:line="360" w:lineRule="auto"/>
        <w:outlineLvl w:val="1"/>
        <w:rPr>
          <w:rFonts w:ascii="Verdana" w:hAnsi="Verdana"/>
          <w:b/>
          <w:bCs/>
          <w:sz w:val="24"/>
          <w:szCs w:val="24"/>
        </w:rPr>
      </w:pPr>
      <w:bookmarkStart w:name="_Toc233996752" w:id="35"/>
      <w:r w:rsidRPr="0FF05B1B">
        <w:rPr>
          <w:rFonts w:ascii="Verdana" w:hAnsi="Verdana"/>
          <w:b/>
          <w:bCs/>
          <w:sz w:val="24"/>
          <w:szCs w:val="24"/>
        </w:rPr>
        <w:t>Avances Gobierno Digital</w:t>
      </w:r>
      <w:bookmarkEnd w:id="35"/>
    </w:p>
    <w:p w:rsidR="00C04ED5" w:rsidP="005358E1" w:rsidRDefault="00C04ED5" w14:paraId="283FDBE0" w14:textId="77777777">
      <w:pPr>
        <w:spacing w:after="0" w:line="360" w:lineRule="auto"/>
        <w:rPr>
          <w:rFonts w:ascii="Verdana" w:hAnsi="Verdana"/>
          <w:b/>
          <w:bCs/>
          <w:sz w:val="24"/>
          <w:szCs w:val="24"/>
          <w:highlight w:val="yellow"/>
        </w:rPr>
      </w:pPr>
    </w:p>
    <w:p w:rsidRPr="002905E0" w:rsidR="002905E0" w:rsidP="005358E1" w:rsidRDefault="002905E0" w14:paraId="1E27A6F4" w14:textId="77777777">
      <w:pPr>
        <w:spacing w:after="0" w:line="360" w:lineRule="auto"/>
        <w:jc w:val="both"/>
        <w:rPr>
          <w:rFonts w:ascii="Verdana" w:hAnsi="Verdana"/>
          <w:sz w:val="24"/>
          <w:szCs w:val="24"/>
        </w:rPr>
      </w:pPr>
      <w:r w:rsidRPr="002905E0">
        <w:rPr>
          <w:rFonts w:ascii="Verdana" w:hAnsi="Verdana"/>
          <w:sz w:val="24"/>
          <w:szCs w:val="24"/>
        </w:rPr>
        <w:t xml:space="preserve">Este capítulo presenta los avances institucionales en la implementación de los lineamientos establecidos dentro de la Política de Gobierno Digital, que tiene como objetivo principal promover el uso y aprovechamiento de las Tecnologías de la Información y las Comunicaciones (TIC), su propósito es consolidar un Estado y ciudadanos competitivos, proactivos </w:t>
      </w:r>
      <w:r w:rsidRPr="002905E0">
        <w:rPr>
          <w:rFonts w:ascii="Verdana" w:hAnsi="Verdana"/>
          <w:sz w:val="24"/>
          <w:szCs w:val="24"/>
        </w:rPr>
        <w:t xml:space="preserve">e innovadores que generen valor público y confianza en un entorno digital, los avances para el fortalecimiento de la política se consolidan en cada uno de los habilitadores de la misma.  </w:t>
      </w:r>
    </w:p>
    <w:p w:rsidRPr="002905E0" w:rsidR="002905E0" w:rsidP="005358E1" w:rsidRDefault="002905E0" w14:paraId="723CB315" w14:textId="77777777">
      <w:pPr>
        <w:spacing w:after="0" w:line="360" w:lineRule="auto"/>
        <w:jc w:val="both"/>
        <w:rPr>
          <w:rFonts w:ascii="Verdana" w:hAnsi="Verdana"/>
          <w:sz w:val="24"/>
          <w:szCs w:val="24"/>
        </w:rPr>
      </w:pPr>
    </w:p>
    <w:p w:rsidRPr="002905E0" w:rsidR="002905E0" w:rsidRDefault="002905E0" w14:paraId="1DAF21AB" w14:textId="6B685694">
      <w:pPr>
        <w:pStyle w:val="Prrafodelista"/>
        <w:numPr>
          <w:ilvl w:val="2"/>
          <w:numId w:val="42"/>
        </w:numPr>
        <w:spacing w:after="0" w:line="360" w:lineRule="auto"/>
        <w:jc w:val="both"/>
        <w:rPr>
          <w:rFonts w:ascii="Verdana" w:hAnsi="Verdana"/>
          <w:b/>
          <w:bCs/>
          <w:sz w:val="24"/>
          <w:szCs w:val="24"/>
        </w:rPr>
      </w:pPr>
      <w:r w:rsidRPr="002905E0">
        <w:rPr>
          <w:rFonts w:ascii="Verdana" w:hAnsi="Verdana"/>
          <w:b/>
          <w:bCs/>
          <w:sz w:val="24"/>
          <w:szCs w:val="24"/>
        </w:rPr>
        <w:t xml:space="preserve">Período 2022 </w:t>
      </w:r>
    </w:p>
    <w:p w:rsidRPr="002905E0" w:rsidR="002905E0" w:rsidP="005358E1" w:rsidRDefault="002905E0" w14:paraId="62AB6C78" w14:textId="77777777">
      <w:pPr>
        <w:spacing w:after="0" w:line="360" w:lineRule="auto"/>
        <w:jc w:val="both"/>
        <w:rPr>
          <w:rFonts w:ascii="Verdana" w:hAnsi="Verdana"/>
          <w:sz w:val="24"/>
          <w:szCs w:val="24"/>
        </w:rPr>
      </w:pPr>
    </w:p>
    <w:p w:rsidRPr="002905E0" w:rsidR="002905E0" w:rsidP="005358E1" w:rsidRDefault="002905E0" w14:paraId="7F7CE204" w14:textId="2A847B23">
      <w:pPr>
        <w:spacing w:after="0" w:line="360" w:lineRule="auto"/>
        <w:jc w:val="both"/>
        <w:rPr>
          <w:rFonts w:ascii="Verdana" w:hAnsi="Verdana"/>
          <w:b/>
          <w:bCs/>
          <w:sz w:val="24"/>
          <w:szCs w:val="24"/>
        </w:rPr>
      </w:pPr>
      <w:r w:rsidRPr="002905E0">
        <w:rPr>
          <w:rFonts w:ascii="Verdana" w:hAnsi="Verdana"/>
          <w:sz w:val="24"/>
          <w:szCs w:val="24"/>
        </w:rPr>
        <w:t xml:space="preserve"> </w:t>
      </w:r>
      <w:r w:rsidRPr="002905E0">
        <w:rPr>
          <w:rFonts w:ascii="Verdana" w:hAnsi="Verdana"/>
          <w:b/>
          <w:bCs/>
          <w:sz w:val="24"/>
          <w:szCs w:val="24"/>
        </w:rPr>
        <w:t xml:space="preserve">Marco de Referencia de Arquitectura Empresarial </w:t>
      </w:r>
    </w:p>
    <w:p w:rsidRPr="002905E0" w:rsidR="002905E0" w:rsidP="005358E1" w:rsidRDefault="002905E0" w14:paraId="74F79FDF" w14:textId="77777777">
      <w:pPr>
        <w:spacing w:after="0" w:line="360" w:lineRule="auto"/>
        <w:jc w:val="both"/>
        <w:rPr>
          <w:rFonts w:ascii="Verdana" w:hAnsi="Verdana"/>
          <w:sz w:val="24"/>
          <w:szCs w:val="24"/>
        </w:rPr>
      </w:pPr>
    </w:p>
    <w:p w:rsidRPr="002905E0" w:rsidR="002905E0" w:rsidP="005358E1" w:rsidRDefault="002905E0" w14:paraId="5ABD27EB" w14:textId="77777777">
      <w:pPr>
        <w:spacing w:after="0" w:line="360" w:lineRule="auto"/>
        <w:jc w:val="both"/>
        <w:rPr>
          <w:rFonts w:ascii="Verdana" w:hAnsi="Verdana"/>
          <w:sz w:val="24"/>
          <w:szCs w:val="24"/>
        </w:rPr>
      </w:pPr>
      <w:r w:rsidRPr="002905E0">
        <w:rPr>
          <w:rFonts w:ascii="Verdana" w:hAnsi="Verdana"/>
          <w:sz w:val="24"/>
          <w:szCs w:val="24"/>
        </w:rPr>
        <w:t xml:space="preserve">Se fortaleció el Modelo de Gobierno de TI conforme a los lineamientos del MinTIC y se dio continuidad a la implementación de la Resolución 40199 de 2021, adoptando el gobierno de TI como dominio principal de la arquitectura empresarial sectorial. A nivel de planeación, el PETI 2020-2023 alcanzó un 71% de ejecución, mientras que se formularon el PETI 2023-2026 (orientado al desarrollo de aplicaciones bajo estándares FUEM: fiabilidad, usabilidad, estabilidad, mantenibilidad) y el PETI 2024-2027 (estructurado a partir del levantamiento de 148 necesidades de TI transversales). A nivel operativo, las capacidades del Grupo de Infraestructura Tecnológica se consolidaron con la administración de 16 servidores físicos y 316 servidores virtuales bajo plataforma VMWare (Windows, Linux, SQL Server) sobre nodos de hiperconvergencia. </w:t>
      </w:r>
    </w:p>
    <w:p w:rsidRPr="002905E0" w:rsidR="002905E0" w:rsidP="005358E1" w:rsidRDefault="002905E0" w14:paraId="25B15098" w14:textId="77777777">
      <w:pPr>
        <w:spacing w:after="0" w:line="360" w:lineRule="auto"/>
        <w:jc w:val="both"/>
        <w:rPr>
          <w:rFonts w:ascii="Verdana" w:hAnsi="Verdana"/>
          <w:sz w:val="24"/>
          <w:szCs w:val="24"/>
        </w:rPr>
      </w:pPr>
    </w:p>
    <w:p w:rsidRPr="002905E0" w:rsidR="002905E0" w:rsidP="005358E1" w:rsidRDefault="002905E0" w14:paraId="1E6D921D" w14:textId="77777777">
      <w:pPr>
        <w:spacing w:after="0" w:line="360" w:lineRule="auto"/>
        <w:jc w:val="both"/>
        <w:rPr>
          <w:rFonts w:ascii="Verdana" w:hAnsi="Verdana"/>
          <w:b/>
          <w:bCs/>
          <w:sz w:val="24"/>
          <w:szCs w:val="24"/>
        </w:rPr>
      </w:pPr>
      <w:r w:rsidRPr="002905E0">
        <w:rPr>
          <w:rFonts w:ascii="Verdana" w:hAnsi="Verdana"/>
          <w:b/>
          <w:bCs/>
          <w:sz w:val="24"/>
          <w:szCs w:val="24"/>
        </w:rPr>
        <w:t xml:space="preserve">Seguridad de la Información </w:t>
      </w:r>
    </w:p>
    <w:p w:rsidRPr="002905E0" w:rsidR="002905E0" w:rsidP="005358E1" w:rsidRDefault="002905E0" w14:paraId="6C8B3388" w14:textId="77777777">
      <w:pPr>
        <w:spacing w:after="0" w:line="360" w:lineRule="auto"/>
        <w:jc w:val="both"/>
        <w:rPr>
          <w:rFonts w:ascii="Verdana" w:hAnsi="Verdana"/>
          <w:sz w:val="24"/>
          <w:szCs w:val="24"/>
        </w:rPr>
      </w:pPr>
    </w:p>
    <w:p w:rsidRPr="002905E0" w:rsidR="002905E0" w:rsidP="005358E1" w:rsidRDefault="002905E0" w14:paraId="3344CFCF" w14:textId="77777777">
      <w:pPr>
        <w:spacing w:after="0" w:line="360" w:lineRule="auto"/>
        <w:jc w:val="both"/>
        <w:rPr>
          <w:rFonts w:ascii="Verdana" w:hAnsi="Verdana"/>
          <w:sz w:val="24"/>
          <w:szCs w:val="24"/>
        </w:rPr>
      </w:pPr>
      <w:r w:rsidRPr="002905E0">
        <w:rPr>
          <w:rFonts w:ascii="Verdana" w:hAnsi="Verdana"/>
          <w:sz w:val="24"/>
          <w:szCs w:val="24"/>
        </w:rPr>
        <w:t xml:space="preserve">En el marco de la Política de Gobierno Digital, los esfuerzos se enfocaron en garantizar la continuidad de la operación y la prestación de servicios digitales de confianza. Para este fin, se ejecutó la estrategia del Plan de Recuperación de Desastres y Centro de Datos Alterno (DRP/DCA): se materializó la primera fase mediante la adquisición de una solución de hiperconvergencia (compuesta por 3 nodos y 2 switches fabric); se adelantó la contratación e implementación de la segunda fase durante la </w:t>
      </w:r>
      <w:r w:rsidRPr="002905E0">
        <w:rPr>
          <w:rFonts w:ascii="Verdana" w:hAnsi="Verdana"/>
          <w:sz w:val="24"/>
          <w:szCs w:val="24"/>
        </w:rPr>
        <w:t xml:space="preserve">vigencia 2022; y se estructuró la ejecución de la tercera fase para 2023, orientada al aumento de capacidades en nodos de hiperconvergencia y licenciamiento. </w:t>
      </w:r>
    </w:p>
    <w:p w:rsidRPr="002905E0" w:rsidR="002905E0" w:rsidP="005358E1" w:rsidRDefault="002905E0" w14:paraId="71E50526" w14:textId="77777777">
      <w:pPr>
        <w:spacing w:after="0" w:line="360" w:lineRule="auto"/>
        <w:jc w:val="both"/>
        <w:rPr>
          <w:rFonts w:ascii="Verdana" w:hAnsi="Verdana"/>
          <w:sz w:val="24"/>
          <w:szCs w:val="24"/>
        </w:rPr>
      </w:pPr>
    </w:p>
    <w:p w:rsidRPr="002905E0" w:rsidR="002905E0" w:rsidP="005358E1" w:rsidRDefault="002905E0" w14:paraId="7A03718C" w14:textId="77777777">
      <w:pPr>
        <w:spacing w:after="0" w:line="360" w:lineRule="auto"/>
        <w:jc w:val="both"/>
        <w:rPr>
          <w:rFonts w:ascii="Verdana" w:hAnsi="Verdana"/>
          <w:b/>
          <w:bCs/>
          <w:sz w:val="24"/>
          <w:szCs w:val="24"/>
        </w:rPr>
      </w:pPr>
      <w:r w:rsidRPr="002905E0">
        <w:rPr>
          <w:rFonts w:ascii="Verdana" w:hAnsi="Verdana"/>
          <w:b/>
          <w:bCs/>
          <w:sz w:val="24"/>
          <w:szCs w:val="24"/>
        </w:rPr>
        <w:t xml:space="preserve">Uso y Apropiación de TI </w:t>
      </w:r>
    </w:p>
    <w:p w:rsidRPr="002905E0" w:rsidR="002905E0" w:rsidP="005358E1" w:rsidRDefault="002905E0" w14:paraId="7127F3AE" w14:textId="77777777">
      <w:pPr>
        <w:spacing w:after="0" w:line="360" w:lineRule="auto"/>
        <w:jc w:val="both"/>
        <w:rPr>
          <w:rFonts w:ascii="Verdana" w:hAnsi="Verdana"/>
          <w:sz w:val="24"/>
          <w:szCs w:val="24"/>
        </w:rPr>
      </w:pPr>
    </w:p>
    <w:p w:rsidRPr="002905E0" w:rsidR="002905E0" w:rsidP="005358E1" w:rsidRDefault="002905E0" w14:paraId="24BC42BD" w14:textId="77777777">
      <w:pPr>
        <w:spacing w:after="0" w:line="360" w:lineRule="auto"/>
        <w:jc w:val="both"/>
        <w:rPr>
          <w:rFonts w:ascii="Verdana" w:hAnsi="Verdana"/>
          <w:sz w:val="24"/>
          <w:szCs w:val="24"/>
        </w:rPr>
      </w:pPr>
      <w:r w:rsidRPr="002905E0">
        <w:rPr>
          <w:rFonts w:ascii="Verdana" w:hAnsi="Verdana"/>
          <w:sz w:val="24"/>
          <w:szCs w:val="24"/>
        </w:rPr>
        <w:t xml:space="preserve">Las estrategias de adopción de tecnologías se enfocaron en el fortalecimiento de las capacidades operativas del talento humano. Se desarrollaron herramientas analíticas (tableros BI) para el seguimiento interno del uso y apropiación de aplicaciones colaborativas, así como para el reporte de actividades presenciales y de alternancia. Complementariamente, como respuesta a las necesidades de trabajo remoto originadas por la pandemia, la entidad gestionó el despliegue y reintegro paulatino de equipos de escritorio para servidores públicos y contratistas, manteniendo en operación 65 equipos en casa al cierre del periodo reportado para apoyar las labores institucionales. </w:t>
      </w:r>
    </w:p>
    <w:p w:rsidRPr="002905E0" w:rsidR="002905E0" w:rsidP="005358E1" w:rsidRDefault="002905E0" w14:paraId="65590F1F" w14:textId="77777777">
      <w:pPr>
        <w:spacing w:after="0" w:line="360" w:lineRule="auto"/>
        <w:jc w:val="both"/>
        <w:rPr>
          <w:rFonts w:ascii="Verdana" w:hAnsi="Verdana"/>
          <w:sz w:val="24"/>
          <w:szCs w:val="24"/>
        </w:rPr>
      </w:pPr>
    </w:p>
    <w:p w:rsidRPr="002905E0" w:rsidR="002905E0" w:rsidP="005358E1" w:rsidRDefault="002905E0" w14:paraId="24A5F686" w14:textId="77777777">
      <w:pPr>
        <w:spacing w:after="0" w:line="360" w:lineRule="auto"/>
        <w:jc w:val="both"/>
        <w:rPr>
          <w:rFonts w:ascii="Verdana" w:hAnsi="Verdana"/>
          <w:b/>
          <w:bCs/>
          <w:sz w:val="24"/>
          <w:szCs w:val="24"/>
        </w:rPr>
      </w:pPr>
      <w:r w:rsidRPr="002905E0">
        <w:rPr>
          <w:rFonts w:ascii="Verdana" w:hAnsi="Verdana"/>
          <w:b/>
          <w:bCs/>
          <w:sz w:val="24"/>
          <w:szCs w:val="24"/>
        </w:rPr>
        <w:t xml:space="preserve">Servicios Ciudadanos Digitales </w:t>
      </w:r>
    </w:p>
    <w:p w:rsidRPr="002905E0" w:rsidR="002905E0" w:rsidP="005358E1" w:rsidRDefault="002905E0" w14:paraId="0DEF397E" w14:textId="77777777">
      <w:pPr>
        <w:spacing w:after="0" w:line="360" w:lineRule="auto"/>
        <w:jc w:val="both"/>
        <w:rPr>
          <w:rFonts w:ascii="Verdana" w:hAnsi="Verdana"/>
          <w:sz w:val="24"/>
          <w:szCs w:val="24"/>
        </w:rPr>
      </w:pPr>
    </w:p>
    <w:p w:rsidRPr="002905E0" w:rsidR="002905E0" w:rsidP="005358E1" w:rsidRDefault="002905E0" w14:paraId="2D7D3CD7" w14:textId="77777777">
      <w:pPr>
        <w:spacing w:after="0" w:line="360" w:lineRule="auto"/>
        <w:jc w:val="both"/>
        <w:rPr>
          <w:rFonts w:ascii="Verdana" w:hAnsi="Verdana"/>
          <w:sz w:val="24"/>
          <w:szCs w:val="24"/>
        </w:rPr>
      </w:pPr>
      <w:r w:rsidRPr="002905E0">
        <w:rPr>
          <w:rFonts w:ascii="Verdana" w:hAnsi="Verdana"/>
          <w:sz w:val="24"/>
          <w:szCs w:val="24"/>
        </w:rPr>
        <w:t xml:space="preserve">Con el objetivo de mejorar la transparencia y la oferta de servicios a los grupos de interés externos, se dispusieron tableros de información de acceso público a través del portal web de la entidad. El principal desarrollo en esta categoría durante la vigencia 2022-2023 es el tablero de "informe territorial", el cual permite a la ciudadanía consultar datos a nivel departamental y municipal sobre el índice de cobertura de energía eléctrica, proyectos de energía renovable, recursos de inversión de regalías, proyectos de electrificación rural y el seguimiento a los compromisos derivados de paros sociales. </w:t>
      </w:r>
    </w:p>
    <w:p w:rsidRPr="002905E0" w:rsidR="002905E0" w:rsidP="005358E1" w:rsidRDefault="002905E0" w14:paraId="3893C212" w14:textId="77777777">
      <w:pPr>
        <w:spacing w:after="0" w:line="360" w:lineRule="auto"/>
        <w:jc w:val="both"/>
        <w:rPr>
          <w:rFonts w:ascii="Verdana" w:hAnsi="Verdana"/>
          <w:sz w:val="24"/>
          <w:szCs w:val="24"/>
        </w:rPr>
      </w:pPr>
    </w:p>
    <w:p w:rsidRPr="002905E0" w:rsidR="002905E0" w:rsidP="005358E1" w:rsidRDefault="002905E0" w14:paraId="17890EB3" w14:textId="77777777">
      <w:pPr>
        <w:spacing w:after="0" w:line="360" w:lineRule="auto"/>
        <w:jc w:val="both"/>
        <w:rPr>
          <w:rFonts w:ascii="Verdana" w:hAnsi="Verdana"/>
          <w:b/>
          <w:bCs/>
          <w:sz w:val="24"/>
          <w:szCs w:val="24"/>
        </w:rPr>
      </w:pPr>
      <w:r w:rsidRPr="002905E0">
        <w:rPr>
          <w:rFonts w:ascii="Verdana" w:hAnsi="Verdana"/>
          <w:b/>
          <w:bCs/>
          <w:sz w:val="24"/>
          <w:szCs w:val="24"/>
        </w:rPr>
        <w:t xml:space="preserve">Gestión y Gobierno de Datos </w:t>
      </w:r>
    </w:p>
    <w:p w:rsidRPr="002905E0" w:rsidR="002905E0" w:rsidP="005358E1" w:rsidRDefault="002905E0" w14:paraId="00059A8F" w14:textId="77777777">
      <w:pPr>
        <w:spacing w:after="0" w:line="360" w:lineRule="auto"/>
        <w:jc w:val="both"/>
        <w:rPr>
          <w:rFonts w:ascii="Verdana" w:hAnsi="Verdana"/>
          <w:sz w:val="24"/>
          <w:szCs w:val="24"/>
        </w:rPr>
      </w:pPr>
    </w:p>
    <w:p w:rsidRPr="002905E0" w:rsidR="002905E0" w:rsidP="005358E1" w:rsidRDefault="002905E0" w14:paraId="720715E5" w14:textId="77777777">
      <w:pPr>
        <w:spacing w:after="0" w:line="360" w:lineRule="auto"/>
        <w:jc w:val="both"/>
        <w:rPr>
          <w:rFonts w:ascii="Verdana" w:hAnsi="Verdana"/>
          <w:sz w:val="24"/>
          <w:szCs w:val="24"/>
        </w:rPr>
      </w:pPr>
      <w:r w:rsidRPr="002905E0">
        <w:rPr>
          <w:rFonts w:ascii="Verdana" w:hAnsi="Verdana"/>
          <w:sz w:val="24"/>
          <w:szCs w:val="24"/>
        </w:rPr>
        <w:t xml:space="preserve">Se formalizó la gestión estratégica de la información a través de la Resolución 40199 de 2021, instaurando el modelo de gobierno de datos del sector minero-energético. Paralelamente, se potenció la explotación y el análisis de la información sectorial mediante la adopción de capacidades de Business Intelligence (BI). Esto permitió la construcción de tableros especializados para la visualización y toma de decisiones en áreas críticas, incluyendo: seguimiento de compromisos por Colombia, proyectos de la Dirección de Energía Eléctrica, titulación minera, inversión de regalías, nuevos usuarios energizados y la ruta de transformación digital institucional. </w:t>
      </w:r>
    </w:p>
    <w:p w:rsidRPr="002905E0" w:rsidR="002905E0" w:rsidP="005358E1" w:rsidRDefault="002905E0" w14:paraId="14DFEA02" w14:textId="77777777">
      <w:pPr>
        <w:spacing w:after="0" w:line="360" w:lineRule="auto"/>
        <w:jc w:val="both"/>
        <w:rPr>
          <w:rFonts w:ascii="Verdana" w:hAnsi="Verdana"/>
          <w:b/>
          <w:bCs/>
          <w:sz w:val="24"/>
          <w:szCs w:val="24"/>
        </w:rPr>
      </w:pPr>
    </w:p>
    <w:p w:rsidRPr="002905E0" w:rsidR="002905E0" w:rsidRDefault="002905E0" w14:paraId="6D20FAB5" w14:textId="32E4756E">
      <w:pPr>
        <w:pStyle w:val="Prrafodelista"/>
        <w:numPr>
          <w:ilvl w:val="2"/>
          <w:numId w:val="42"/>
        </w:numPr>
        <w:spacing w:after="0" w:line="360" w:lineRule="auto"/>
        <w:jc w:val="both"/>
        <w:rPr>
          <w:rFonts w:ascii="Verdana" w:hAnsi="Verdana"/>
          <w:b/>
          <w:bCs/>
          <w:sz w:val="24"/>
          <w:szCs w:val="24"/>
        </w:rPr>
      </w:pPr>
      <w:r w:rsidRPr="002905E0">
        <w:rPr>
          <w:rFonts w:ascii="Verdana" w:hAnsi="Verdana"/>
          <w:b/>
          <w:bCs/>
          <w:sz w:val="24"/>
          <w:szCs w:val="24"/>
        </w:rPr>
        <w:t xml:space="preserve">Período 2023 </w:t>
      </w:r>
    </w:p>
    <w:p w:rsidRPr="002905E0" w:rsidR="002905E0" w:rsidP="005358E1" w:rsidRDefault="002905E0" w14:paraId="253EE37F" w14:textId="77777777">
      <w:pPr>
        <w:spacing w:after="0" w:line="360" w:lineRule="auto"/>
        <w:jc w:val="both"/>
        <w:rPr>
          <w:rFonts w:ascii="Verdana" w:hAnsi="Verdana"/>
          <w:sz w:val="24"/>
          <w:szCs w:val="24"/>
        </w:rPr>
      </w:pPr>
    </w:p>
    <w:p w:rsidRPr="002905E0" w:rsidR="002905E0" w:rsidP="005358E1" w:rsidRDefault="002905E0" w14:paraId="0662BA30" w14:textId="68B4FB53">
      <w:pPr>
        <w:spacing w:after="0" w:line="360" w:lineRule="auto"/>
        <w:jc w:val="both"/>
        <w:rPr>
          <w:rFonts w:ascii="Verdana" w:hAnsi="Verdana"/>
          <w:sz w:val="24"/>
          <w:szCs w:val="24"/>
        </w:rPr>
      </w:pPr>
      <w:r w:rsidRPr="002905E0">
        <w:rPr>
          <w:rFonts w:ascii="Verdana" w:hAnsi="Verdana"/>
          <w:sz w:val="24"/>
          <w:szCs w:val="24"/>
        </w:rPr>
        <w:t xml:space="preserve"> </w:t>
      </w:r>
      <w:r w:rsidRPr="002905E0">
        <w:rPr>
          <w:rFonts w:ascii="Verdana" w:hAnsi="Verdana"/>
          <w:b/>
          <w:bCs/>
          <w:sz w:val="24"/>
          <w:szCs w:val="24"/>
        </w:rPr>
        <w:t>Marco de Referencia de Arquitectura Emp</w:t>
      </w:r>
      <w:r w:rsidRPr="00CA0163">
        <w:rPr>
          <w:rFonts w:ascii="Verdana" w:hAnsi="Verdana"/>
          <w:b/>
          <w:bCs/>
          <w:sz w:val="24"/>
          <w:szCs w:val="24"/>
        </w:rPr>
        <w:t xml:space="preserve">resarial </w:t>
      </w:r>
    </w:p>
    <w:p w:rsidRPr="002905E0" w:rsidR="002905E0" w:rsidP="005358E1" w:rsidRDefault="002905E0" w14:paraId="148D6CA7" w14:textId="77777777">
      <w:pPr>
        <w:spacing w:after="0" w:line="360" w:lineRule="auto"/>
        <w:jc w:val="both"/>
        <w:rPr>
          <w:rFonts w:ascii="Verdana" w:hAnsi="Verdana"/>
          <w:sz w:val="24"/>
          <w:szCs w:val="24"/>
        </w:rPr>
      </w:pPr>
    </w:p>
    <w:p w:rsidRPr="002905E0" w:rsidR="002905E0" w:rsidP="005358E1" w:rsidRDefault="002905E0" w14:paraId="108DF267" w14:textId="77777777">
      <w:pPr>
        <w:spacing w:after="0" w:line="360" w:lineRule="auto"/>
        <w:jc w:val="both"/>
        <w:rPr>
          <w:rFonts w:ascii="Verdana" w:hAnsi="Verdana"/>
          <w:sz w:val="24"/>
          <w:szCs w:val="24"/>
        </w:rPr>
      </w:pPr>
      <w:r w:rsidRPr="002905E0">
        <w:rPr>
          <w:rFonts w:ascii="Verdana" w:hAnsi="Verdana"/>
          <w:sz w:val="24"/>
          <w:szCs w:val="24"/>
        </w:rPr>
        <w:t xml:space="preserve">Con base en el diagnóstico del PETI 2020-2023 y la entrada en vigor del PETI 2024-2027, se definieron directrices arquitectónicas para el desarrollo de nuevas aplicaciones, priorizando la disponibilidad, movilidad e interoperabilidad para soportar la automatización, planeación y sostenibilidad de la entidad. El Ministerio de Minas y Energía (MME), en calidad de CTO sectorial, lideró la gestión tecnológica en estricta alineación con los estándares de arquitectura de la política de Gobierno Digital del MinTIC. Asimismo, se establecieron mecanismos técnicos de interoperabilidad automatizada con entidades clave (XM, Agencia Nacional de Minería, CENIT, DANE y Superintendencia de Servicios Públicos Domiciliarios) bajo las metodologías oficiales. </w:t>
      </w:r>
    </w:p>
    <w:p w:rsidRPr="002905E0" w:rsidR="002905E0" w:rsidP="005358E1" w:rsidRDefault="002905E0" w14:paraId="30990195" w14:textId="77777777">
      <w:pPr>
        <w:spacing w:after="0" w:line="360" w:lineRule="auto"/>
        <w:jc w:val="both"/>
        <w:rPr>
          <w:rFonts w:ascii="Verdana" w:hAnsi="Verdana"/>
          <w:sz w:val="24"/>
          <w:szCs w:val="24"/>
        </w:rPr>
      </w:pPr>
    </w:p>
    <w:p w:rsidRPr="002905E0" w:rsidR="002905E0" w:rsidP="005358E1" w:rsidRDefault="002905E0" w14:paraId="78DE7263" w14:textId="77777777">
      <w:pPr>
        <w:spacing w:after="0" w:line="360" w:lineRule="auto"/>
        <w:jc w:val="both"/>
        <w:rPr>
          <w:rFonts w:ascii="Verdana" w:hAnsi="Verdana"/>
          <w:b/>
          <w:bCs/>
          <w:sz w:val="24"/>
          <w:szCs w:val="24"/>
        </w:rPr>
      </w:pPr>
      <w:r w:rsidRPr="002905E0">
        <w:rPr>
          <w:rFonts w:ascii="Verdana" w:hAnsi="Verdana"/>
          <w:b/>
          <w:bCs/>
          <w:sz w:val="24"/>
          <w:szCs w:val="24"/>
        </w:rPr>
        <w:t xml:space="preserve">Seguridad de la Información </w:t>
      </w:r>
    </w:p>
    <w:p w:rsidRPr="002905E0" w:rsidR="002905E0" w:rsidP="005358E1" w:rsidRDefault="002905E0" w14:paraId="08D74830" w14:textId="77777777">
      <w:pPr>
        <w:spacing w:after="0" w:line="360" w:lineRule="auto"/>
        <w:jc w:val="both"/>
        <w:rPr>
          <w:rFonts w:ascii="Verdana" w:hAnsi="Verdana"/>
          <w:sz w:val="24"/>
          <w:szCs w:val="24"/>
        </w:rPr>
      </w:pPr>
    </w:p>
    <w:p w:rsidRPr="002905E0" w:rsidR="002905E0" w:rsidP="005358E1" w:rsidRDefault="002905E0" w14:paraId="45F9159B" w14:textId="77777777">
      <w:pPr>
        <w:spacing w:after="0" w:line="360" w:lineRule="auto"/>
        <w:jc w:val="both"/>
        <w:rPr>
          <w:rFonts w:ascii="Verdana" w:hAnsi="Verdana"/>
          <w:sz w:val="24"/>
          <w:szCs w:val="24"/>
        </w:rPr>
      </w:pPr>
      <w:r w:rsidRPr="002905E0">
        <w:rPr>
          <w:rFonts w:ascii="Verdana" w:hAnsi="Verdana"/>
          <w:sz w:val="24"/>
          <w:szCs w:val="24"/>
        </w:rPr>
        <w:t xml:space="preserve">En el marco de la transformación digital, el diseño y desarrollo de nuevas soluciones tecnológicas y aplicaciones institucionales se condicionó al cumplimiento de requisitos fundamentales de seguridad desde su concepción. La alineación con los lineamientos del MinTIC en materia de seguridad y privacidad de la información garantiza la integridad de los datos sectoriales, potenciando la capacidad de la infraestructura tecnológica para responder de manera segura a contingencias operativas, vulnerabilidades sistémicas y desafíos medioambientales. </w:t>
      </w:r>
    </w:p>
    <w:p w:rsidRPr="002905E0" w:rsidR="002905E0" w:rsidP="005358E1" w:rsidRDefault="002905E0" w14:paraId="7FBEAFAD" w14:textId="77777777">
      <w:pPr>
        <w:spacing w:after="0" w:line="360" w:lineRule="auto"/>
        <w:jc w:val="both"/>
        <w:rPr>
          <w:rFonts w:ascii="Verdana" w:hAnsi="Verdana"/>
          <w:sz w:val="24"/>
          <w:szCs w:val="24"/>
        </w:rPr>
      </w:pPr>
    </w:p>
    <w:p w:rsidRPr="002905E0" w:rsidR="002905E0" w:rsidP="005358E1" w:rsidRDefault="002905E0" w14:paraId="51666DEB" w14:textId="77777777">
      <w:pPr>
        <w:spacing w:after="0" w:line="360" w:lineRule="auto"/>
        <w:jc w:val="both"/>
        <w:rPr>
          <w:rFonts w:ascii="Verdana" w:hAnsi="Verdana"/>
          <w:b/>
          <w:bCs/>
          <w:sz w:val="24"/>
          <w:szCs w:val="24"/>
        </w:rPr>
      </w:pPr>
      <w:r w:rsidRPr="002905E0">
        <w:rPr>
          <w:rFonts w:ascii="Verdana" w:hAnsi="Verdana"/>
          <w:b/>
          <w:bCs/>
          <w:sz w:val="24"/>
          <w:szCs w:val="24"/>
        </w:rPr>
        <w:t xml:space="preserve">Uso y Apropiación de TI </w:t>
      </w:r>
    </w:p>
    <w:p w:rsidRPr="002905E0" w:rsidR="002905E0" w:rsidP="005358E1" w:rsidRDefault="002905E0" w14:paraId="6193A3C4" w14:textId="77777777">
      <w:pPr>
        <w:spacing w:after="0" w:line="360" w:lineRule="auto"/>
        <w:jc w:val="both"/>
        <w:rPr>
          <w:rFonts w:ascii="Verdana" w:hAnsi="Verdana"/>
          <w:sz w:val="24"/>
          <w:szCs w:val="24"/>
        </w:rPr>
      </w:pPr>
    </w:p>
    <w:p w:rsidRPr="002905E0" w:rsidR="002905E0" w:rsidP="005358E1" w:rsidRDefault="002905E0" w14:paraId="77FE7668" w14:textId="77777777">
      <w:pPr>
        <w:spacing w:after="0" w:line="360" w:lineRule="auto"/>
        <w:jc w:val="both"/>
        <w:rPr>
          <w:rFonts w:ascii="Verdana" w:hAnsi="Verdana"/>
          <w:sz w:val="24"/>
          <w:szCs w:val="24"/>
        </w:rPr>
      </w:pPr>
      <w:r w:rsidRPr="002905E0">
        <w:rPr>
          <w:rFonts w:ascii="Verdana" w:hAnsi="Verdana"/>
          <w:sz w:val="24"/>
          <w:szCs w:val="24"/>
        </w:rPr>
        <w:t xml:space="preserve">Se formuló la estrategia institucional de uso y apropiación, cuyo propósito es facilitar la adaptación cultural y operativa de los diferentes actores frente a la adopción de nuevas soluciones basadas en analítica de datos. Para fomentar esta transformación organizacional, se ejecutaron espacios de articulación como el Open Gov Week 2024, un escenario de discusión sectorial centrado en la promoción de los principios de transparencia, rendición de cuentas, innovación en el gobierno abierto y usabilidad de los servicios dispuestos. </w:t>
      </w:r>
    </w:p>
    <w:p w:rsidRPr="002905E0" w:rsidR="002905E0" w:rsidP="005358E1" w:rsidRDefault="002905E0" w14:paraId="78117CAC" w14:textId="77777777">
      <w:pPr>
        <w:spacing w:after="0" w:line="360" w:lineRule="auto"/>
        <w:jc w:val="both"/>
        <w:rPr>
          <w:rFonts w:ascii="Verdana" w:hAnsi="Verdana"/>
          <w:b/>
          <w:bCs/>
          <w:sz w:val="24"/>
          <w:szCs w:val="24"/>
        </w:rPr>
      </w:pPr>
    </w:p>
    <w:p w:rsidRPr="002905E0" w:rsidR="002905E0" w:rsidP="005358E1" w:rsidRDefault="002905E0" w14:paraId="51E8CD4B" w14:textId="77777777">
      <w:pPr>
        <w:spacing w:after="0" w:line="360" w:lineRule="auto"/>
        <w:jc w:val="both"/>
        <w:rPr>
          <w:rFonts w:ascii="Verdana" w:hAnsi="Verdana"/>
          <w:b/>
          <w:bCs/>
          <w:sz w:val="24"/>
          <w:szCs w:val="24"/>
        </w:rPr>
      </w:pPr>
      <w:r w:rsidRPr="002905E0">
        <w:rPr>
          <w:rFonts w:ascii="Verdana" w:hAnsi="Verdana"/>
          <w:b/>
          <w:bCs/>
          <w:sz w:val="24"/>
          <w:szCs w:val="24"/>
        </w:rPr>
        <w:t xml:space="preserve">Servicios Ciudadanos Digitales </w:t>
      </w:r>
    </w:p>
    <w:p w:rsidRPr="002905E0" w:rsidR="002905E0" w:rsidP="005358E1" w:rsidRDefault="002905E0" w14:paraId="6B1884FE" w14:textId="77777777">
      <w:pPr>
        <w:spacing w:after="0" w:line="360" w:lineRule="auto"/>
        <w:jc w:val="both"/>
        <w:rPr>
          <w:rFonts w:ascii="Verdana" w:hAnsi="Verdana"/>
          <w:sz w:val="24"/>
          <w:szCs w:val="24"/>
        </w:rPr>
      </w:pPr>
    </w:p>
    <w:p w:rsidRPr="002905E0" w:rsidR="002905E0" w:rsidP="005358E1" w:rsidRDefault="002905E0" w14:paraId="26B300CE" w14:textId="77777777">
      <w:pPr>
        <w:spacing w:after="0" w:line="360" w:lineRule="auto"/>
        <w:jc w:val="both"/>
        <w:rPr>
          <w:rFonts w:ascii="Verdana" w:hAnsi="Verdana"/>
          <w:sz w:val="24"/>
          <w:szCs w:val="24"/>
        </w:rPr>
      </w:pPr>
      <w:r w:rsidRPr="002905E0">
        <w:rPr>
          <w:rFonts w:ascii="Verdana" w:hAnsi="Verdana"/>
          <w:sz w:val="24"/>
          <w:szCs w:val="24"/>
        </w:rPr>
        <w:t xml:space="preserve">La estrategia tecnológica fomentó la participación ciudadana mediante la prestación de servicios eficientes y accesibles. Destaca la estructuración del módulo de datos abiertos del Geoportal Sectorial 2024, el cual habilita a cualquier usuario para acceder, consultar y descargar información georreferenciada pública en múltiples formatos. Adicionalmente, en cumplimiento de los acuerdos de la Mesa Tripartita, se implementó el Geovisor Guajira, una herramienta interactiva que permite a los ciudadanos en territorio visualizar infraestructura crítica (proyectos de </w:t>
      </w:r>
      <w:r w:rsidRPr="002905E0">
        <w:rPr>
          <w:rFonts w:ascii="Verdana" w:hAnsi="Verdana"/>
          <w:sz w:val="24"/>
          <w:szCs w:val="24"/>
        </w:rPr>
        <w:t xml:space="preserve">generación, transmisión, títulos mineros, pozos de agua), reportar información de interés geográfico y descargar reportes consolidados. </w:t>
      </w:r>
    </w:p>
    <w:p w:rsidRPr="002905E0" w:rsidR="002905E0" w:rsidP="005358E1" w:rsidRDefault="002905E0" w14:paraId="3C32B47B" w14:textId="77777777">
      <w:pPr>
        <w:spacing w:after="0" w:line="360" w:lineRule="auto"/>
        <w:jc w:val="both"/>
        <w:rPr>
          <w:rFonts w:ascii="Verdana" w:hAnsi="Verdana"/>
          <w:sz w:val="24"/>
          <w:szCs w:val="24"/>
        </w:rPr>
      </w:pPr>
    </w:p>
    <w:p w:rsidRPr="002905E0" w:rsidR="002905E0" w:rsidP="005358E1" w:rsidRDefault="002905E0" w14:paraId="00429DC4" w14:textId="77777777">
      <w:pPr>
        <w:spacing w:after="0" w:line="360" w:lineRule="auto"/>
        <w:jc w:val="both"/>
        <w:rPr>
          <w:rFonts w:ascii="Verdana" w:hAnsi="Verdana"/>
          <w:b/>
          <w:bCs/>
          <w:sz w:val="24"/>
          <w:szCs w:val="24"/>
        </w:rPr>
      </w:pPr>
      <w:r w:rsidRPr="002905E0">
        <w:rPr>
          <w:rFonts w:ascii="Verdana" w:hAnsi="Verdana"/>
          <w:b/>
          <w:bCs/>
          <w:sz w:val="24"/>
          <w:szCs w:val="24"/>
        </w:rPr>
        <w:t xml:space="preserve">Gestión y Gobierno de Datos </w:t>
      </w:r>
    </w:p>
    <w:p w:rsidRPr="002905E0" w:rsidR="002905E0" w:rsidP="005358E1" w:rsidRDefault="002905E0" w14:paraId="16AB1BD5" w14:textId="77777777">
      <w:pPr>
        <w:spacing w:after="0" w:line="360" w:lineRule="auto"/>
        <w:jc w:val="both"/>
        <w:rPr>
          <w:rFonts w:ascii="Verdana" w:hAnsi="Verdana"/>
          <w:sz w:val="24"/>
          <w:szCs w:val="24"/>
        </w:rPr>
      </w:pPr>
    </w:p>
    <w:p w:rsidRPr="002905E0" w:rsidR="002905E0" w:rsidP="005358E1" w:rsidRDefault="002905E0" w14:paraId="3D5773A0" w14:textId="77777777">
      <w:pPr>
        <w:spacing w:after="0" w:line="360" w:lineRule="auto"/>
        <w:jc w:val="both"/>
        <w:rPr>
          <w:rFonts w:ascii="Verdana" w:hAnsi="Verdana"/>
          <w:sz w:val="24"/>
          <w:szCs w:val="24"/>
        </w:rPr>
      </w:pPr>
      <w:r w:rsidRPr="002905E0">
        <w:rPr>
          <w:rFonts w:ascii="Verdana" w:hAnsi="Verdana"/>
          <w:sz w:val="24"/>
          <w:szCs w:val="24"/>
        </w:rPr>
        <w:t xml:space="preserve">El Ministerio de Minas y Energía en articulación con la Unidad de Planeación Minero-Energética (UPME), coordinó la implementación de un modelo de gobernanza centrado en la calidad, integridad y disponibilidad de grandes volúmenes de información, impulsando la toma de decisiones basada en datos. Los principales hitos de esta gestión abarcan: </w:t>
      </w:r>
    </w:p>
    <w:p w:rsidRPr="002905E0" w:rsidR="002905E0" w:rsidP="005358E1" w:rsidRDefault="002905E0" w14:paraId="5EFBA0A3" w14:textId="77777777">
      <w:pPr>
        <w:spacing w:after="0" w:line="360" w:lineRule="auto"/>
        <w:jc w:val="both"/>
        <w:rPr>
          <w:rFonts w:ascii="Verdana" w:hAnsi="Verdana"/>
          <w:sz w:val="24"/>
          <w:szCs w:val="24"/>
        </w:rPr>
      </w:pPr>
    </w:p>
    <w:p w:rsidRPr="002905E0" w:rsidR="002905E0" w:rsidP="005358E1" w:rsidRDefault="002905E0" w14:paraId="764E859F" w14:textId="77777777">
      <w:pPr>
        <w:spacing w:after="0" w:line="360" w:lineRule="auto"/>
        <w:jc w:val="both"/>
        <w:rPr>
          <w:rFonts w:ascii="Verdana" w:hAnsi="Verdana"/>
          <w:sz w:val="24"/>
          <w:szCs w:val="24"/>
        </w:rPr>
      </w:pPr>
      <w:r w:rsidRPr="002905E0">
        <w:rPr>
          <w:rFonts w:ascii="Verdana" w:hAnsi="Verdana"/>
          <w:sz w:val="24"/>
          <w:szCs w:val="24"/>
        </w:rPr>
        <w:t xml:space="preserve">Articulación Nacional: Participación como Administrador de Datos Sectoriales en el Comité Nacional de Datos para la implementación del Plan Nacional de Infraestructura de Datos (PNID). </w:t>
      </w:r>
    </w:p>
    <w:p w:rsidRPr="002905E0" w:rsidR="002905E0" w:rsidP="005358E1" w:rsidRDefault="002905E0" w14:paraId="3D6920FE" w14:textId="77777777">
      <w:pPr>
        <w:spacing w:after="0" w:line="360" w:lineRule="auto"/>
        <w:jc w:val="both"/>
        <w:rPr>
          <w:rFonts w:ascii="Verdana" w:hAnsi="Verdana"/>
          <w:sz w:val="24"/>
          <w:szCs w:val="24"/>
        </w:rPr>
      </w:pPr>
    </w:p>
    <w:p w:rsidRPr="002905E0" w:rsidR="002905E0" w:rsidP="005358E1" w:rsidRDefault="002905E0" w14:paraId="05239069" w14:textId="77777777">
      <w:pPr>
        <w:spacing w:after="0" w:line="360" w:lineRule="auto"/>
        <w:jc w:val="both"/>
        <w:rPr>
          <w:rFonts w:ascii="Verdana" w:hAnsi="Verdana"/>
          <w:sz w:val="24"/>
          <w:szCs w:val="24"/>
        </w:rPr>
      </w:pPr>
      <w:r w:rsidRPr="002905E0">
        <w:rPr>
          <w:rFonts w:ascii="Verdana" w:hAnsi="Verdana"/>
          <w:sz w:val="24"/>
          <w:szCs w:val="24"/>
        </w:rPr>
        <w:t xml:space="preserve">Analítica Avanzada: Adopción de capacidades de Business Intelligence (BI), Inteligencia Artificial e IOT para la explotación estratégica de datos de hidrocarburos, gas y energía. </w:t>
      </w:r>
    </w:p>
    <w:p w:rsidRPr="002905E0" w:rsidR="002905E0" w:rsidP="005358E1" w:rsidRDefault="002905E0" w14:paraId="4067C158" w14:textId="77777777">
      <w:pPr>
        <w:spacing w:after="0" w:line="360" w:lineRule="auto"/>
        <w:jc w:val="both"/>
        <w:rPr>
          <w:rFonts w:ascii="Verdana" w:hAnsi="Verdana"/>
          <w:sz w:val="24"/>
          <w:szCs w:val="24"/>
        </w:rPr>
      </w:pPr>
    </w:p>
    <w:p w:rsidRPr="002905E0" w:rsidR="002905E0" w:rsidP="005358E1" w:rsidRDefault="002905E0" w14:paraId="67712575" w14:textId="77777777">
      <w:pPr>
        <w:spacing w:after="0" w:line="360" w:lineRule="auto"/>
        <w:jc w:val="both"/>
        <w:rPr>
          <w:rFonts w:ascii="Verdana" w:hAnsi="Verdana"/>
          <w:sz w:val="24"/>
          <w:szCs w:val="24"/>
        </w:rPr>
      </w:pPr>
      <w:r w:rsidRPr="002905E0">
        <w:rPr>
          <w:rFonts w:ascii="Verdana" w:hAnsi="Verdana"/>
          <w:sz w:val="24"/>
          <w:szCs w:val="24"/>
        </w:rPr>
        <w:t xml:space="preserve">Gestión Geoespacial: Creación de mesas técnicas (minería, hidrocarburos, energía, socioambiental) y ejecución del inventario del sistema de información geográfica sectorial (involucrando a MME, UPME, ANM, ANH, SGC, CREG, IPSE y FENOGE). </w:t>
      </w:r>
    </w:p>
    <w:p w:rsidRPr="002905E0" w:rsidR="002905E0" w:rsidP="005358E1" w:rsidRDefault="002905E0" w14:paraId="7AB6E732" w14:textId="77777777">
      <w:pPr>
        <w:spacing w:after="0" w:line="360" w:lineRule="auto"/>
        <w:jc w:val="both"/>
        <w:rPr>
          <w:rFonts w:ascii="Verdana" w:hAnsi="Verdana"/>
          <w:sz w:val="24"/>
          <w:szCs w:val="24"/>
        </w:rPr>
      </w:pPr>
    </w:p>
    <w:p w:rsidRPr="002905E0" w:rsidR="002905E0" w:rsidP="005358E1" w:rsidRDefault="002905E0" w14:paraId="55D0665E" w14:textId="77777777">
      <w:pPr>
        <w:spacing w:after="0" w:line="360" w:lineRule="auto"/>
        <w:jc w:val="both"/>
        <w:rPr>
          <w:rFonts w:ascii="Verdana" w:hAnsi="Verdana"/>
          <w:sz w:val="24"/>
          <w:szCs w:val="24"/>
        </w:rPr>
      </w:pPr>
      <w:r w:rsidRPr="002905E0">
        <w:rPr>
          <w:rFonts w:ascii="Verdana" w:hAnsi="Verdana"/>
          <w:sz w:val="24"/>
          <w:szCs w:val="24"/>
        </w:rPr>
        <w:t xml:space="preserve">Desarrollo de Plataformas: Construcción del Geoportal Sectorial bajo estándares OGC y despliegue de visores especializados, incluyendo el geovisor de proyectos de generación y transmisión (Estrategia 6GW) y el visor de proyectos de hidrógeno en formato dashboard. </w:t>
      </w:r>
    </w:p>
    <w:p w:rsidRPr="002905E0" w:rsidR="002905E0" w:rsidP="005358E1" w:rsidRDefault="002905E0" w14:paraId="36F41212" w14:textId="77777777">
      <w:pPr>
        <w:spacing w:after="0" w:line="360" w:lineRule="auto"/>
        <w:jc w:val="both"/>
        <w:rPr>
          <w:rFonts w:ascii="Verdana" w:hAnsi="Verdana"/>
          <w:sz w:val="24"/>
          <w:szCs w:val="24"/>
        </w:rPr>
      </w:pPr>
    </w:p>
    <w:p w:rsidRPr="002905E0" w:rsidR="002905E0" w:rsidP="005358E1" w:rsidRDefault="002905E0" w14:paraId="4C6601EC" w14:textId="77777777">
      <w:pPr>
        <w:spacing w:after="0" w:line="360" w:lineRule="auto"/>
        <w:jc w:val="both"/>
        <w:rPr>
          <w:rFonts w:ascii="Verdana" w:hAnsi="Verdana"/>
          <w:sz w:val="24"/>
          <w:szCs w:val="24"/>
        </w:rPr>
      </w:pPr>
      <w:r w:rsidRPr="002905E0">
        <w:rPr>
          <w:rFonts w:ascii="Verdana" w:hAnsi="Verdana"/>
          <w:sz w:val="24"/>
          <w:szCs w:val="24"/>
        </w:rPr>
        <w:t xml:space="preserve">Monitoreo Estratégico: Lanzamiento de la versión 1.0 del Centro de Monitoreo Estratégico Sectorial, un sistema de seguimiento y modelación orientado a la previsión de alertas y contingencias (ej. Fenómeno del Niño), que integra variables climáticas, de embalses y de oferta/demanda energética. </w:t>
      </w:r>
    </w:p>
    <w:p w:rsidRPr="002905E0" w:rsidR="002905E0" w:rsidP="005358E1" w:rsidRDefault="002905E0" w14:paraId="00649C38" w14:textId="77777777">
      <w:pPr>
        <w:spacing w:after="0" w:line="360" w:lineRule="auto"/>
        <w:jc w:val="both"/>
        <w:rPr>
          <w:rFonts w:ascii="Verdana" w:hAnsi="Verdana"/>
          <w:sz w:val="24"/>
          <w:szCs w:val="24"/>
        </w:rPr>
      </w:pPr>
    </w:p>
    <w:p w:rsidRPr="002905E0" w:rsidR="002905E0" w:rsidRDefault="002905E0" w14:paraId="2EC9CFE2" w14:textId="235FBC61">
      <w:pPr>
        <w:pStyle w:val="Prrafodelista"/>
        <w:numPr>
          <w:ilvl w:val="2"/>
          <w:numId w:val="42"/>
        </w:numPr>
        <w:spacing w:after="0" w:line="360" w:lineRule="auto"/>
        <w:jc w:val="both"/>
        <w:rPr>
          <w:rFonts w:ascii="Verdana" w:hAnsi="Verdana"/>
          <w:b/>
          <w:bCs/>
          <w:sz w:val="24"/>
          <w:szCs w:val="24"/>
        </w:rPr>
      </w:pPr>
      <w:r w:rsidRPr="002905E0">
        <w:rPr>
          <w:rFonts w:ascii="Verdana" w:hAnsi="Verdana"/>
          <w:b/>
          <w:bCs/>
          <w:sz w:val="24"/>
          <w:szCs w:val="24"/>
        </w:rPr>
        <w:t xml:space="preserve">Período 2024 </w:t>
      </w:r>
    </w:p>
    <w:p w:rsidRPr="002905E0" w:rsidR="002905E0" w:rsidP="005358E1" w:rsidRDefault="002905E0" w14:paraId="34567684" w14:textId="77777777">
      <w:pPr>
        <w:spacing w:after="0" w:line="360" w:lineRule="auto"/>
        <w:jc w:val="both"/>
        <w:rPr>
          <w:rFonts w:ascii="Verdana" w:hAnsi="Verdana"/>
          <w:sz w:val="24"/>
          <w:szCs w:val="24"/>
        </w:rPr>
      </w:pPr>
    </w:p>
    <w:p w:rsidRPr="002905E0" w:rsidR="002905E0" w:rsidP="005358E1" w:rsidRDefault="002905E0" w14:paraId="740D888E" w14:textId="77777777">
      <w:pPr>
        <w:spacing w:after="0" w:line="360" w:lineRule="auto"/>
        <w:jc w:val="both"/>
        <w:rPr>
          <w:rFonts w:ascii="Verdana" w:hAnsi="Verdana"/>
          <w:b/>
          <w:bCs/>
          <w:sz w:val="24"/>
          <w:szCs w:val="24"/>
        </w:rPr>
      </w:pPr>
      <w:r w:rsidRPr="002905E0">
        <w:rPr>
          <w:rFonts w:ascii="Verdana" w:hAnsi="Verdana"/>
          <w:b/>
          <w:bCs/>
          <w:sz w:val="24"/>
          <w:szCs w:val="24"/>
        </w:rPr>
        <w:t xml:space="preserve">Marco de Referencia de Arquitectura Empresarial </w:t>
      </w:r>
    </w:p>
    <w:p w:rsidRPr="002905E0" w:rsidR="002905E0" w:rsidP="005358E1" w:rsidRDefault="002905E0" w14:paraId="463CB149" w14:textId="77777777">
      <w:pPr>
        <w:spacing w:after="0" w:line="360" w:lineRule="auto"/>
        <w:jc w:val="both"/>
        <w:rPr>
          <w:rFonts w:ascii="Verdana" w:hAnsi="Verdana"/>
          <w:sz w:val="24"/>
          <w:szCs w:val="24"/>
        </w:rPr>
      </w:pPr>
    </w:p>
    <w:p w:rsidRPr="002905E0" w:rsidR="002905E0" w:rsidP="005358E1" w:rsidRDefault="002905E0" w14:paraId="216A278C" w14:textId="77777777">
      <w:pPr>
        <w:spacing w:after="0" w:line="360" w:lineRule="auto"/>
        <w:jc w:val="both"/>
        <w:rPr>
          <w:rFonts w:ascii="Verdana" w:hAnsi="Verdana"/>
          <w:sz w:val="24"/>
          <w:szCs w:val="24"/>
        </w:rPr>
      </w:pPr>
      <w:r w:rsidRPr="002905E0">
        <w:rPr>
          <w:rFonts w:ascii="Verdana" w:hAnsi="Verdana"/>
          <w:sz w:val="24"/>
          <w:szCs w:val="24"/>
        </w:rPr>
        <w:t xml:space="preserve">El Plan Estratégico de Tecnologías de la Información y las Comunicaciones (PETI) 2025-2028 establece la implementación del Marco de Referencia de Arquitectura Empresarial mediante tres modelos habilitadores: Arquitectura Empresarial (MAE), Gestión y Gobierno de TI (MGGTI) y Gestión de Proyectos de TI (MGPTI). A nivel sectorial, se promueve la optimización del ecosistema tecnológico a través del acompañamiento institucional en la adopción de la arquitectura empresarial, la maximización de la inversión en software para garantizar la estandarización tecnológica y la conformación de la Unidad de Gestión Estratégica de Infraestructura y Aplicaciones de TI (CTO). </w:t>
      </w:r>
    </w:p>
    <w:p w:rsidRPr="002905E0" w:rsidR="002905E0" w:rsidP="005358E1" w:rsidRDefault="002905E0" w14:paraId="007BDA2A" w14:textId="77777777">
      <w:pPr>
        <w:spacing w:after="0" w:line="360" w:lineRule="auto"/>
        <w:jc w:val="both"/>
        <w:rPr>
          <w:rFonts w:ascii="Verdana" w:hAnsi="Verdana"/>
          <w:sz w:val="24"/>
          <w:szCs w:val="24"/>
        </w:rPr>
      </w:pPr>
    </w:p>
    <w:p w:rsidRPr="002905E0" w:rsidR="002905E0" w:rsidP="005358E1" w:rsidRDefault="002905E0" w14:paraId="2A6D287E" w14:textId="77777777">
      <w:pPr>
        <w:spacing w:after="0" w:line="360" w:lineRule="auto"/>
        <w:jc w:val="both"/>
        <w:rPr>
          <w:rFonts w:ascii="Verdana" w:hAnsi="Verdana"/>
          <w:b/>
          <w:bCs/>
          <w:sz w:val="24"/>
          <w:szCs w:val="24"/>
        </w:rPr>
      </w:pPr>
      <w:r w:rsidRPr="002905E0">
        <w:rPr>
          <w:rFonts w:ascii="Verdana" w:hAnsi="Verdana"/>
          <w:b/>
          <w:bCs/>
          <w:sz w:val="24"/>
          <w:szCs w:val="24"/>
        </w:rPr>
        <w:t xml:space="preserve">Seguridad de la Información </w:t>
      </w:r>
    </w:p>
    <w:p w:rsidRPr="002905E0" w:rsidR="002905E0" w:rsidP="005358E1" w:rsidRDefault="002905E0" w14:paraId="38B73C32" w14:textId="77777777">
      <w:pPr>
        <w:spacing w:after="0" w:line="360" w:lineRule="auto"/>
        <w:jc w:val="both"/>
        <w:rPr>
          <w:rFonts w:ascii="Verdana" w:hAnsi="Verdana"/>
          <w:sz w:val="24"/>
          <w:szCs w:val="24"/>
        </w:rPr>
      </w:pPr>
    </w:p>
    <w:p w:rsidRPr="002905E0" w:rsidR="002905E0" w:rsidP="005358E1" w:rsidRDefault="002905E0" w14:paraId="688D2802" w14:textId="77777777">
      <w:pPr>
        <w:spacing w:after="0" w:line="360" w:lineRule="auto"/>
        <w:jc w:val="both"/>
        <w:rPr>
          <w:rFonts w:ascii="Verdana" w:hAnsi="Verdana"/>
          <w:sz w:val="24"/>
          <w:szCs w:val="24"/>
        </w:rPr>
      </w:pPr>
      <w:r w:rsidRPr="002905E0">
        <w:rPr>
          <w:rFonts w:ascii="Verdana" w:hAnsi="Verdana"/>
          <w:sz w:val="24"/>
          <w:szCs w:val="24"/>
        </w:rPr>
        <w:t xml:space="preserve">La evaluación del Índice de Gestión y Desempeño reflejó un avance institucional sólido con una calificación de 91 en seguridad y privacidad. Alineado a este resultado, el PETI Sectorial incluye una línea estratégica dedicada al fortalecimiento de la ciberseguridad, la infraestructura y la continuidad operacional. La iniciativa central es la implementación de un Centro de Monitoreo Sectorial que integrará servicios de sala de control, CSIRT y un Centro de Datos Alterno/Plan de Recuperación ante Desastres </w:t>
      </w:r>
      <w:r w:rsidRPr="002905E0">
        <w:rPr>
          <w:rFonts w:ascii="Verdana" w:hAnsi="Verdana"/>
          <w:sz w:val="24"/>
          <w:szCs w:val="24"/>
        </w:rPr>
        <w:t xml:space="preserve">(CDA/DRP) para salvaguardar los activos digitales y gestionar la respuesta ante incidentes. </w:t>
      </w:r>
    </w:p>
    <w:p w:rsidRPr="002905E0" w:rsidR="002905E0" w:rsidP="005358E1" w:rsidRDefault="002905E0" w14:paraId="0A44D528" w14:textId="77777777">
      <w:pPr>
        <w:spacing w:after="0" w:line="360" w:lineRule="auto"/>
        <w:jc w:val="both"/>
        <w:rPr>
          <w:rFonts w:ascii="Verdana" w:hAnsi="Verdana"/>
          <w:sz w:val="24"/>
          <w:szCs w:val="24"/>
        </w:rPr>
      </w:pPr>
    </w:p>
    <w:p w:rsidRPr="002905E0" w:rsidR="002905E0" w:rsidP="005358E1" w:rsidRDefault="002905E0" w14:paraId="0DB21FC0" w14:textId="77777777">
      <w:pPr>
        <w:spacing w:after="0" w:line="360" w:lineRule="auto"/>
        <w:jc w:val="both"/>
        <w:rPr>
          <w:rFonts w:ascii="Verdana" w:hAnsi="Verdana"/>
          <w:b/>
          <w:bCs/>
          <w:sz w:val="24"/>
          <w:szCs w:val="24"/>
        </w:rPr>
      </w:pPr>
      <w:r w:rsidRPr="002905E0">
        <w:rPr>
          <w:rFonts w:ascii="Verdana" w:hAnsi="Verdana"/>
          <w:b/>
          <w:bCs/>
          <w:sz w:val="24"/>
          <w:szCs w:val="24"/>
        </w:rPr>
        <w:t xml:space="preserve">Uso y Apropiación de TI </w:t>
      </w:r>
    </w:p>
    <w:p w:rsidRPr="002905E0" w:rsidR="002905E0" w:rsidP="005358E1" w:rsidRDefault="002905E0" w14:paraId="0578AF6B" w14:textId="77777777">
      <w:pPr>
        <w:spacing w:after="0" w:line="360" w:lineRule="auto"/>
        <w:jc w:val="both"/>
        <w:rPr>
          <w:rFonts w:ascii="Verdana" w:hAnsi="Verdana"/>
          <w:sz w:val="24"/>
          <w:szCs w:val="24"/>
        </w:rPr>
      </w:pPr>
    </w:p>
    <w:p w:rsidRPr="002905E0" w:rsidR="002905E0" w:rsidP="005358E1" w:rsidRDefault="002905E0" w14:paraId="01EE44DC" w14:textId="77777777">
      <w:pPr>
        <w:spacing w:after="0" w:line="360" w:lineRule="auto"/>
        <w:jc w:val="both"/>
        <w:rPr>
          <w:rFonts w:ascii="Verdana" w:hAnsi="Verdana"/>
          <w:sz w:val="24"/>
          <w:szCs w:val="24"/>
        </w:rPr>
      </w:pPr>
      <w:r w:rsidRPr="002905E0">
        <w:rPr>
          <w:rFonts w:ascii="Verdana" w:hAnsi="Verdana"/>
          <w:sz w:val="24"/>
          <w:szCs w:val="24"/>
        </w:rPr>
        <w:t xml:space="preserve">La Entidad obtuvo la máxima calificación (100) en las dimensiones de cultura y apropiación, y proyectos de transformación digital. Para mantener este nivel de desempeño, se estructuró la línea de Innovación y Adopción de Tecnologías Disruptivas. Esta estrategia contempla la consolidación de equipos de investigación y desarrollo encargados de formular el programa de Transformación Digital sectorial, impulsando la adopción de tecnologías de la cuarta revolución industrial (Inteligencia Artificial, Big Data, Internet de las Cosas, tokenización y realidades inmersivas), junto con la gestión del conocimiento técnico. </w:t>
      </w:r>
    </w:p>
    <w:p w:rsidRPr="002905E0" w:rsidR="002905E0" w:rsidP="005358E1" w:rsidRDefault="002905E0" w14:paraId="2CD46D1C" w14:textId="77777777">
      <w:pPr>
        <w:spacing w:after="0" w:line="360" w:lineRule="auto"/>
        <w:jc w:val="both"/>
        <w:rPr>
          <w:rFonts w:ascii="Verdana" w:hAnsi="Verdana"/>
          <w:sz w:val="24"/>
          <w:szCs w:val="24"/>
        </w:rPr>
      </w:pPr>
    </w:p>
    <w:p w:rsidRPr="002905E0" w:rsidR="002905E0" w:rsidP="005358E1" w:rsidRDefault="002905E0" w14:paraId="6C6AA60F" w14:textId="77777777">
      <w:pPr>
        <w:spacing w:after="0" w:line="360" w:lineRule="auto"/>
        <w:jc w:val="both"/>
        <w:rPr>
          <w:rFonts w:ascii="Verdana" w:hAnsi="Verdana"/>
          <w:b/>
          <w:bCs/>
          <w:sz w:val="24"/>
          <w:szCs w:val="24"/>
        </w:rPr>
      </w:pPr>
      <w:r w:rsidRPr="002905E0">
        <w:rPr>
          <w:rFonts w:ascii="Verdana" w:hAnsi="Verdana"/>
          <w:b/>
          <w:bCs/>
          <w:sz w:val="24"/>
          <w:szCs w:val="24"/>
        </w:rPr>
        <w:t xml:space="preserve">Servicios Ciudadanos Digitales </w:t>
      </w:r>
    </w:p>
    <w:p w:rsidRPr="002905E0" w:rsidR="002905E0" w:rsidP="005358E1" w:rsidRDefault="002905E0" w14:paraId="52718AF4" w14:textId="77777777">
      <w:pPr>
        <w:spacing w:after="0" w:line="360" w:lineRule="auto"/>
        <w:jc w:val="both"/>
        <w:rPr>
          <w:rFonts w:ascii="Verdana" w:hAnsi="Verdana"/>
          <w:sz w:val="24"/>
          <w:szCs w:val="24"/>
        </w:rPr>
      </w:pPr>
    </w:p>
    <w:p w:rsidRPr="002905E0" w:rsidR="002905E0" w:rsidP="005358E1" w:rsidRDefault="002905E0" w14:paraId="68EC9611" w14:textId="77777777">
      <w:pPr>
        <w:spacing w:after="0" w:line="360" w:lineRule="auto"/>
        <w:jc w:val="both"/>
        <w:rPr>
          <w:rFonts w:ascii="Verdana" w:hAnsi="Verdana"/>
          <w:sz w:val="24"/>
          <w:szCs w:val="24"/>
        </w:rPr>
      </w:pPr>
      <w:r w:rsidRPr="002905E0">
        <w:rPr>
          <w:rFonts w:ascii="Verdana" w:hAnsi="Verdana"/>
          <w:sz w:val="24"/>
          <w:szCs w:val="24"/>
        </w:rPr>
        <w:t xml:space="preserve">El compromiso con el relacionamiento y la transparencia se evidenció en la calificación de 98.8 en la dimensión de estado abierto. Con el propósito de mejorar continuamente la experiencia del ciudadano, integrar la oferta institucional y generar mayor valor público, se proyectó dentro de la gobernanza digital la implementación de una ventanilla única de trámites y servicios ciudadanos digitales en línea. </w:t>
      </w:r>
    </w:p>
    <w:p w:rsidRPr="002905E0" w:rsidR="002905E0" w:rsidP="005358E1" w:rsidRDefault="002905E0" w14:paraId="57460BCD" w14:textId="77777777">
      <w:pPr>
        <w:spacing w:after="0" w:line="360" w:lineRule="auto"/>
        <w:jc w:val="both"/>
        <w:rPr>
          <w:rFonts w:ascii="Verdana" w:hAnsi="Verdana"/>
          <w:sz w:val="24"/>
          <w:szCs w:val="24"/>
        </w:rPr>
      </w:pPr>
    </w:p>
    <w:p w:rsidRPr="002905E0" w:rsidR="002905E0" w:rsidP="005358E1" w:rsidRDefault="002905E0" w14:paraId="353F9A74" w14:textId="77777777">
      <w:pPr>
        <w:spacing w:after="0" w:line="360" w:lineRule="auto"/>
        <w:jc w:val="both"/>
        <w:rPr>
          <w:rFonts w:ascii="Verdana" w:hAnsi="Verdana"/>
          <w:b/>
          <w:bCs/>
          <w:sz w:val="24"/>
          <w:szCs w:val="24"/>
        </w:rPr>
      </w:pPr>
      <w:r w:rsidRPr="002905E0">
        <w:rPr>
          <w:rFonts w:ascii="Verdana" w:hAnsi="Verdana"/>
          <w:b/>
          <w:bCs/>
          <w:sz w:val="24"/>
          <w:szCs w:val="24"/>
        </w:rPr>
        <w:t xml:space="preserve">Gestión y Gobierno de Datos </w:t>
      </w:r>
    </w:p>
    <w:p w:rsidRPr="002905E0" w:rsidR="002905E0" w:rsidP="005358E1" w:rsidRDefault="002905E0" w14:paraId="64152BF4" w14:textId="77777777">
      <w:pPr>
        <w:spacing w:after="0" w:line="360" w:lineRule="auto"/>
        <w:jc w:val="both"/>
        <w:rPr>
          <w:rFonts w:ascii="Verdana" w:hAnsi="Verdana"/>
          <w:sz w:val="24"/>
          <w:szCs w:val="24"/>
        </w:rPr>
      </w:pPr>
    </w:p>
    <w:p w:rsidRPr="002905E0" w:rsidR="002905E0" w:rsidP="005358E1" w:rsidRDefault="002905E0" w14:paraId="1B442B5A" w14:textId="77777777">
      <w:pPr>
        <w:spacing w:after="0" w:line="360" w:lineRule="auto"/>
        <w:jc w:val="both"/>
        <w:rPr>
          <w:rFonts w:ascii="Verdana" w:hAnsi="Verdana"/>
          <w:sz w:val="24"/>
          <w:szCs w:val="24"/>
        </w:rPr>
      </w:pPr>
      <w:r w:rsidRPr="002905E0">
        <w:rPr>
          <w:rFonts w:ascii="Verdana" w:hAnsi="Verdana"/>
          <w:sz w:val="24"/>
          <w:szCs w:val="24"/>
        </w:rPr>
        <w:t xml:space="preserve">Se alcanzó una puntuación de 100 en la formulación de decisiones basadas en datos. La gestión estratégica de la información se aborda mediante dos líneas de acción en el PETI Sectorial: por un lado, la gobernanza y explotación de datos, que incluye la consolidación de la </w:t>
      </w:r>
      <w:r w:rsidRPr="002905E0">
        <w:rPr>
          <w:rFonts w:ascii="Verdana" w:hAnsi="Verdana"/>
          <w:sz w:val="24"/>
          <w:szCs w:val="24"/>
        </w:rPr>
        <w:t xml:space="preserve">Infraestructura de Datos Espaciales (IDE) y la generación de estudios a partir de analítica de datos; y por otro, la interoperabilidad de datos sectoriales, orientada a habilitar el intercambio eficiente, seguro y estandarizado de información entre entidades mediante la adopción y evolución del Marco de Interoperabilidad del MinTIC. </w:t>
      </w:r>
    </w:p>
    <w:p w:rsidRPr="002905E0" w:rsidR="002905E0" w:rsidP="005358E1" w:rsidRDefault="002905E0" w14:paraId="213FCAE7" w14:textId="77777777">
      <w:pPr>
        <w:spacing w:after="0" w:line="360" w:lineRule="auto"/>
        <w:jc w:val="both"/>
        <w:rPr>
          <w:rFonts w:ascii="Verdana" w:hAnsi="Verdana"/>
          <w:b/>
          <w:bCs/>
          <w:sz w:val="24"/>
          <w:szCs w:val="24"/>
        </w:rPr>
      </w:pPr>
    </w:p>
    <w:p w:rsidRPr="00AD2BDA" w:rsidR="002905E0" w:rsidRDefault="002905E0" w14:paraId="2757C408" w14:textId="6C1808C0">
      <w:pPr>
        <w:pStyle w:val="Prrafodelista"/>
        <w:numPr>
          <w:ilvl w:val="2"/>
          <w:numId w:val="42"/>
        </w:numPr>
        <w:spacing w:after="0" w:line="360" w:lineRule="auto"/>
        <w:jc w:val="both"/>
        <w:rPr>
          <w:rFonts w:ascii="Verdana" w:hAnsi="Verdana"/>
          <w:b/>
          <w:bCs/>
          <w:sz w:val="24"/>
          <w:szCs w:val="24"/>
        </w:rPr>
      </w:pPr>
      <w:r w:rsidRPr="00AD2BDA">
        <w:rPr>
          <w:rFonts w:ascii="Verdana" w:hAnsi="Verdana"/>
          <w:b/>
          <w:bCs/>
          <w:sz w:val="24"/>
          <w:szCs w:val="24"/>
        </w:rPr>
        <w:t xml:space="preserve">Período 2025 – 2026 (marzo) </w:t>
      </w:r>
    </w:p>
    <w:p w:rsidRPr="002905E0" w:rsidR="002905E0" w:rsidP="005358E1" w:rsidRDefault="002905E0" w14:paraId="6D081EA7" w14:textId="77777777">
      <w:pPr>
        <w:spacing w:after="0" w:line="360" w:lineRule="auto"/>
        <w:jc w:val="both"/>
        <w:rPr>
          <w:rFonts w:ascii="Verdana" w:hAnsi="Verdana"/>
          <w:sz w:val="24"/>
          <w:szCs w:val="24"/>
        </w:rPr>
      </w:pPr>
    </w:p>
    <w:p w:rsidRPr="00AD2BDA" w:rsidR="002905E0" w:rsidP="005358E1" w:rsidRDefault="002905E0" w14:paraId="5EB90B04" w14:textId="25BC1AF2">
      <w:pPr>
        <w:spacing w:after="0" w:line="360" w:lineRule="auto"/>
        <w:jc w:val="both"/>
        <w:rPr>
          <w:rFonts w:ascii="Verdana" w:hAnsi="Verdana"/>
          <w:b/>
          <w:bCs/>
          <w:sz w:val="24"/>
          <w:szCs w:val="24"/>
        </w:rPr>
      </w:pPr>
      <w:r w:rsidRPr="00AD2BDA">
        <w:rPr>
          <w:rFonts w:ascii="Verdana" w:hAnsi="Verdana"/>
          <w:b/>
          <w:bCs/>
          <w:sz w:val="24"/>
          <w:szCs w:val="24"/>
        </w:rPr>
        <w:t xml:space="preserve">Marco de Referencia de Arquitectura Empresarial </w:t>
      </w:r>
    </w:p>
    <w:p w:rsidRPr="002905E0" w:rsidR="002905E0" w:rsidP="005358E1" w:rsidRDefault="002905E0" w14:paraId="7BE8847F" w14:textId="77777777">
      <w:pPr>
        <w:spacing w:after="0" w:line="360" w:lineRule="auto"/>
        <w:jc w:val="both"/>
        <w:rPr>
          <w:rFonts w:ascii="Verdana" w:hAnsi="Verdana"/>
          <w:sz w:val="24"/>
          <w:szCs w:val="24"/>
        </w:rPr>
      </w:pPr>
    </w:p>
    <w:p w:rsidRPr="002905E0" w:rsidR="002905E0" w:rsidP="005358E1" w:rsidRDefault="002905E0" w14:paraId="222FF97E" w14:textId="77777777">
      <w:pPr>
        <w:spacing w:after="0" w:line="360" w:lineRule="auto"/>
        <w:jc w:val="both"/>
        <w:rPr>
          <w:rFonts w:ascii="Verdana" w:hAnsi="Verdana"/>
          <w:sz w:val="24"/>
          <w:szCs w:val="24"/>
        </w:rPr>
      </w:pPr>
      <w:r w:rsidRPr="002905E0">
        <w:rPr>
          <w:rFonts w:ascii="Verdana" w:hAnsi="Verdana"/>
          <w:sz w:val="24"/>
          <w:szCs w:val="24"/>
        </w:rPr>
        <w:t xml:space="preserve">Durante las vigencias 2025 y 2026, la consolidación de la arquitectura institucional y sectorial se fundamentó en el diseño, socialización y seguimiento del Plan Estratégico de Tecnologías de la Información (PETI) Sectorial. Este proceso se estructuró a partir del levantamiento minucioso de las cadenas de valor, los catálogos de sistemas, los activos de información y la infraestructura tecnológica de las entidades de minería, energía e hidrocarburos. Dicho análisis habilitó la evaluación de brechas (As-Is / To-Be) y la formulación de una hoja de ruta con indicadores de gestión (KPI) orientada a la transformación digital coordinada. </w:t>
      </w:r>
    </w:p>
    <w:p w:rsidRPr="002905E0" w:rsidR="002905E0" w:rsidP="005358E1" w:rsidRDefault="002905E0" w14:paraId="25832C45" w14:textId="77777777">
      <w:pPr>
        <w:spacing w:after="0" w:line="360" w:lineRule="auto"/>
        <w:jc w:val="both"/>
        <w:rPr>
          <w:rFonts w:ascii="Verdana" w:hAnsi="Verdana"/>
          <w:sz w:val="24"/>
          <w:szCs w:val="24"/>
        </w:rPr>
      </w:pPr>
    </w:p>
    <w:p w:rsidRPr="002905E0" w:rsidR="002905E0" w:rsidP="005358E1" w:rsidRDefault="002905E0" w14:paraId="34461035" w14:textId="77777777">
      <w:pPr>
        <w:spacing w:after="0" w:line="360" w:lineRule="auto"/>
        <w:jc w:val="both"/>
        <w:rPr>
          <w:rFonts w:ascii="Verdana" w:hAnsi="Verdana"/>
          <w:sz w:val="24"/>
          <w:szCs w:val="24"/>
        </w:rPr>
      </w:pPr>
      <w:r w:rsidRPr="002905E0">
        <w:rPr>
          <w:rFonts w:ascii="Verdana" w:hAnsi="Verdana"/>
          <w:sz w:val="24"/>
          <w:szCs w:val="24"/>
        </w:rPr>
        <w:t xml:space="preserve">A nivel interno, el Ministerio materializó la adopción del Modelo de Arquitectura Empresarial (MAE), estableciendo una arquitectura de referencia que estandariza el diseño de soluciones TI. En el marco del Modelo de Gestión y Gobierno de TI (MGGTI), se ejecutó una modernización operativa que amplió el mapa de procesos misionales adoptados de 6 a 23 procedimientos formales. Esta reestructuración se soportó en la metodología de diagramación y automatización BPMN (Business Process Model and Notation) bajo la dirección de la Oficina de Planeación y Gestión Internacional (OPGI). Paralelamente, se institucionalizó el Modelo de Gestión de Proyectos de TI (MGPTI) mediante </w:t>
      </w:r>
      <w:r w:rsidRPr="002905E0">
        <w:rPr>
          <w:rFonts w:ascii="Verdana" w:hAnsi="Verdana"/>
          <w:sz w:val="24"/>
          <w:szCs w:val="24"/>
        </w:rPr>
        <w:t xml:space="preserve">la consolidación de una Oficina de Gestión de Proyectos (PMO) y la implementación de la herramienta TAIGA, asegurando la trazabilidad operativa, técnica y presupuestal del portafolio tecnológico con miras a su escalamiento sectorial. </w:t>
      </w:r>
    </w:p>
    <w:p w:rsidRPr="002905E0" w:rsidR="002905E0" w:rsidP="005358E1" w:rsidRDefault="002905E0" w14:paraId="7EE8A37B" w14:textId="77777777">
      <w:pPr>
        <w:spacing w:after="0" w:line="360" w:lineRule="auto"/>
        <w:jc w:val="both"/>
        <w:rPr>
          <w:rFonts w:ascii="Verdana" w:hAnsi="Verdana"/>
          <w:sz w:val="24"/>
          <w:szCs w:val="24"/>
        </w:rPr>
      </w:pPr>
    </w:p>
    <w:p w:rsidRPr="00AD2BDA" w:rsidR="002905E0" w:rsidP="005358E1" w:rsidRDefault="002905E0" w14:paraId="3DD4AAE8" w14:textId="77777777">
      <w:pPr>
        <w:spacing w:after="0" w:line="360" w:lineRule="auto"/>
        <w:jc w:val="both"/>
        <w:rPr>
          <w:rFonts w:ascii="Verdana" w:hAnsi="Verdana"/>
          <w:b/>
          <w:bCs/>
          <w:sz w:val="24"/>
          <w:szCs w:val="24"/>
        </w:rPr>
      </w:pPr>
      <w:r w:rsidRPr="00AD2BDA">
        <w:rPr>
          <w:rFonts w:ascii="Verdana" w:hAnsi="Verdana"/>
          <w:b/>
          <w:bCs/>
          <w:sz w:val="24"/>
          <w:szCs w:val="24"/>
        </w:rPr>
        <w:t xml:space="preserve">Seguridad de la Información </w:t>
      </w:r>
    </w:p>
    <w:p w:rsidRPr="002905E0" w:rsidR="002905E0" w:rsidP="005358E1" w:rsidRDefault="002905E0" w14:paraId="22AD5EA0" w14:textId="77777777">
      <w:pPr>
        <w:spacing w:after="0" w:line="360" w:lineRule="auto"/>
        <w:jc w:val="both"/>
        <w:rPr>
          <w:rFonts w:ascii="Verdana" w:hAnsi="Verdana"/>
          <w:sz w:val="24"/>
          <w:szCs w:val="24"/>
        </w:rPr>
      </w:pPr>
    </w:p>
    <w:p w:rsidRPr="002905E0" w:rsidR="002905E0" w:rsidP="005358E1" w:rsidRDefault="002905E0" w14:paraId="7013D984" w14:textId="77777777">
      <w:pPr>
        <w:spacing w:after="0" w:line="360" w:lineRule="auto"/>
        <w:jc w:val="both"/>
        <w:rPr>
          <w:rFonts w:ascii="Verdana" w:hAnsi="Verdana"/>
          <w:sz w:val="24"/>
          <w:szCs w:val="24"/>
        </w:rPr>
      </w:pPr>
      <w:r w:rsidRPr="002905E0">
        <w:rPr>
          <w:rFonts w:ascii="Verdana" w:hAnsi="Verdana"/>
          <w:sz w:val="24"/>
          <w:szCs w:val="24"/>
        </w:rPr>
        <w:t xml:space="preserve">La estrategia de ciberseguridad y continuidad operativa tuvo como eje central la implementación del Centro de Monitoreo Sectorial (CMS), concebido como la infraestructura crítica para la protección integral de los activos digitales del sector minero-energético. Esta plataforma integra salas especializadas para la visualización y análisis en tiempo real de datos críticos, mitigando los riesgos de interrupción en la prestación de servicios esenciales. </w:t>
      </w:r>
    </w:p>
    <w:p w:rsidRPr="002905E0" w:rsidR="002905E0" w:rsidP="005358E1" w:rsidRDefault="002905E0" w14:paraId="448CA267" w14:textId="77777777">
      <w:pPr>
        <w:spacing w:after="0" w:line="360" w:lineRule="auto"/>
        <w:jc w:val="both"/>
        <w:rPr>
          <w:rFonts w:ascii="Verdana" w:hAnsi="Verdana"/>
          <w:sz w:val="24"/>
          <w:szCs w:val="24"/>
        </w:rPr>
      </w:pPr>
    </w:p>
    <w:p w:rsidRPr="002905E0" w:rsidR="002905E0" w:rsidP="005358E1" w:rsidRDefault="002905E0" w14:paraId="623F1039" w14:textId="77777777">
      <w:pPr>
        <w:spacing w:after="0" w:line="360" w:lineRule="auto"/>
        <w:jc w:val="both"/>
        <w:rPr>
          <w:rFonts w:ascii="Verdana" w:hAnsi="Verdana"/>
          <w:sz w:val="24"/>
          <w:szCs w:val="24"/>
        </w:rPr>
      </w:pPr>
      <w:r w:rsidRPr="002905E0">
        <w:rPr>
          <w:rFonts w:ascii="Verdana" w:hAnsi="Verdana"/>
          <w:sz w:val="24"/>
          <w:szCs w:val="24"/>
        </w:rPr>
        <w:t xml:space="preserve">El CMS se encuentra soportado por un centro de datos principal de alta disponibilidad que garantiza la integridad y la interoperabilidad de los sistemas misionales, y que funciona como ecosistema habilitador para el despliegue de modelos de inteligencia artificial destinados a la detección temprana de anomalías operativas. En su Fase II de ejecución, el CMS contempla la habilitación del Centro de Datos Alterno (CDA), elemento estructural para el apalancamiento y operatividad de los planes de recuperación ante desastres (DRP) del sector. </w:t>
      </w:r>
    </w:p>
    <w:p w:rsidRPr="002905E0" w:rsidR="002905E0" w:rsidP="005358E1" w:rsidRDefault="002905E0" w14:paraId="285E4D80" w14:textId="77777777">
      <w:pPr>
        <w:spacing w:after="0" w:line="360" w:lineRule="auto"/>
        <w:jc w:val="both"/>
        <w:rPr>
          <w:rFonts w:ascii="Verdana" w:hAnsi="Verdana"/>
          <w:sz w:val="24"/>
          <w:szCs w:val="24"/>
        </w:rPr>
      </w:pPr>
    </w:p>
    <w:p w:rsidRPr="00AD2BDA" w:rsidR="002905E0" w:rsidP="005358E1" w:rsidRDefault="002905E0" w14:paraId="44CFE577" w14:textId="77777777">
      <w:pPr>
        <w:spacing w:after="0" w:line="360" w:lineRule="auto"/>
        <w:jc w:val="both"/>
        <w:rPr>
          <w:rFonts w:ascii="Verdana" w:hAnsi="Verdana"/>
          <w:b/>
          <w:bCs/>
          <w:sz w:val="24"/>
          <w:szCs w:val="24"/>
        </w:rPr>
      </w:pPr>
      <w:r w:rsidRPr="00AD2BDA">
        <w:rPr>
          <w:rFonts w:ascii="Verdana" w:hAnsi="Verdana"/>
          <w:b/>
          <w:bCs/>
          <w:sz w:val="24"/>
          <w:szCs w:val="24"/>
        </w:rPr>
        <w:t xml:space="preserve">Uso y Apropiación de TI </w:t>
      </w:r>
    </w:p>
    <w:p w:rsidRPr="002905E0" w:rsidR="002905E0" w:rsidP="005358E1" w:rsidRDefault="002905E0" w14:paraId="76A2E862" w14:textId="77777777">
      <w:pPr>
        <w:spacing w:after="0" w:line="360" w:lineRule="auto"/>
        <w:jc w:val="both"/>
        <w:rPr>
          <w:rFonts w:ascii="Verdana" w:hAnsi="Verdana"/>
          <w:sz w:val="24"/>
          <w:szCs w:val="24"/>
        </w:rPr>
      </w:pPr>
    </w:p>
    <w:p w:rsidRPr="002905E0" w:rsidR="002905E0" w:rsidP="005358E1" w:rsidRDefault="002905E0" w14:paraId="62B9F5DB" w14:textId="77777777">
      <w:pPr>
        <w:spacing w:after="0" w:line="360" w:lineRule="auto"/>
        <w:jc w:val="both"/>
        <w:rPr>
          <w:rFonts w:ascii="Verdana" w:hAnsi="Verdana"/>
          <w:sz w:val="24"/>
          <w:szCs w:val="24"/>
        </w:rPr>
      </w:pPr>
      <w:r w:rsidRPr="002905E0">
        <w:rPr>
          <w:rFonts w:ascii="Verdana" w:hAnsi="Verdana"/>
          <w:sz w:val="24"/>
          <w:szCs w:val="24"/>
        </w:rPr>
        <w:t xml:space="preserve">La estrategia de adopción tecnológica y gestión del conocimiento se focalizó en el fortalecimiento de capacidades en tecnologías emergentes e innovación abierta. Se ejecutó un plan de formación especializada en Internet de las Cosas (IoT), Ciencia de Datos, Redes Inteligentes y </w:t>
      </w:r>
      <w:r w:rsidRPr="002905E0">
        <w:rPr>
          <w:rFonts w:ascii="Verdana" w:hAnsi="Verdana"/>
          <w:sz w:val="24"/>
          <w:szCs w:val="24"/>
        </w:rPr>
        <w:t xml:space="preserve">Agentes Inteligentes, logrando capacitar a 439 servidores públicos y actores sectoriales con un índice de satisfacción del 96%. Asimismo, se adelantaron acciones de transferencia de conocimiento orientadas a consolidar competencias analíticas sostenibles. </w:t>
      </w:r>
    </w:p>
    <w:p w:rsidRPr="002905E0" w:rsidR="002905E0" w:rsidP="005358E1" w:rsidRDefault="002905E0" w14:paraId="1319AEF3" w14:textId="77777777">
      <w:pPr>
        <w:spacing w:after="0" w:line="360" w:lineRule="auto"/>
        <w:jc w:val="both"/>
        <w:rPr>
          <w:rFonts w:ascii="Verdana" w:hAnsi="Verdana"/>
          <w:sz w:val="24"/>
          <w:szCs w:val="24"/>
        </w:rPr>
      </w:pPr>
    </w:p>
    <w:p w:rsidRPr="002905E0" w:rsidR="002905E0" w:rsidP="005358E1" w:rsidRDefault="002905E0" w14:paraId="5B595254" w14:textId="77777777">
      <w:pPr>
        <w:spacing w:after="0" w:line="360" w:lineRule="auto"/>
        <w:jc w:val="both"/>
        <w:rPr>
          <w:rFonts w:ascii="Verdana" w:hAnsi="Verdana"/>
          <w:sz w:val="24"/>
          <w:szCs w:val="24"/>
        </w:rPr>
      </w:pPr>
      <w:r w:rsidRPr="002905E0">
        <w:rPr>
          <w:rFonts w:ascii="Verdana" w:hAnsi="Verdana"/>
          <w:sz w:val="24"/>
          <w:szCs w:val="24"/>
        </w:rPr>
        <w:t xml:space="preserve">Como hito de innovación y cocreación, se desarrolló la Hackathon Desafío Inteligente, un espacio de articulación entre la academia, el sector público y el talento digital. Este ejercicio convocó a 34 equipos, de los cuales 12 finalistas desarrollaron prototipos funcionales basados en datos abiertos para resolver problemáticas complejas, tales como la democratización de la energía solar comunitaria, la resiliencia hídrica de los embalses y la optimización del Sistema Interconectado Nacional. </w:t>
      </w:r>
    </w:p>
    <w:p w:rsidRPr="00AD2BDA" w:rsidR="002905E0" w:rsidP="005358E1" w:rsidRDefault="002905E0" w14:paraId="0CB8473F" w14:textId="77777777">
      <w:pPr>
        <w:spacing w:after="0" w:line="360" w:lineRule="auto"/>
        <w:jc w:val="both"/>
        <w:rPr>
          <w:rFonts w:ascii="Verdana" w:hAnsi="Verdana"/>
          <w:b/>
          <w:bCs/>
          <w:sz w:val="24"/>
          <w:szCs w:val="24"/>
        </w:rPr>
      </w:pPr>
    </w:p>
    <w:p w:rsidRPr="00AD2BDA" w:rsidR="002905E0" w:rsidP="005358E1" w:rsidRDefault="002905E0" w14:paraId="1491F07D" w14:textId="77777777">
      <w:pPr>
        <w:spacing w:after="0" w:line="360" w:lineRule="auto"/>
        <w:jc w:val="both"/>
        <w:rPr>
          <w:rFonts w:ascii="Verdana" w:hAnsi="Verdana"/>
          <w:b/>
          <w:bCs/>
          <w:sz w:val="24"/>
          <w:szCs w:val="24"/>
        </w:rPr>
      </w:pPr>
      <w:r w:rsidRPr="00AD2BDA">
        <w:rPr>
          <w:rFonts w:ascii="Verdana" w:hAnsi="Verdana"/>
          <w:b/>
          <w:bCs/>
          <w:sz w:val="24"/>
          <w:szCs w:val="24"/>
        </w:rPr>
        <w:t xml:space="preserve">Servicios Ciudadanos Digitales </w:t>
      </w:r>
    </w:p>
    <w:p w:rsidRPr="002905E0" w:rsidR="002905E0" w:rsidP="005358E1" w:rsidRDefault="002905E0" w14:paraId="3DC3B284" w14:textId="77777777">
      <w:pPr>
        <w:spacing w:after="0" w:line="360" w:lineRule="auto"/>
        <w:jc w:val="both"/>
        <w:rPr>
          <w:rFonts w:ascii="Verdana" w:hAnsi="Verdana"/>
          <w:sz w:val="24"/>
          <w:szCs w:val="24"/>
        </w:rPr>
      </w:pPr>
    </w:p>
    <w:p w:rsidRPr="002905E0" w:rsidR="002905E0" w:rsidP="005358E1" w:rsidRDefault="002905E0" w14:paraId="17A45A42" w14:textId="77777777">
      <w:pPr>
        <w:spacing w:after="0" w:line="360" w:lineRule="auto"/>
        <w:jc w:val="both"/>
        <w:rPr>
          <w:rFonts w:ascii="Verdana" w:hAnsi="Verdana"/>
          <w:sz w:val="24"/>
          <w:szCs w:val="24"/>
        </w:rPr>
      </w:pPr>
      <w:r w:rsidRPr="002905E0">
        <w:rPr>
          <w:rFonts w:ascii="Verdana" w:hAnsi="Verdana"/>
          <w:sz w:val="24"/>
          <w:szCs w:val="24"/>
        </w:rPr>
        <w:t xml:space="preserve">La generación de valor público y el fomento de la transparencia se materializaron a través de la disposición de información estructurada y servicios digitales de alto impacto. La plataforma INTÉGRAME consolidó su alcance con el registro de más de 22.800 visitas y la interacción de 6.300 usuarios únicos, facilitando la veeduría ciudadana y el acceso a microdatos sectoriales. </w:t>
      </w:r>
    </w:p>
    <w:p w:rsidRPr="002905E0" w:rsidR="002905E0" w:rsidP="005358E1" w:rsidRDefault="002905E0" w14:paraId="17274376" w14:textId="77777777">
      <w:pPr>
        <w:spacing w:after="0" w:line="360" w:lineRule="auto"/>
        <w:jc w:val="both"/>
        <w:rPr>
          <w:rFonts w:ascii="Verdana" w:hAnsi="Verdana"/>
          <w:sz w:val="24"/>
          <w:szCs w:val="24"/>
        </w:rPr>
      </w:pPr>
    </w:p>
    <w:p w:rsidRPr="002905E0" w:rsidR="002905E0" w:rsidP="005358E1" w:rsidRDefault="36FC4B77" w14:paraId="5853C328" w14:textId="77777777">
      <w:pPr>
        <w:spacing w:after="0" w:line="360" w:lineRule="auto"/>
        <w:jc w:val="both"/>
      </w:pPr>
      <w:r w:rsidRPr="620A7E17">
        <w:rPr>
          <w:rFonts w:ascii="Verdana" w:hAnsi="Verdana"/>
          <w:sz w:val="24"/>
          <w:szCs w:val="24"/>
        </w:rPr>
        <w:t xml:space="preserve">A nivel territorial, la Infraestructura de Datos Espaciales (IDE-ME) enriqueció su oferta mediante la publicación de geoservicios interactivos (visores tipo StoryMap). Estos desarrollos incorporaron capas estratégicas como el Índice de Pobreza Energética Multidimensional, con un enfoque diferencial en resguardos indígenas y consejos comunitarios, habilitando herramientas accesibles para que la ciudadanía y los actores locales participen en las iniciativas de transición energética y cierre de brechas territoriales. </w:t>
      </w:r>
    </w:p>
    <w:p w:rsidR="620A7E17" w:rsidP="620A7E17" w:rsidRDefault="620A7E17" w14:paraId="3A5C41C1" w14:textId="6A2E24A7">
      <w:pPr>
        <w:spacing w:after="0" w:line="360" w:lineRule="auto"/>
        <w:jc w:val="both"/>
        <w:rPr>
          <w:rFonts w:ascii="Verdana" w:hAnsi="Verdana"/>
          <w:sz w:val="24"/>
          <w:szCs w:val="24"/>
        </w:rPr>
      </w:pPr>
    </w:p>
    <w:p w:rsidRPr="00AD2BDA" w:rsidR="002905E0" w:rsidP="005358E1" w:rsidRDefault="002905E0" w14:paraId="6E173AA4" w14:textId="77777777">
      <w:pPr>
        <w:spacing w:after="0" w:line="360" w:lineRule="auto"/>
        <w:jc w:val="both"/>
        <w:rPr>
          <w:rFonts w:ascii="Verdana" w:hAnsi="Verdana"/>
          <w:b/>
          <w:bCs/>
          <w:sz w:val="24"/>
          <w:szCs w:val="24"/>
        </w:rPr>
      </w:pPr>
      <w:r w:rsidRPr="00AD2BDA">
        <w:rPr>
          <w:rFonts w:ascii="Verdana" w:hAnsi="Verdana"/>
          <w:b/>
          <w:bCs/>
          <w:sz w:val="24"/>
          <w:szCs w:val="24"/>
        </w:rPr>
        <w:t xml:space="preserve">Gestión y Gobierno de Datos </w:t>
      </w:r>
    </w:p>
    <w:p w:rsidRPr="002905E0" w:rsidR="002905E0" w:rsidP="005358E1" w:rsidRDefault="002905E0" w14:paraId="0C31A4E3" w14:textId="77777777">
      <w:pPr>
        <w:spacing w:after="0" w:line="360" w:lineRule="auto"/>
        <w:jc w:val="both"/>
        <w:rPr>
          <w:rFonts w:ascii="Verdana" w:hAnsi="Verdana"/>
          <w:sz w:val="24"/>
          <w:szCs w:val="24"/>
        </w:rPr>
      </w:pPr>
    </w:p>
    <w:p w:rsidRPr="002905E0" w:rsidR="002905E0" w:rsidP="005358E1" w:rsidRDefault="002905E0" w14:paraId="678F3CF4" w14:textId="77777777">
      <w:pPr>
        <w:spacing w:after="0" w:line="360" w:lineRule="auto"/>
        <w:jc w:val="both"/>
        <w:rPr>
          <w:rFonts w:ascii="Verdana" w:hAnsi="Verdana"/>
          <w:sz w:val="24"/>
          <w:szCs w:val="24"/>
        </w:rPr>
      </w:pPr>
      <w:r w:rsidRPr="002905E0">
        <w:rPr>
          <w:rFonts w:ascii="Verdana" w:hAnsi="Verdana"/>
          <w:sz w:val="24"/>
          <w:szCs w:val="24"/>
        </w:rPr>
        <w:t xml:space="preserve">La gobernanza de la información se consolidó como el cimiento operativo de la transformación digital, alineando los lineamientos de la Resolución 40199 de 2021 con la Estrategia Nacional Digital 2023–2026, el Plan Nacional de Infraestructura de Datos (PNID) y el CONPES 4144 de Inteligencia Artificial. Se estructuró un nuevo instrumento normativo para descentralizar capacidades, priorizando el uso de software libre, estándares abiertos (DAMA-DMBOK) y directrices éticas para el aprovechamiento de la IA. </w:t>
      </w:r>
    </w:p>
    <w:p w:rsidRPr="002905E0" w:rsidR="002905E0" w:rsidP="005358E1" w:rsidRDefault="002905E0" w14:paraId="7D224816" w14:textId="77777777">
      <w:pPr>
        <w:spacing w:after="0" w:line="360" w:lineRule="auto"/>
        <w:jc w:val="both"/>
        <w:rPr>
          <w:rFonts w:ascii="Verdana" w:hAnsi="Verdana"/>
          <w:sz w:val="24"/>
          <w:szCs w:val="24"/>
        </w:rPr>
      </w:pPr>
    </w:p>
    <w:p w:rsidRPr="002905E0" w:rsidR="002905E0" w:rsidP="005358E1" w:rsidRDefault="002905E0" w14:paraId="27345FF7" w14:textId="77777777">
      <w:pPr>
        <w:spacing w:after="0" w:line="360" w:lineRule="auto"/>
        <w:jc w:val="both"/>
        <w:rPr>
          <w:rFonts w:ascii="Verdana" w:hAnsi="Verdana"/>
          <w:sz w:val="24"/>
          <w:szCs w:val="24"/>
        </w:rPr>
      </w:pPr>
      <w:r w:rsidRPr="002905E0">
        <w:rPr>
          <w:rFonts w:ascii="Verdana" w:hAnsi="Verdana"/>
          <w:sz w:val="24"/>
          <w:szCs w:val="24"/>
        </w:rPr>
        <w:t xml:space="preserve">En el ámbito de la planeación estadística, se formalizó la Secretaría Técnica de la Mesa Estadística Sectorial en articulación con el DANE y actores como el FENOGE. Este ecosistema, conformado por más de 80 entidades, caracterizó registros administrativos e identificó 36 requerimientos críticos de información. Para garantizar la confiabilidad, se implementó un Sistema de Aseguramiento de la Calidad de Datos (SACD) que estandariza la detección de inconsistencias desde su origen. </w:t>
      </w:r>
    </w:p>
    <w:p w:rsidRPr="002905E0" w:rsidR="002905E0" w:rsidP="005358E1" w:rsidRDefault="002905E0" w14:paraId="1F5256D5" w14:textId="77777777">
      <w:pPr>
        <w:spacing w:after="0" w:line="360" w:lineRule="auto"/>
        <w:jc w:val="both"/>
        <w:rPr>
          <w:rFonts w:ascii="Verdana" w:hAnsi="Verdana"/>
          <w:sz w:val="24"/>
          <w:szCs w:val="24"/>
        </w:rPr>
      </w:pPr>
    </w:p>
    <w:p w:rsidRPr="002905E0" w:rsidR="002905E0" w:rsidP="005358E1" w:rsidRDefault="002905E0" w14:paraId="34D9E386" w14:textId="77777777">
      <w:pPr>
        <w:spacing w:after="0" w:line="360" w:lineRule="auto"/>
        <w:jc w:val="both"/>
        <w:rPr>
          <w:rFonts w:ascii="Verdana" w:hAnsi="Verdana"/>
          <w:sz w:val="24"/>
          <w:szCs w:val="24"/>
        </w:rPr>
      </w:pPr>
      <w:r w:rsidRPr="002905E0">
        <w:rPr>
          <w:rFonts w:ascii="Verdana" w:hAnsi="Verdana"/>
          <w:sz w:val="24"/>
          <w:szCs w:val="24"/>
        </w:rPr>
        <w:t xml:space="preserve">A nivel tecnológico, las plataformas analíticas incrementaron sus capacidades de manera exponencial: </w:t>
      </w:r>
    </w:p>
    <w:p w:rsidRPr="002905E0" w:rsidR="002905E0" w:rsidP="005358E1" w:rsidRDefault="002905E0" w14:paraId="25FA63B9" w14:textId="77777777">
      <w:pPr>
        <w:spacing w:after="0" w:line="360" w:lineRule="auto"/>
        <w:jc w:val="both"/>
        <w:rPr>
          <w:rFonts w:ascii="Verdana" w:hAnsi="Verdana"/>
          <w:sz w:val="24"/>
          <w:szCs w:val="24"/>
        </w:rPr>
      </w:pPr>
    </w:p>
    <w:p w:rsidRPr="002905E0" w:rsidR="002905E0" w:rsidP="005358E1" w:rsidRDefault="002905E0" w14:paraId="11D07418" w14:textId="77777777">
      <w:pPr>
        <w:spacing w:after="0" w:line="360" w:lineRule="auto"/>
        <w:jc w:val="both"/>
        <w:rPr>
          <w:rFonts w:ascii="Verdana" w:hAnsi="Verdana"/>
          <w:sz w:val="24"/>
          <w:szCs w:val="24"/>
        </w:rPr>
      </w:pPr>
      <w:r w:rsidRPr="002905E0">
        <w:rPr>
          <w:rFonts w:ascii="Verdana" w:hAnsi="Verdana"/>
          <w:sz w:val="24"/>
          <w:szCs w:val="24"/>
        </w:rPr>
        <w:t xml:space="preserve">INTÉGRAME: Integró casos de uso automatizados para el seguimiento del Plan 6GW, proyectos de electrificación rural, comunidades energéticas, declaraciones de gas y dinámicas de movilización social, a través de nuevos buses dimensionales y tableros estratégicos. </w:t>
      </w:r>
    </w:p>
    <w:p w:rsidRPr="002905E0" w:rsidR="002905E0" w:rsidP="005358E1" w:rsidRDefault="002905E0" w14:paraId="050285ED" w14:textId="77777777">
      <w:pPr>
        <w:spacing w:after="0" w:line="360" w:lineRule="auto"/>
        <w:jc w:val="both"/>
        <w:rPr>
          <w:rFonts w:ascii="Verdana" w:hAnsi="Verdana"/>
          <w:sz w:val="24"/>
          <w:szCs w:val="24"/>
        </w:rPr>
      </w:pPr>
    </w:p>
    <w:p w:rsidRPr="002905E0" w:rsidR="002905E0" w:rsidP="005358E1" w:rsidRDefault="002905E0" w14:paraId="4CD89A55" w14:textId="77777777">
      <w:pPr>
        <w:spacing w:after="0" w:line="360" w:lineRule="auto"/>
        <w:jc w:val="both"/>
        <w:rPr>
          <w:rFonts w:ascii="Verdana" w:hAnsi="Verdana"/>
          <w:sz w:val="24"/>
          <w:szCs w:val="24"/>
        </w:rPr>
      </w:pPr>
      <w:r w:rsidRPr="002905E0">
        <w:rPr>
          <w:rFonts w:ascii="Verdana" w:hAnsi="Verdana"/>
          <w:sz w:val="24"/>
          <w:szCs w:val="24"/>
        </w:rPr>
        <w:t xml:space="preserve">IDE-ME: Desplegó geoservicios sobre versiones actualizadas de GeoServer y estructuró la Matriz Operativa de Priorización de Datos </w:t>
      </w:r>
      <w:r w:rsidRPr="002905E0">
        <w:rPr>
          <w:rFonts w:ascii="Verdana" w:hAnsi="Verdana"/>
          <w:sz w:val="24"/>
          <w:szCs w:val="24"/>
        </w:rPr>
        <w:t xml:space="preserve">Geoespaciales y el catálogo de objetos de la Base de Datos Corporativa Geográfica, en estricta coordinación con la Infraestructura Colombiana de Datos Espaciales (ICDE). </w:t>
      </w:r>
    </w:p>
    <w:p w:rsidRPr="002905E0" w:rsidR="002905E0" w:rsidP="005358E1" w:rsidRDefault="002905E0" w14:paraId="2CA5826D" w14:textId="77777777">
      <w:pPr>
        <w:spacing w:after="0" w:line="360" w:lineRule="auto"/>
        <w:jc w:val="both"/>
        <w:rPr>
          <w:rFonts w:ascii="Verdana" w:hAnsi="Verdana"/>
          <w:sz w:val="24"/>
          <w:szCs w:val="24"/>
        </w:rPr>
      </w:pPr>
    </w:p>
    <w:p w:rsidR="002905E0" w:rsidP="005358E1" w:rsidRDefault="002905E0" w14:paraId="2132FB7F" w14:textId="4FA2BEFF">
      <w:pPr>
        <w:spacing w:after="0" w:line="360" w:lineRule="auto"/>
        <w:jc w:val="both"/>
        <w:rPr>
          <w:rFonts w:ascii="Verdana" w:hAnsi="Verdana"/>
          <w:sz w:val="24"/>
          <w:szCs w:val="24"/>
        </w:rPr>
      </w:pPr>
      <w:r w:rsidRPr="002905E0">
        <w:rPr>
          <w:rFonts w:ascii="Verdana" w:hAnsi="Verdana"/>
          <w:sz w:val="24"/>
          <w:szCs w:val="24"/>
        </w:rPr>
        <w:t>Estudios Estratégicos: Se formuló una Matriz de Estandarización Metodológica para asegurar la trazabilidad y reproducibilidad de los modelos analíticos, priorizando el análisis prospectivo en hidrocarburos y la construcción de boletines exploratorios escalables.</w:t>
      </w:r>
    </w:p>
    <w:p w:rsidR="006A7C82" w:rsidP="005358E1" w:rsidRDefault="006A7C82" w14:paraId="31862B28" w14:textId="77777777">
      <w:pPr>
        <w:spacing w:after="0" w:line="360" w:lineRule="auto"/>
        <w:jc w:val="both"/>
        <w:rPr>
          <w:rFonts w:ascii="Verdana" w:hAnsi="Verdana"/>
          <w:sz w:val="24"/>
          <w:szCs w:val="24"/>
        </w:rPr>
      </w:pPr>
    </w:p>
    <w:p w:rsidRPr="00AD2BDA" w:rsidR="00AD2BDA" w:rsidP="005358E1" w:rsidRDefault="00AD2BDA" w14:paraId="4C916EB3" w14:textId="08763B54">
      <w:pPr>
        <w:pStyle w:val="Ttulo1"/>
        <w:spacing w:before="0" w:after="0" w:line="360" w:lineRule="auto"/>
        <w:rPr>
          <w:rFonts w:ascii="Verdana" w:hAnsi="Verdana"/>
          <w:b/>
          <w:bCs/>
          <w:color w:val="auto"/>
          <w:sz w:val="24"/>
          <w:szCs w:val="24"/>
          <w:highlight w:val="yellow"/>
        </w:rPr>
      </w:pPr>
      <w:bookmarkStart w:name="_Toc233996753" w:id="36"/>
      <w:r w:rsidRPr="00AD2BDA">
        <w:rPr>
          <w:rFonts w:ascii="Verdana" w:hAnsi="Verdana"/>
          <w:b/>
          <w:bCs/>
          <w:color w:val="auto"/>
          <w:sz w:val="24"/>
          <w:szCs w:val="24"/>
        </w:rPr>
        <w:t>8.3. Avances Gobierno Digital</w:t>
      </w:r>
      <w:bookmarkEnd w:id="36"/>
    </w:p>
    <w:p w:rsidRPr="00AD2BDA" w:rsidR="00AD2BDA" w:rsidP="005358E1" w:rsidRDefault="00AD2BDA" w14:paraId="5ADB453F" w14:textId="77777777">
      <w:pPr>
        <w:spacing w:after="0" w:line="360" w:lineRule="auto"/>
        <w:jc w:val="both"/>
        <w:rPr>
          <w:rFonts w:ascii="Verdana" w:hAnsi="Verdana"/>
          <w:sz w:val="24"/>
          <w:szCs w:val="24"/>
        </w:rPr>
      </w:pPr>
    </w:p>
    <w:p w:rsidRPr="00AD2BDA" w:rsidR="00AD2BDA" w:rsidP="005358E1" w:rsidRDefault="00AD2BDA" w14:paraId="4AA56BF3" w14:textId="39CF256B">
      <w:pPr>
        <w:spacing w:after="0" w:line="360" w:lineRule="auto"/>
        <w:jc w:val="both"/>
        <w:rPr>
          <w:rFonts w:ascii="Verdana" w:hAnsi="Verdana"/>
          <w:sz w:val="24"/>
          <w:szCs w:val="24"/>
        </w:rPr>
      </w:pPr>
      <w:r w:rsidRPr="00AD2BDA">
        <w:rPr>
          <w:rFonts w:ascii="Verdana" w:hAnsi="Verdana"/>
          <w:sz w:val="24"/>
          <w:szCs w:val="24"/>
        </w:rPr>
        <w:t xml:space="preserve">El Ministerio de Minas y Energía de la mano con sus logros en la gestión TIC, ha ido implementando de manera estratégica, objetivos y metas en seguridad de la información, ciberseguridad y ciberdefensa de que se sustentados siempre bajo la óptica de las normas, estándares internacionales, y particularmente, sobre los lineamientos y directrices gubernamentales la Política de Seguridad Digital, de tal forma que sus activos de información, operación, institucionalidad y misionalidad se mantengan activas siempre, y que si por alguna razón, se llegara a presentar un evento no deseado, se cuente con capacidades que le permitan, tener continuidad, al menos con sus servicios y operaciones críticas, haciéndolo más resiliente ante este tipo de situaciones. </w:t>
      </w:r>
    </w:p>
    <w:p w:rsidRPr="00AD2BDA" w:rsidR="00AD2BDA" w:rsidP="005358E1" w:rsidRDefault="00AD2BDA" w14:paraId="472B1A46" w14:textId="77777777">
      <w:pPr>
        <w:spacing w:after="0" w:line="360" w:lineRule="auto"/>
        <w:jc w:val="both"/>
        <w:rPr>
          <w:rFonts w:ascii="Verdana" w:hAnsi="Verdana"/>
          <w:sz w:val="24"/>
          <w:szCs w:val="24"/>
        </w:rPr>
      </w:pPr>
    </w:p>
    <w:p w:rsidRPr="00AD2BDA" w:rsidR="002905E0" w:rsidP="005358E1" w:rsidRDefault="00AD2BDA" w14:paraId="2A96A2E7" w14:textId="5B9BD6D4">
      <w:pPr>
        <w:spacing w:after="0" w:line="360" w:lineRule="auto"/>
        <w:jc w:val="both"/>
        <w:rPr>
          <w:rFonts w:ascii="Verdana" w:hAnsi="Verdana"/>
          <w:sz w:val="24"/>
          <w:szCs w:val="24"/>
          <w:highlight w:val="yellow"/>
        </w:rPr>
      </w:pPr>
      <w:r w:rsidRPr="00AD2BDA">
        <w:rPr>
          <w:rFonts w:ascii="Verdana" w:hAnsi="Verdana"/>
          <w:sz w:val="24"/>
          <w:szCs w:val="24"/>
        </w:rPr>
        <w:t>En ese sentido, los logros más importantes se describen a continuación:</w:t>
      </w:r>
    </w:p>
    <w:p w:rsidR="00AD2BDA" w:rsidP="005358E1" w:rsidRDefault="00AD2BDA" w14:paraId="346BD806" w14:textId="77777777">
      <w:pPr>
        <w:spacing w:after="0" w:line="360" w:lineRule="auto"/>
        <w:jc w:val="both"/>
        <w:rPr>
          <w:rFonts w:ascii="Verdana" w:hAnsi="Verdana"/>
          <w:sz w:val="24"/>
          <w:szCs w:val="24"/>
          <w:highlight w:val="yellow"/>
        </w:rPr>
      </w:pPr>
    </w:p>
    <w:p w:rsidRPr="00AD2BDA" w:rsidR="00AD2BDA" w:rsidRDefault="00AD2BDA" w14:paraId="6E603039" w14:textId="61A33D0B">
      <w:pPr>
        <w:pStyle w:val="Prrafodelista"/>
        <w:numPr>
          <w:ilvl w:val="2"/>
          <w:numId w:val="93"/>
        </w:numPr>
        <w:spacing w:after="0" w:line="360" w:lineRule="auto"/>
        <w:jc w:val="both"/>
        <w:rPr>
          <w:rFonts w:ascii="Verdana" w:hAnsi="Verdana"/>
          <w:sz w:val="24"/>
          <w:szCs w:val="24"/>
        </w:rPr>
      </w:pPr>
      <w:r w:rsidRPr="00AD2BDA">
        <w:rPr>
          <w:rFonts w:ascii="Verdana" w:hAnsi="Verdana"/>
          <w:b/>
          <w:bCs/>
          <w:sz w:val="24"/>
          <w:szCs w:val="24"/>
        </w:rPr>
        <w:t>Período 2022 </w:t>
      </w:r>
      <w:r w:rsidRPr="00AD2BDA">
        <w:rPr>
          <w:rFonts w:ascii="Verdana" w:hAnsi="Verdana"/>
          <w:sz w:val="24"/>
          <w:szCs w:val="24"/>
        </w:rPr>
        <w:t> </w:t>
      </w:r>
    </w:p>
    <w:p w:rsidRPr="00AD2BDA" w:rsidR="00AD2BDA" w:rsidP="005358E1" w:rsidRDefault="00AD2BDA" w14:paraId="7B26E76D" w14:textId="77777777">
      <w:pPr>
        <w:spacing w:after="0" w:line="360" w:lineRule="auto"/>
        <w:jc w:val="both"/>
        <w:rPr>
          <w:rFonts w:ascii="Verdana" w:hAnsi="Verdana"/>
          <w:sz w:val="24"/>
          <w:szCs w:val="24"/>
        </w:rPr>
      </w:pPr>
      <w:r w:rsidRPr="00AD2BDA">
        <w:rPr>
          <w:rFonts w:ascii="Verdana" w:hAnsi="Verdana"/>
          <w:sz w:val="24"/>
          <w:szCs w:val="24"/>
        </w:rPr>
        <w:t> </w:t>
      </w:r>
    </w:p>
    <w:p w:rsidRPr="00AD2BDA" w:rsidR="00AD2BDA" w:rsidP="005358E1" w:rsidRDefault="00AD2BDA" w14:paraId="1E893005" w14:textId="77777777">
      <w:pPr>
        <w:spacing w:after="0" w:line="360" w:lineRule="auto"/>
        <w:jc w:val="both"/>
        <w:rPr>
          <w:rFonts w:ascii="Verdana" w:hAnsi="Verdana"/>
          <w:sz w:val="24"/>
          <w:szCs w:val="24"/>
        </w:rPr>
      </w:pPr>
      <w:r w:rsidRPr="00AD2BDA">
        <w:rPr>
          <w:rFonts w:ascii="Verdana" w:hAnsi="Verdana"/>
          <w:sz w:val="24"/>
          <w:szCs w:val="24"/>
        </w:rPr>
        <w:t xml:space="preserve">A través de la Iniciativa ITO4, el Ministerio de Minas y Energía (MINENERGIA) ejecutó la actualización e implementación de su Modelo de Seguridad y Privacidad de la Información (MSPI). El objetivo central </w:t>
      </w:r>
      <w:r w:rsidRPr="00AD2BDA">
        <w:rPr>
          <w:rFonts w:ascii="Verdana" w:hAnsi="Verdana"/>
          <w:sz w:val="24"/>
          <w:szCs w:val="24"/>
        </w:rPr>
        <w:t>fue incorporar procesos y controles para proteger la información institucional frente a los nuevos riesgos del entorno digital, en este sentido se avanzó en tres frentes clave:  </w:t>
      </w:r>
    </w:p>
    <w:p w:rsidR="00AD2BDA" w:rsidP="005358E1" w:rsidRDefault="00AD2BDA" w14:paraId="128238D1" w14:textId="77777777">
      <w:pPr>
        <w:spacing w:after="0" w:line="360" w:lineRule="auto"/>
        <w:jc w:val="both"/>
        <w:rPr>
          <w:rFonts w:ascii="Verdana" w:hAnsi="Verdana"/>
          <w:b/>
          <w:bCs/>
          <w:sz w:val="24"/>
          <w:szCs w:val="24"/>
        </w:rPr>
      </w:pPr>
    </w:p>
    <w:p w:rsidR="00AD2BDA" w:rsidP="005358E1" w:rsidRDefault="00AD2BDA" w14:paraId="1003E731" w14:textId="44BC9A8F">
      <w:pPr>
        <w:spacing w:after="0" w:line="360" w:lineRule="auto"/>
        <w:jc w:val="both"/>
        <w:rPr>
          <w:rFonts w:ascii="Verdana" w:hAnsi="Verdana"/>
          <w:sz w:val="24"/>
          <w:szCs w:val="24"/>
        </w:rPr>
      </w:pPr>
      <w:r w:rsidRPr="00AD2BDA">
        <w:rPr>
          <w:rFonts w:ascii="Verdana" w:hAnsi="Verdana"/>
          <w:b/>
          <w:bCs/>
          <w:sz w:val="24"/>
          <w:szCs w:val="24"/>
        </w:rPr>
        <w:t>Diagnóstico y Gestión de Riesgos</w:t>
      </w:r>
      <w:r w:rsidRPr="00AD2BDA">
        <w:rPr>
          <w:rFonts w:ascii="Verdana" w:hAnsi="Verdana"/>
          <w:sz w:val="24"/>
          <w:szCs w:val="24"/>
        </w:rPr>
        <w:t> </w:t>
      </w:r>
    </w:p>
    <w:p w:rsidRPr="00AD2BDA" w:rsidR="00AD2BDA" w:rsidP="005358E1" w:rsidRDefault="00AD2BDA" w14:paraId="78E0ADE5" w14:textId="77777777">
      <w:pPr>
        <w:spacing w:after="0" w:line="360" w:lineRule="auto"/>
        <w:jc w:val="both"/>
        <w:rPr>
          <w:rFonts w:ascii="Verdana" w:hAnsi="Verdana"/>
          <w:sz w:val="24"/>
          <w:szCs w:val="24"/>
        </w:rPr>
      </w:pPr>
    </w:p>
    <w:p w:rsidRPr="00AD2BDA" w:rsidR="00AD2BDA" w:rsidRDefault="00AD2BDA" w14:paraId="00C8FF32" w14:textId="77777777">
      <w:pPr>
        <w:numPr>
          <w:ilvl w:val="0"/>
          <w:numId w:val="76"/>
        </w:numPr>
        <w:spacing w:after="0" w:line="360" w:lineRule="auto"/>
        <w:jc w:val="both"/>
        <w:rPr>
          <w:rFonts w:ascii="Verdana" w:hAnsi="Verdana"/>
          <w:sz w:val="24"/>
          <w:szCs w:val="24"/>
        </w:rPr>
      </w:pPr>
      <w:r w:rsidRPr="00AD2BDA">
        <w:rPr>
          <w:rFonts w:ascii="Verdana" w:hAnsi="Verdana"/>
          <w:sz w:val="24"/>
          <w:szCs w:val="24"/>
        </w:rPr>
        <w:t>Medición de Madurez: Se diagnosticó el estado inicial y se midió el grado de avance de la Entidad en seguridad de la información tras la implementación de las medidas de ajuste. </w:t>
      </w:r>
    </w:p>
    <w:p w:rsidR="00AD2BDA" w:rsidRDefault="28F12D9C" w14:paraId="39F2E413" w14:textId="77777777">
      <w:pPr>
        <w:numPr>
          <w:ilvl w:val="0"/>
          <w:numId w:val="77"/>
        </w:numPr>
        <w:spacing w:after="0" w:line="360" w:lineRule="auto"/>
        <w:jc w:val="both"/>
        <w:rPr>
          <w:rFonts w:ascii="Verdana" w:hAnsi="Verdana"/>
          <w:sz w:val="24"/>
          <w:szCs w:val="24"/>
        </w:rPr>
      </w:pPr>
      <w:r w:rsidRPr="620A7E17">
        <w:rPr>
          <w:rFonts w:ascii="Verdana" w:hAnsi="Verdana"/>
          <w:sz w:val="24"/>
          <w:szCs w:val="24"/>
        </w:rPr>
        <w:t>Gestión de Activos y Riesgos: Se actualizó el inventario de activos de la Entidad y se definieron estrategias metodológicas para que las áreas responsables garanticen su actualización continua. Asimismo, se realizó una nueva identificación y valoración integral de los riesgos de seguridad. </w:t>
      </w:r>
    </w:p>
    <w:p w:rsidR="620A7E17" w:rsidP="620A7E17" w:rsidRDefault="620A7E17" w14:paraId="02287B35" w14:textId="5298349F">
      <w:pPr>
        <w:spacing w:after="0" w:line="360" w:lineRule="auto"/>
        <w:jc w:val="both"/>
        <w:rPr>
          <w:rFonts w:ascii="Verdana" w:hAnsi="Verdana"/>
          <w:sz w:val="24"/>
          <w:szCs w:val="24"/>
        </w:rPr>
      </w:pPr>
    </w:p>
    <w:p w:rsidR="620A7E17" w:rsidP="620A7E17" w:rsidRDefault="620A7E17" w14:paraId="714E0D79" w14:textId="77A0F32D">
      <w:pPr>
        <w:spacing w:after="0" w:line="360" w:lineRule="auto"/>
        <w:jc w:val="both"/>
        <w:rPr>
          <w:rFonts w:ascii="Verdana" w:hAnsi="Verdana"/>
          <w:sz w:val="24"/>
          <w:szCs w:val="24"/>
        </w:rPr>
      </w:pPr>
    </w:p>
    <w:p w:rsidRPr="00AD2BDA" w:rsidR="00AD2BDA" w:rsidP="005358E1" w:rsidRDefault="00AD2BDA" w14:paraId="59FAD2E3" w14:textId="77777777">
      <w:pPr>
        <w:spacing w:after="0" w:line="360" w:lineRule="auto"/>
        <w:ind w:left="720"/>
        <w:jc w:val="both"/>
        <w:rPr>
          <w:rFonts w:ascii="Verdana" w:hAnsi="Verdana"/>
          <w:sz w:val="24"/>
          <w:szCs w:val="24"/>
        </w:rPr>
      </w:pPr>
    </w:p>
    <w:p w:rsidR="00AD2BDA" w:rsidP="005358E1" w:rsidRDefault="00AD2BDA" w14:paraId="36248E9C" w14:textId="77777777">
      <w:pPr>
        <w:spacing w:after="0" w:line="360" w:lineRule="auto"/>
        <w:jc w:val="both"/>
        <w:rPr>
          <w:rFonts w:ascii="Verdana" w:hAnsi="Verdana"/>
          <w:sz w:val="24"/>
          <w:szCs w:val="24"/>
        </w:rPr>
      </w:pPr>
      <w:r w:rsidRPr="00AD2BDA">
        <w:rPr>
          <w:rFonts w:ascii="Verdana" w:hAnsi="Verdana"/>
          <w:b/>
          <w:bCs/>
          <w:sz w:val="24"/>
          <w:szCs w:val="24"/>
        </w:rPr>
        <w:t>Evaluación Integral de Dominios</w:t>
      </w:r>
      <w:r w:rsidRPr="00AD2BDA">
        <w:rPr>
          <w:rFonts w:ascii="Verdana" w:hAnsi="Verdana"/>
          <w:sz w:val="24"/>
          <w:szCs w:val="24"/>
        </w:rPr>
        <w:t> </w:t>
      </w:r>
    </w:p>
    <w:p w:rsidRPr="00AD2BDA" w:rsidR="00AD2BDA" w:rsidP="005358E1" w:rsidRDefault="00AD2BDA" w14:paraId="75A974DA" w14:textId="77777777">
      <w:pPr>
        <w:spacing w:after="0" w:line="360" w:lineRule="auto"/>
        <w:jc w:val="both"/>
        <w:rPr>
          <w:rFonts w:ascii="Verdana" w:hAnsi="Verdana"/>
          <w:sz w:val="24"/>
          <w:szCs w:val="24"/>
        </w:rPr>
      </w:pPr>
    </w:p>
    <w:p w:rsidRPr="00AD2BDA" w:rsidR="00AD2BDA" w:rsidP="005358E1" w:rsidRDefault="00AD2BDA" w14:paraId="337FD695" w14:textId="77777777">
      <w:pPr>
        <w:spacing w:after="0" w:line="360" w:lineRule="auto"/>
        <w:jc w:val="both"/>
        <w:rPr>
          <w:rFonts w:ascii="Verdana" w:hAnsi="Verdana"/>
          <w:sz w:val="24"/>
          <w:szCs w:val="24"/>
        </w:rPr>
      </w:pPr>
      <w:r w:rsidRPr="00AD2BDA">
        <w:rPr>
          <w:rFonts w:ascii="Verdana" w:hAnsi="Verdana"/>
          <w:sz w:val="24"/>
          <w:szCs w:val="24"/>
        </w:rPr>
        <w:t>Se evaluaron exhaustivamente 14 dominios críticos (A.5 al A.18) para alinear al Ministerio con los estándares normativos. Los frentes analizados abarcaron: </w:t>
      </w:r>
    </w:p>
    <w:p w:rsidRPr="00AD2BDA" w:rsidR="00AD2BDA" w:rsidRDefault="00AD2BDA" w14:paraId="4A57D8C9" w14:textId="77777777">
      <w:pPr>
        <w:numPr>
          <w:ilvl w:val="0"/>
          <w:numId w:val="78"/>
        </w:numPr>
        <w:spacing w:after="0" w:line="360" w:lineRule="auto"/>
        <w:jc w:val="both"/>
        <w:rPr>
          <w:rFonts w:ascii="Verdana" w:hAnsi="Verdana"/>
          <w:sz w:val="24"/>
          <w:szCs w:val="24"/>
        </w:rPr>
      </w:pPr>
      <w:r w:rsidRPr="00AD2BDA">
        <w:rPr>
          <w:rFonts w:ascii="Verdana" w:hAnsi="Verdana"/>
          <w:sz w:val="24"/>
          <w:szCs w:val="24"/>
        </w:rPr>
        <w:t>Políticas y organización de la seguridad. </w:t>
      </w:r>
    </w:p>
    <w:p w:rsidRPr="00AD2BDA" w:rsidR="00AD2BDA" w:rsidRDefault="00AD2BDA" w14:paraId="27247BE0" w14:textId="77777777">
      <w:pPr>
        <w:numPr>
          <w:ilvl w:val="0"/>
          <w:numId w:val="79"/>
        </w:numPr>
        <w:spacing w:after="0" w:line="360" w:lineRule="auto"/>
        <w:jc w:val="both"/>
        <w:rPr>
          <w:rFonts w:ascii="Verdana" w:hAnsi="Verdana"/>
          <w:sz w:val="24"/>
          <w:szCs w:val="24"/>
        </w:rPr>
      </w:pPr>
      <w:r w:rsidRPr="00AD2BDA">
        <w:rPr>
          <w:rFonts w:ascii="Verdana" w:hAnsi="Verdana"/>
          <w:sz w:val="24"/>
          <w:szCs w:val="24"/>
        </w:rPr>
        <w:t>Seguridad de los recursos humanos, física (entorno), de las operaciones y de las comunicaciones. </w:t>
      </w:r>
    </w:p>
    <w:p w:rsidRPr="00AD2BDA" w:rsidR="00AD2BDA" w:rsidRDefault="00AD2BDA" w14:paraId="3DB10695" w14:textId="77777777">
      <w:pPr>
        <w:numPr>
          <w:ilvl w:val="0"/>
          <w:numId w:val="80"/>
        </w:numPr>
        <w:spacing w:after="0" w:line="360" w:lineRule="auto"/>
        <w:jc w:val="both"/>
        <w:rPr>
          <w:rFonts w:ascii="Verdana" w:hAnsi="Verdana"/>
          <w:sz w:val="24"/>
          <w:szCs w:val="24"/>
        </w:rPr>
      </w:pPr>
      <w:r w:rsidRPr="00AD2BDA">
        <w:rPr>
          <w:rFonts w:ascii="Verdana" w:hAnsi="Verdana"/>
          <w:sz w:val="24"/>
          <w:szCs w:val="24"/>
        </w:rPr>
        <w:t>Gestión de activos, control de acceso y criptografía. </w:t>
      </w:r>
    </w:p>
    <w:p w:rsidRPr="00AD2BDA" w:rsidR="00AD2BDA" w:rsidRDefault="00AD2BDA" w14:paraId="4B566389" w14:textId="77777777">
      <w:pPr>
        <w:numPr>
          <w:ilvl w:val="0"/>
          <w:numId w:val="81"/>
        </w:numPr>
        <w:spacing w:after="0" w:line="360" w:lineRule="auto"/>
        <w:jc w:val="both"/>
        <w:rPr>
          <w:rFonts w:ascii="Verdana" w:hAnsi="Verdana"/>
          <w:sz w:val="24"/>
          <w:szCs w:val="24"/>
        </w:rPr>
      </w:pPr>
      <w:r w:rsidRPr="00AD2BDA">
        <w:rPr>
          <w:rFonts w:ascii="Verdana" w:hAnsi="Verdana"/>
          <w:sz w:val="24"/>
          <w:szCs w:val="24"/>
        </w:rPr>
        <w:t>Adquisición, desarrollo y mantenimiento de sistemas, incluyendo las relaciones con proveedores. </w:t>
      </w:r>
    </w:p>
    <w:p w:rsidR="00AD2BDA" w:rsidRDefault="00AD2BDA" w14:paraId="4C355DB4" w14:textId="20F3AB40">
      <w:pPr>
        <w:numPr>
          <w:ilvl w:val="0"/>
          <w:numId w:val="82"/>
        </w:numPr>
        <w:spacing w:after="0" w:line="360" w:lineRule="auto"/>
        <w:jc w:val="both"/>
        <w:rPr>
          <w:rFonts w:ascii="Verdana" w:hAnsi="Verdana"/>
          <w:sz w:val="24"/>
          <w:szCs w:val="24"/>
        </w:rPr>
      </w:pPr>
      <w:r w:rsidRPr="00AD2BDA">
        <w:rPr>
          <w:rFonts w:ascii="Verdana" w:hAnsi="Verdana"/>
          <w:sz w:val="24"/>
          <w:szCs w:val="24"/>
        </w:rPr>
        <w:t>Gestión de incidentes, continuidad del negocio y cumplimiento general. </w:t>
      </w:r>
    </w:p>
    <w:p w:rsidR="00045027" w:rsidP="00045027" w:rsidRDefault="00045027" w14:paraId="3EFD6874" w14:textId="2FF648CA">
      <w:pPr>
        <w:spacing w:after="0" w:line="360" w:lineRule="auto"/>
        <w:jc w:val="both"/>
        <w:rPr>
          <w:rFonts w:ascii="Verdana" w:hAnsi="Verdana"/>
          <w:sz w:val="24"/>
          <w:szCs w:val="24"/>
        </w:rPr>
      </w:pPr>
    </w:p>
    <w:p w:rsidRPr="00AD2BDA" w:rsidR="00AD2BDA" w:rsidP="005358E1" w:rsidRDefault="00AD2BDA" w14:paraId="3658A18D" w14:textId="77777777">
      <w:pPr>
        <w:spacing w:after="0" w:line="360" w:lineRule="auto"/>
        <w:jc w:val="both"/>
        <w:rPr>
          <w:rFonts w:ascii="Verdana" w:hAnsi="Verdana"/>
          <w:sz w:val="24"/>
          <w:szCs w:val="24"/>
        </w:rPr>
      </w:pPr>
      <w:r w:rsidRPr="00AD2BDA">
        <w:rPr>
          <w:rFonts w:ascii="Verdana" w:hAnsi="Verdana"/>
          <w:sz w:val="24"/>
          <w:szCs w:val="24"/>
        </w:rPr>
        <w:t> </w:t>
      </w:r>
    </w:p>
    <w:p w:rsidR="00AD2BDA" w:rsidP="005358E1" w:rsidRDefault="00AD2BDA" w14:paraId="013A6BED" w14:textId="0F3CFCCB">
      <w:pPr>
        <w:spacing w:after="0" w:line="360" w:lineRule="auto"/>
        <w:jc w:val="both"/>
        <w:rPr>
          <w:rFonts w:ascii="Verdana" w:hAnsi="Verdana"/>
          <w:sz w:val="24"/>
          <w:szCs w:val="24"/>
        </w:rPr>
      </w:pPr>
      <w:r w:rsidRPr="00AD2BDA">
        <w:rPr>
          <w:rFonts w:ascii="Verdana" w:hAnsi="Verdana"/>
          <w:b/>
          <w:bCs/>
          <w:sz w:val="24"/>
          <w:szCs w:val="24"/>
        </w:rPr>
        <w:t>Actualización Documental y Estratégica</w:t>
      </w:r>
      <w:r w:rsidRPr="00AD2BDA">
        <w:rPr>
          <w:rFonts w:ascii="Verdana" w:hAnsi="Verdana"/>
          <w:sz w:val="24"/>
          <w:szCs w:val="24"/>
        </w:rPr>
        <w:t> </w:t>
      </w:r>
    </w:p>
    <w:p w:rsidRPr="00AD2BDA" w:rsidR="00045027" w:rsidP="005358E1" w:rsidRDefault="00045027" w14:paraId="31BAB8C9" w14:textId="77777777">
      <w:pPr>
        <w:spacing w:after="0" w:line="360" w:lineRule="auto"/>
        <w:jc w:val="both"/>
        <w:rPr>
          <w:rFonts w:ascii="Verdana" w:hAnsi="Verdana"/>
          <w:sz w:val="24"/>
          <w:szCs w:val="24"/>
        </w:rPr>
      </w:pPr>
    </w:p>
    <w:p w:rsidRPr="00AD2BDA" w:rsidR="00AD2BDA" w:rsidP="005358E1" w:rsidRDefault="00AD2BDA" w14:paraId="394B2470" w14:textId="77777777">
      <w:pPr>
        <w:spacing w:after="0" w:line="360" w:lineRule="auto"/>
        <w:jc w:val="both"/>
        <w:rPr>
          <w:rFonts w:ascii="Verdana" w:hAnsi="Verdana"/>
          <w:sz w:val="24"/>
          <w:szCs w:val="24"/>
        </w:rPr>
      </w:pPr>
      <w:r w:rsidRPr="00AD2BDA">
        <w:rPr>
          <w:rFonts w:ascii="Verdana" w:hAnsi="Verdana"/>
          <w:sz w:val="24"/>
          <w:szCs w:val="24"/>
        </w:rPr>
        <w:t>Para dar cumplimiento a los lineamientos de referencia del MinTIC y aplicar las normas internacionales vigentes, se actualizaron e implementaron más de 30 documentos y procedimientos. Como núcleo de esta reestructuración, se renovaron los siguientes planes rectores de seguridad: </w:t>
      </w:r>
    </w:p>
    <w:p w:rsidRPr="00AD2BDA" w:rsidR="00AD2BDA" w:rsidRDefault="00AD2BDA" w14:paraId="12C19F27" w14:textId="77777777">
      <w:pPr>
        <w:numPr>
          <w:ilvl w:val="0"/>
          <w:numId w:val="83"/>
        </w:numPr>
        <w:spacing w:after="0" w:line="360" w:lineRule="auto"/>
        <w:jc w:val="both"/>
        <w:rPr>
          <w:rFonts w:ascii="Verdana" w:hAnsi="Verdana"/>
          <w:sz w:val="24"/>
          <w:szCs w:val="24"/>
        </w:rPr>
      </w:pPr>
      <w:r w:rsidRPr="00AD2BDA">
        <w:rPr>
          <w:rFonts w:ascii="Verdana" w:hAnsi="Verdana"/>
          <w:sz w:val="24"/>
          <w:szCs w:val="24"/>
        </w:rPr>
        <w:t>Plan de Tratamiento de Riesgos. </w:t>
      </w:r>
    </w:p>
    <w:p w:rsidRPr="00AD2BDA" w:rsidR="00AD2BDA" w:rsidRDefault="00AD2BDA" w14:paraId="29035E88" w14:textId="77777777">
      <w:pPr>
        <w:numPr>
          <w:ilvl w:val="0"/>
          <w:numId w:val="84"/>
        </w:numPr>
        <w:spacing w:after="0" w:line="360" w:lineRule="auto"/>
        <w:jc w:val="both"/>
        <w:rPr>
          <w:rFonts w:ascii="Verdana" w:hAnsi="Verdana"/>
          <w:sz w:val="24"/>
          <w:szCs w:val="24"/>
        </w:rPr>
      </w:pPr>
      <w:r w:rsidRPr="00AD2BDA">
        <w:rPr>
          <w:rFonts w:ascii="Verdana" w:hAnsi="Verdana"/>
          <w:sz w:val="24"/>
          <w:szCs w:val="24"/>
        </w:rPr>
        <w:t>Plan de Seguridad y Privacidad de la Información. </w:t>
      </w:r>
    </w:p>
    <w:p w:rsidRPr="00AD2BDA" w:rsidR="00AD2BDA" w:rsidRDefault="00AD2BDA" w14:paraId="014E4633" w14:textId="77777777">
      <w:pPr>
        <w:numPr>
          <w:ilvl w:val="0"/>
          <w:numId w:val="85"/>
        </w:numPr>
        <w:spacing w:after="0" w:line="360" w:lineRule="auto"/>
        <w:jc w:val="both"/>
        <w:rPr>
          <w:rFonts w:ascii="Verdana" w:hAnsi="Verdana"/>
          <w:sz w:val="24"/>
          <w:szCs w:val="24"/>
        </w:rPr>
      </w:pPr>
      <w:r w:rsidRPr="00AD2BDA">
        <w:rPr>
          <w:rFonts w:ascii="Verdana" w:hAnsi="Verdana"/>
          <w:sz w:val="24"/>
          <w:szCs w:val="24"/>
        </w:rPr>
        <w:t>Plan de Mejoramiento Continuo. </w:t>
      </w:r>
    </w:p>
    <w:p w:rsidRPr="00AD2BDA" w:rsidR="00AD2BDA" w:rsidRDefault="00AD2BDA" w14:paraId="32E7CE3F" w14:textId="77777777">
      <w:pPr>
        <w:numPr>
          <w:ilvl w:val="0"/>
          <w:numId w:val="86"/>
        </w:numPr>
        <w:spacing w:after="0" w:line="360" w:lineRule="auto"/>
        <w:jc w:val="both"/>
        <w:rPr>
          <w:rFonts w:ascii="Verdana" w:hAnsi="Verdana"/>
          <w:sz w:val="24"/>
          <w:szCs w:val="24"/>
        </w:rPr>
      </w:pPr>
      <w:r w:rsidRPr="00AD2BDA">
        <w:rPr>
          <w:rFonts w:ascii="Verdana" w:hAnsi="Verdana"/>
          <w:sz w:val="24"/>
          <w:szCs w:val="24"/>
        </w:rPr>
        <w:t>Plan Operacional de Seguridad de la Información. </w:t>
      </w:r>
    </w:p>
    <w:p w:rsidRPr="00AD2BDA" w:rsidR="00AD2BDA" w:rsidRDefault="28F12D9C" w14:paraId="01E017D1" w14:textId="44B6E765">
      <w:pPr>
        <w:numPr>
          <w:ilvl w:val="0"/>
          <w:numId w:val="87"/>
        </w:numPr>
        <w:spacing w:after="0" w:line="360" w:lineRule="auto"/>
        <w:jc w:val="both"/>
        <w:rPr>
          <w:rFonts w:ascii="Verdana" w:hAnsi="Verdana"/>
          <w:sz w:val="24"/>
          <w:szCs w:val="24"/>
        </w:rPr>
      </w:pPr>
      <w:r w:rsidRPr="620A7E17">
        <w:rPr>
          <w:rFonts w:ascii="Verdana" w:hAnsi="Verdana"/>
          <w:sz w:val="24"/>
          <w:szCs w:val="24"/>
        </w:rPr>
        <w:t>Planes transversales: Comunicaciones, Sensibilización,</w:t>
      </w:r>
      <w:r w:rsidRPr="620A7E17" w:rsidR="13D01137">
        <w:rPr>
          <w:rFonts w:ascii="Verdana" w:hAnsi="Verdana"/>
          <w:sz w:val="24"/>
          <w:szCs w:val="24"/>
        </w:rPr>
        <w:t xml:space="preserve"> </w:t>
      </w:r>
      <w:r w:rsidRPr="620A7E17">
        <w:rPr>
          <w:rFonts w:ascii="Verdana" w:hAnsi="Verdana"/>
          <w:sz w:val="24"/>
          <w:szCs w:val="24"/>
        </w:rPr>
        <w:t>y Seguimiento y Evaluación. </w:t>
      </w:r>
    </w:p>
    <w:p w:rsidRPr="00AD2BDA" w:rsidR="00AD2BDA" w:rsidP="005358E1" w:rsidRDefault="28F12D9C" w14:paraId="0CFE4C23" w14:textId="77777777">
      <w:pPr>
        <w:spacing w:after="0" w:line="360" w:lineRule="auto"/>
        <w:jc w:val="both"/>
      </w:pPr>
      <w:r w:rsidRPr="620A7E17">
        <w:rPr>
          <w:rFonts w:ascii="Verdana" w:hAnsi="Verdana"/>
          <w:sz w:val="24"/>
          <w:szCs w:val="24"/>
        </w:rPr>
        <w:t> </w:t>
      </w:r>
    </w:p>
    <w:p w:rsidR="620A7E17" w:rsidP="620A7E17" w:rsidRDefault="620A7E17" w14:paraId="24974CC9" w14:textId="34CDED26">
      <w:pPr>
        <w:spacing w:after="0" w:line="360" w:lineRule="auto"/>
        <w:jc w:val="both"/>
        <w:rPr>
          <w:rFonts w:ascii="Verdana" w:hAnsi="Verdana"/>
          <w:sz w:val="24"/>
          <w:szCs w:val="24"/>
        </w:rPr>
      </w:pPr>
    </w:p>
    <w:p w:rsidRPr="00AD2BDA" w:rsidR="00AD2BDA" w:rsidRDefault="00AD2BDA" w14:paraId="12BB9414" w14:textId="39178A20">
      <w:pPr>
        <w:pStyle w:val="Prrafodelista"/>
        <w:numPr>
          <w:ilvl w:val="2"/>
          <w:numId w:val="94"/>
        </w:numPr>
        <w:spacing w:after="0" w:line="360" w:lineRule="auto"/>
        <w:jc w:val="both"/>
        <w:rPr>
          <w:rFonts w:ascii="Verdana" w:hAnsi="Verdana"/>
          <w:sz w:val="24"/>
          <w:szCs w:val="24"/>
        </w:rPr>
      </w:pPr>
      <w:r w:rsidRPr="00AD2BDA">
        <w:rPr>
          <w:rFonts w:ascii="Verdana" w:hAnsi="Verdana"/>
          <w:b/>
          <w:bCs/>
          <w:sz w:val="24"/>
          <w:szCs w:val="24"/>
        </w:rPr>
        <w:t>Período 2023 </w:t>
      </w:r>
      <w:r w:rsidRPr="00AD2BDA">
        <w:rPr>
          <w:rFonts w:ascii="Verdana" w:hAnsi="Verdana"/>
          <w:sz w:val="24"/>
          <w:szCs w:val="24"/>
        </w:rPr>
        <w:t> </w:t>
      </w:r>
    </w:p>
    <w:p w:rsidR="00AD2BDA" w:rsidP="005358E1" w:rsidRDefault="00AD2BDA" w14:paraId="6B51DDAC" w14:textId="77777777">
      <w:pPr>
        <w:spacing w:after="0" w:line="360" w:lineRule="auto"/>
        <w:jc w:val="both"/>
        <w:rPr>
          <w:rFonts w:ascii="Verdana" w:hAnsi="Verdana"/>
          <w:sz w:val="24"/>
          <w:szCs w:val="24"/>
        </w:rPr>
      </w:pPr>
    </w:p>
    <w:p w:rsidRPr="00AD2BDA" w:rsidR="00AD2BDA" w:rsidP="005358E1" w:rsidRDefault="00AD2BDA" w14:paraId="412C7C50" w14:textId="35BB3E4D">
      <w:pPr>
        <w:spacing w:after="0" w:line="360" w:lineRule="auto"/>
        <w:jc w:val="both"/>
        <w:rPr>
          <w:rFonts w:ascii="Verdana" w:hAnsi="Verdana"/>
          <w:sz w:val="24"/>
          <w:szCs w:val="24"/>
        </w:rPr>
      </w:pPr>
      <w:r w:rsidRPr="00AD2BDA">
        <w:rPr>
          <w:rFonts w:ascii="Verdana" w:hAnsi="Verdana"/>
          <w:sz w:val="24"/>
          <w:szCs w:val="24"/>
        </w:rPr>
        <w:t>En alineación con la "Política de seguridad digital" establecida en la Dimensión 3 (Gestión con valores para resultados) del Modelo Integrado de Planeación y Gestión (MIPG) y en cumplimiento del Decreto 612 de 2018, el Ministerio de Minas y Energía consolidó importantes progresos tecnológicos y normativos. </w:t>
      </w:r>
    </w:p>
    <w:p w:rsidR="00AD2BDA" w:rsidP="005358E1" w:rsidRDefault="00AD2BDA" w14:paraId="4C64AEE6" w14:textId="77777777">
      <w:pPr>
        <w:spacing w:after="0" w:line="360" w:lineRule="auto"/>
        <w:jc w:val="both"/>
        <w:rPr>
          <w:rFonts w:ascii="Verdana" w:hAnsi="Verdana"/>
          <w:sz w:val="24"/>
          <w:szCs w:val="24"/>
        </w:rPr>
      </w:pPr>
    </w:p>
    <w:p w:rsidR="00AD2BDA" w:rsidP="005358E1" w:rsidRDefault="00AD2BDA" w14:paraId="62A9F316" w14:textId="3EB1F72F">
      <w:pPr>
        <w:spacing w:after="0" w:line="360" w:lineRule="auto"/>
        <w:jc w:val="both"/>
        <w:rPr>
          <w:rFonts w:ascii="Verdana" w:hAnsi="Verdana"/>
          <w:sz w:val="24"/>
          <w:szCs w:val="24"/>
        </w:rPr>
      </w:pPr>
      <w:r w:rsidRPr="00AD2BDA">
        <w:rPr>
          <w:rFonts w:ascii="Verdana" w:hAnsi="Verdana"/>
          <w:sz w:val="24"/>
          <w:szCs w:val="24"/>
        </w:rPr>
        <w:t>La gestión realizada durante este periodo se estructuró en dos grandes frentes de acción: </w:t>
      </w:r>
    </w:p>
    <w:p w:rsidRPr="00AD2BDA" w:rsidR="00AD2BDA" w:rsidP="005358E1" w:rsidRDefault="00AD2BDA" w14:paraId="237E97BC" w14:textId="77777777">
      <w:pPr>
        <w:spacing w:after="0" w:line="360" w:lineRule="auto"/>
        <w:jc w:val="both"/>
        <w:rPr>
          <w:rFonts w:ascii="Verdana" w:hAnsi="Verdana"/>
          <w:sz w:val="24"/>
          <w:szCs w:val="24"/>
        </w:rPr>
      </w:pPr>
    </w:p>
    <w:p w:rsidRPr="00AD2BDA" w:rsidR="00AD2BDA" w:rsidP="005358E1" w:rsidRDefault="00AD2BDA" w14:paraId="2CDF6DA8" w14:textId="77777777">
      <w:pPr>
        <w:spacing w:after="0" w:line="360" w:lineRule="auto"/>
        <w:jc w:val="both"/>
        <w:rPr>
          <w:rFonts w:ascii="Verdana" w:hAnsi="Verdana"/>
          <w:sz w:val="24"/>
          <w:szCs w:val="24"/>
        </w:rPr>
      </w:pPr>
      <w:r w:rsidRPr="00AD2BDA">
        <w:rPr>
          <w:rFonts w:ascii="Verdana" w:hAnsi="Verdana"/>
          <w:sz w:val="24"/>
          <w:szCs w:val="24"/>
        </w:rPr>
        <w:t>Fortalecimiento Normativo y Cultura Organizacional </w:t>
      </w:r>
    </w:p>
    <w:p w:rsidRPr="00AD2BDA" w:rsidR="00AD2BDA" w:rsidRDefault="00AD2BDA" w14:paraId="127E97A2" w14:textId="77777777">
      <w:pPr>
        <w:numPr>
          <w:ilvl w:val="0"/>
          <w:numId w:val="88"/>
        </w:numPr>
        <w:spacing w:after="0" w:line="360" w:lineRule="auto"/>
        <w:jc w:val="both"/>
        <w:rPr>
          <w:rFonts w:ascii="Verdana" w:hAnsi="Verdana"/>
          <w:sz w:val="24"/>
          <w:szCs w:val="24"/>
        </w:rPr>
      </w:pPr>
      <w:r w:rsidRPr="00AD2BDA">
        <w:rPr>
          <w:rFonts w:ascii="Verdana" w:hAnsi="Verdana"/>
          <w:sz w:val="24"/>
          <w:szCs w:val="24"/>
        </w:rPr>
        <w:t>Adopción formal del Modelo: Como resultado de un proceso de consultoría, se expidió el Acto Administrativo 40646 del 1 de noviembre de 2023, mediante el cual se actualizó la resolución que adopta el Modelo de Seguridad y Privacidad de la Información (MSPI) y establece las políticas de seguridad transversales para la Entidad. </w:t>
      </w:r>
    </w:p>
    <w:p w:rsidRPr="00AD2BDA" w:rsidR="00AD2BDA" w:rsidRDefault="00AD2BDA" w14:paraId="1D8BCDE9" w14:textId="77777777">
      <w:pPr>
        <w:numPr>
          <w:ilvl w:val="0"/>
          <w:numId w:val="89"/>
        </w:numPr>
        <w:spacing w:after="0" w:line="360" w:lineRule="auto"/>
        <w:jc w:val="both"/>
        <w:rPr>
          <w:rFonts w:ascii="Verdana" w:hAnsi="Verdana"/>
          <w:sz w:val="24"/>
          <w:szCs w:val="24"/>
        </w:rPr>
      </w:pPr>
      <w:r w:rsidRPr="00AD2BDA">
        <w:rPr>
          <w:rFonts w:ascii="Verdana" w:hAnsi="Verdana"/>
          <w:sz w:val="24"/>
          <w:szCs w:val="24"/>
        </w:rPr>
        <w:t>Apropiación del conocimiento: Se implementó un Plan de Sensibilización transversal para garantizar que todos los colaboradores del Ministerio interioricen y apliquen las acciones estratégicas y las políticas de seguridad de la información. </w:t>
      </w:r>
    </w:p>
    <w:p w:rsidR="00AD2BDA" w:rsidP="005358E1" w:rsidRDefault="00AD2BDA" w14:paraId="0ABA448A" w14:textId="77777777">
      <w:pPr>
        <w:spacing w:after="0" w:line="360" w:lineRule="auto"/>
        <w:jc w:val="both"/>
        <w:rPr>
          <w:rFonts w:ascii="Verdana" w:hAnsi="Verdana"/>
          <w:sz w:val="24"/>
          <w:szCs w:val="24"/>
        </w:rPr>
      </w:pPr>
    </w:p>
    <w:p w:rsidRPr="00AD2BDA" w:rsidR="00AD2BDA" w:rsidP="005358E1" w:rsidRDefault="00AD2BDA" w14:paraId="176735FE" w14:textId="4A8FD3B9">
      <w:pPr>
        <w:spacing w:after="0" w:line="360" w:lineRule="auto"/>
        <w:jc w:val="both"/>
        <w:rPr>
          <w:rFonts w:ascii="Verdana" w:hAnsi="Verdana"/>
          <w:b/>
          <w:bCs/>
          <w:sz w:val="24"/>
          <w:szCs w:val="24"/>
        </w:rPr>
      </w:pPr>
      <w:r w:rsidRPr="00AD2BDA">
        <w:rPr>
          <w:rFonts w:ascii="Verdana" w:hAnsi="Verdana"/>
          <w:b/>
          <w:bCs/>
          <w:sz w:val="24"/>
          <w:szCs w:val="24"/>
        </w:rPr>
        <w:t>Continuidad del Negocio y Recuperación ante Desastres  </w:t>
      </w:r>
    </w:p>
    <w:p w:rsidR="00AD2BDA" w:rsidP="005358E1" w:rsidRDefault="00AD2BDA" w14:paraId="185CE4FE" w14:textId="77777777">
      <w:pPr>
        <w:spacing w:after="0" w:line="360" w:lineRule="auto"/>
        <w:jc w:val="both"/>
        <w:rPr>
          <w:rFonts w:ascii="Verdana" w:hAnsi="Verdana"/>
          <w:sz w:val="24"/>
          <w:szCs w:val="24"/>
        </w:rPr>
      </w:pPr>
    </w:p>
    <w:p w:rsidRPr="00AD2BDA" w:rsidR="00AD2BDA" w:rsidP="005358E1" w:rsidRDefault="00AD2BDA" w14:paraId="6D8F1CA6" w14:textId="26E41DED">
      <w:pPr>
        <w:spacing w:after="0" w:line="360" w:lineRule="auto"/>
        <w:jc w:val="both"/>
        <w:rPr>
          <w:rFonts w:ascii="Verdana" w:hAnsi="Verdana"/>
          <w:sz w:val="24"/>
          <w:szCs w:val="24"/>
        </w:rPr>
      </w:pPr>
      <w:r w:rsidRPr="00AD2BDA">
        <w:rPr>
          <w:rFonts w:ascii="Verdana" w:hAnsi="Verdana"/>
          <w:sz w:val="24"/>
          <w:szCs w:val="24"/>
        </w:rPr>
        <w:t>El Ministerio ejecutó su estrategia DRP (Plan de Recuperación ante Desastres) y DCA (Centro de Datos Alterno), adquiriendo capacidades de resiliencia de datos, replicación y activación bajo demanda. Esto requirió la evaluación de la criticidad de los sistemas y su inclusión en el Manual de Recuperación ante Desastres. El despliegue de esta infraestructura se ejecutó a través de tres instrumentos contractuales: </w:t>
      </w:r>
    </w:p>
    <w:p w:rsidRPr="00AD2BDA" w:rsidR="00AD2BDA" w:rsidRDefault="00AD2BDA" w14:paraId="264B022B" w14:textId="77777777">
      <w:pPr>
        <w:numPr>
          <w:ilvl w:val="0"/>
          <w:numId w:val="90"/>
        </w:numPr>
        <w:spacing w:after="0" w:line="360" w:lineRule="auto"/>
        <w:jc w:val="both"/>
        <w:rPr>
          <w:rFonts w:ascii="Verdana" w:hAnsi="Verdana"/>
          <w:sz w:val="24"/>
          <w:szCs w:val="24"/>
        </w:rPr>
      </w:pPr>
      <w:r w:rsidRPr="00AD2BDA">
        <w:rPr>
          <w:rFonts w:ascii="Verdana" w:hAnsi="Verdana"/>
          <w:sz w:val="24"/>
          <w:szCs w:val="24"/>
        </w:rPr>
        <w:t>Fase I (Contrato GGC-731-2021): Con el proveedor IKUSI REDES COLOMBIA SAS, se adquirió e implementó la base del centro de datos alterno. Esta fase dotó al Ministerio de una solución hiperconvergente de 3 nodos y licenciamiento de virtualización VMWare, incluyendo instalación, garantía y soporte técnico por dos años. </w:t>
      </w:r>
    </w:p>
    <w:p w:rsidRPr="00AD2BDA" w:rsidR="00AD2BDA" w:rsidRDefault="00AD2BDA" w14:paraId="269EFAD2" w14:textId="77777777">
      <w:pPr>
        <w:numPr>
          <w:ilvl w:val="0"/>
          <w:numId w:val="91"/>
        </w:numPr>
        <w:spacing w:after="0" w:line="360" w:lineRule="auto"/>
        <w:jc w:val="both"/>
        <w:rPr>
          <w:rFonts w:ascii="Verdana" w:hAnsi="Verdana"/>
          <w:sz w:val="24"/>
          <w:szCs w:val="24"/>
        </w:rPr>
      </w:pPr>
      <w:r w:rsidRPr="00AD2BDA">
        <w:rPr>
          <w:rFonts w:ascii="Verdana" w:hAnsi="Verdana"/>
          <w:sz w:val="24"/>
          <w:szCs w:val="24"/>
        </w:rPr>
        <w:t>Fase II (Contrato GGC-656-2022): A través de la Unión Temporal CIBERSE2022, se robusteció la seguridad y el rendimiento de la plataforma. Esta etapa integró un </w:t>
      </w:r>
      <w:r w:rsidRPr="00AD2BDA">
        <w:rPr>
          <w:rFonts w:ascii="Verdana" w:hAnsi="Verdana"/>
          <w:i/>
          <w:iCs/>
          <w:sz w:val="24"/>
          <w:szCs w:val="24"/>
        </w:rPr>
        <w:t>firewall</w:t>
      </w:r>
      <w:r w:rsidRPr="00AD2BDA">
        <w:rPr>
          <w:rFonts w:ascii="Verdana" w:hAnsi="Verdana"/>
          <w:sz w:val="24"/>
          <w:szCs w:val="24"/>
        </w:rPr>
        <w:t> de nueva generación, tres balanceadores de carga y aplicaciones, un entorno de pruebas seguro (</w:t>
      </w:r>
      <w:r w:rsidRPr="00AD2BDA">
        <w:rPr>
          <w:rFonts w:ascii="Verdana" w:hAnsi="Verdana"/>
          <w:i/>
          <w:iCs/>
          <w:sz w:val="24"/>
          <w:szCs w:val="24"/>
        </w:rPr>
        <w:t>sandbox</w:t>
      </w:r>
      <w:r w:rsidRPr="00AD2BDA">
        <w:rPr>
          <w:rFonts w:ascii="Verdana" w:hAnsi="Verdana"/>
          <w:sz w:val="24"/>
          <w:szCs w:val="24"/>
        </w:rPr>
        <w:t xml:space="preserve">) y un sistema de correlación de eventos (SIEM), </w:t>
      </w:r>
      <w:r w:rsidRPr="00AD2BDA">
        <w:rPr>
          <w:rFonts w:ascii="Verdana" w:hAnsi="Verdana"/>
          <w:sz w:val="24"/>
          <w:szCs w:val="24"/>
        </w:rPr>
        <w:t>todo con su respectiva implementación y soporte técnico de dos años. </w:t>
      </w:r>
    </w:p>
    <w:p w:rsidRPr="00AD2BDA" w:rsidR="00AD2BDA" w:rsidRDefault="00AD2BDA" w14:paraId="3C0923E7" w14:textId="77777777">
      <w:pPr>
        <w:numPr>
          <w:ilvl w:val="0"/>
          <w:numId w:val="92"/>
        </w:numPr>
        <w:spacing w:after="0" w:line="360" w:lineRule="auto"/>
        <w:jc w:val="both"/>
        <w:rPr>
          <w:rFonts w:ascii="Verdana" w:hAnsi="Verdana"/>
          <w:sz w:val="24"/>
          <w:szCs w:val="24"/>
        </w:rPr>
      </w:pPr>
      <w:r w:rsidRPr="00AD2BDA">
        <w:rPr>
          <w:rFonts w:ascii="Verdana" w:hAnsi="Verdana"/>
          <w:sz w:val="24"/>
          <w:szCs w:val="24"/>
        </w:rPr>
        <w:t>Articulación Institucional (Contrato GGC-605-2022): Se suscribió un convenio interadministrativo con el IPSE para aunar esfuerzos técnicos, administrativos y económicos, facilitando la implementación conjunta y eficiente de la solución DRP/DCA del Ministerio. </w:t>
      </w:r>
    </w:p>
    <w:p w:rsidRPr="00AD2BDA" w:rsidR="00AD2BDA" w:rsidP="005358E1" w:rsidRDefault="00AD2BDA" w14:paraId="45B3380C" w14:textId="77777777">
      <w:pPr>
        <w:spacing w:after="0" w:line="360" w:lineRule="auto"/>
        <w:jc w:val="both"/>
        <w:rPr>
          <w:rFonts w:ascii="Verdana" w:hAnsi="Verdana"/>
          <w:sz w:val="24"/>
          <w:szCs w:val="24"/>
        </w:rPr>
      </w:pPr>
      <w:r w:rsidRPr="00AD2BDA">
        <w:rPr>
          <w:rFonts w:ascii="Verdana" w:hAnsi="Verdana"/>
          <w:sz w:val="24"/>
          <w:szCs w:val="24"/>
        </w:rPr>
        <w:t> </w:t>
      </w:r>
    </w:p>
    <w:p w:rsidRPr="00AD2BDA" w:rsidR="00AD2BDA" w:rsidRDefault="00AD2BDA" w14:paraId="077A0A1E" w14:textId="12BBCCB8">
      <w:pPr>
        <w:pStyle w:val="Prrafodelista"/>
        <w:numPr>
          <w:ilvl w:val="2"/>
          <w:numId w:val="94"/>
        </w:numPr>
        <w:spacing w:after="0" w:line="360" w:lineRule="auto"/>
        <w:jc w:val="both"/>
        <w:rPr>
          <w:rFonts w:ascii="Verdana" w:hAnsi="Verdana"/>
          <w:sz w:val="24"/>
          <w:szCs w:val="24"/>
        </w:rPr>
      </w:pPr>
      <w:r w:rsidRPr="00AD2BDA">
        <w:rPr>
          <w:rFonts w:ascii="Verdana" w:hAnsi="Verdana"/>
          <w:b/>
          <w:bCs/>
          <w:sz w:val="24"/>
          <w:szCs w:val="24"/>
        </w:rPr>
        <w:t>Período 2024 </w:t>
      </w:r>
      <w:r w:rsidRPr="00AD2BDA">
        <w:rPr>
          <w:rFonts w:ascii="Verdana" w:hAnsi="Verdana"/>
          <w:sz w:val="24"/>
          <w:szCs w:val="24"/>
        </w:rPr>
        <w:t> </w:t>
      </w:r>
    </w:p>
    <w:p w:rsidR="00AD2BDA" w:rsidP="005358E1" w:rsidRDefault="00AD2BDA" w14:paraId="32ED95C4" w14:textId="77777777">
      <w:pPr>
        <w:spacing w:after="0" w:line="360" w:lineRule="auto"/>
        <w:jc w:val="both"/>
        <w:rPr>
          <w:rFonts w:ascii="Verdana" w:hAnsi="Verdana"/>
          <w:sz w:val="24"/>
          <w:szCs w:val="24"/>
        </w:rPr>
      </w:pPr>
    </w:p>
    <w:p w:rsidRPr="00AD2BDA" w:rsidR="00AD2BDA" w:rsidP="005358E1" w:rsidRDefault="00AD2BDA" w14:paraId="6FE2C7A2" w14:textId="481BBE06">
      <w:pPr>
        <w:spacing w:after="0" w:line="360" w:lineRule="auto"/>
        <w:jc w:val="both"/>
        <w:rPr>
          <w:rFonts w:ascii="Verdana" w:hAnsi="Verdana"/>
          <w:sz w:val="24"/>
          <w:szCs w:val="24"/>
        </w:rPr>
      </w:pPr>
      <w:r w:rsidRPr="00AD2BDA">
        <w:rPr>
          <w:rFonts w:ascii="Verdana" w:hAnsi="Verdana"/>
          <w:sz w:val="24"/>
          <w:szCs w:val="24"/>
        </w:rPr>
        <w:t>El Ministerio consolidó su</w:t>
      </w:r>
      <w:r w:rsidR="00D05933">
        <w:rPr>
          <w:rFonts w:ascii="Verdana" w:hAnsi="Verdana"/>
          <w:sz w:val="24"/>
          <w:szCs w:val="24"/>
        </w:rPr>
        <w:t xml:space="preserve"> </w:t>
      </w:r>
      <w:r w:rsidRPr="00AD2BDA">
        <w:rPr>
          <w:rFonts w:ascii="Verdana" w:hAnsi="Verdana"/>
          <w:sz w:val="24"/>
          <w:szCs w:val="24"/>
        </w:rPr>
        <w:t>capacidad institucional en materia de ciberseguridad, ciberdefensa y protección de la información, en estricta alineación con los lineamientos de la Política Pública de Seguridad Digital del Gobierno. Los principales avances logrados se estructuran en los siguientes frentes estratégicos: </w:t>
      </w:r>
    </w:p>
    <w:p w:rsidR="00AD2BDA" w:rsidP="005358E1" w:rsidRDefault="00AD2BDA" w14:paraId="49584CD8" w14:textId="77777777">
      <w:pPr>
        <w:spacing w:after="0" w:line="360" w:lineRule="auto"/>
        <w:jc w:val="both"/>
        <w:rPr>
          <w:rFonts w:ascii="Verdana" w:hAnsi="Verdana"/>
          <w:sz w:val="24"/>
          <w:szCs w:val="24"/>
        </w:rPr>
      </w:pPr>
    </w:p>
    <w:p w:rsidRPr="00AD2BDA" w:rsidR="00AD2BDA" w:rsidP="005358E1" w:rsidRDefault="28F12D9C" w14:paraId="6A118E88" w14:textId="1D01377C">
      <w:pPr>
        <w:spacing w:after="0" w:line="360" w:lineRule="auto"/>
        <w:jc w:val="both"/>
        <w:rPr>
          <w:rFonts w:ascii="Verdana" w:hAnsi="Verdana"/>
          <w:sz w:val="24"/>
          <w:szCs w:val="24"/>
        </w:rPr>
      </w:pPr>
      <w:r w:rsidRPr="620A7E17">
        <w:rPr>
          <w:rFonts w:ascii="Verdana" w:hAnsi="Verdana"/>
          <w:b/>
          <w:bCs/>
          <w:sz w:val="24"/>
          <w:szCs w:val="24"/>
        </w:rPr>
        <w:t>Gobernanza y Lineamientos Normativos: </w:t>
      </w:r>
      <w:r w:rsidRPr="620A7E17" w:rsidR="12F3B5E1">
        <w:rPr>
          <w:rFonts w:ascii="Verdana" w:hAnsi="Verdana"/>
          <w:b/>
          <w:bCs/>
          <w:sz w:val="24"/>
          <w:szCs w:val="24"/>
        </w:rPr>
        <w:t xml:space="preserve"> </w:t>
      </w:r>
      <w:r w:rsidRPr="620A7E17" w:rsidR="368B472E">
        <w:rPr>
          <w:rFonts w:ascii="Verdana" w:hAnsi="Verdana"/>
          <w:sz w:val="24"/>
          <w:szCs w:val="24"/>
        </w:rPr>
        <w:t>s</w:t>
      </w:r>
      <w:r w:rsidRPr="620A7E17">
        <w:rPr>
          <w:rFonts w:ascii="Verdana" w:hAnsi="Verdana"/>
          <w:sz w:val="24"/>
          <w:szCs w:val="24"/>
        </w:rPr>
        <w:t>e desarrollaron y actualizaron manuales y procedimientos internos para proteger la información sensible. Destacan la creación del Manual de Uso Responsable de Inteligencia Artificial, la emisión de lineamientos de cifrado para transferencias confidenciales y la implementación de nuevos acuerdos de confidencialidad. Adicionalmente, se avanzó en el dominio de seguridad del Modelo de Arquitectura Empresarial (MAE), alineando los artefactos institucionales con las guías del MinTIC. </w:t>
      </w:r>
    </w:p>
    <w:p w:rsidR="00AD2BDA" w:rsidP="005358E1" w:rsidRDefault="00AD2BDA" w14:paraId="2C765EAA" w14:textId="77777777">
      <w:pPr>
        <w:spacing w:after="0" w:line="360" w:lineRule="auto"/>
        <w:jc w:val="both"/>
        <w:rPr>
          <w:rFonts w:ascii="Verdana" w:hAnsi="Verdana"/>
          <w:sz w:val="24"/>
          <w:szCs w:val="24"/>
        </w:rPr>
      </w:pPr>
    </w:p>
    <w:p w:rsidRPr="00AD2BDA" w:rsidR="00AD2BDA" w:rsidP="005358E1" w:rsidRDefault="28F12D9C" w14:paraId="3E95DAD6" w14:textId="3C3110DE">
      <w:pPr>
        <w:spacing w:after="0" w:line="360" w:lineRule="auto"/>
        <w:jc w:val="both"/>
        <w:rPr>
          <w:rFonts w:ascii="Verdana" w:hAnsi="Verdana"/>
          <w:sz w:val="24"/>
          <w:szCs w:val="24"/>
        </w:rPr>
      </w:pPr>
      <w:r w:rsidRPr="620A7E17">
        <w:rPr>
          <w:rFonts w:ascii="Verdana" w:hAnsi="Verdana"/>
          <w:b/>
          <w:bCs/>
          <w:sz w:val="24"/>
          <w:szCs w:val="24"/>
        </w:rPr>
        <w:t>Gestión de Activos y Enfoque Preventivo de Riesgos:</w:t>
      </w:r>
      <w:r w:rsidRPr="620A7E17">
        <w:rPr>
          <w:rFonts w:ascii="Verdana" w:hAnsi="Verdana"/>
          <w:sz w:val="24"/>
          <w:szCs w:val="24"/>
        </w:rPr>
        <w:t xml:space="preserve"> </w:t>
      </w:r>
      <w:r w:rsidRPr="620A7E17" w:rsidR="0BB56445">
        <w:rPr>
          <w:rFonts w:ascii="Verdana" w:hAnsi="Verdana"/>
          <w:sz w:val="24"/>
          <w:szCs w:val="24"/>
        </w:rPr>
        <w:t>s</w:t>
      </w:r>
      <w:r w:rsidRPr="620A7E17">
        <w:rPr>
          <w:rFonts w:ascii="Verdana" w:hAnsi="Verdana"/>
          <w:sz w:val="24"/>
          <w:szCs w:val="24"/>
        </w:rPr>
        <w:t xml:space="preserve">e implementó una herramienta integral que articula el registro de activos, el índice de información clasificada y reservada, y el esquema documental. Esto ha permitido inventariar y priorizar los recursos más críticos del Ministerio. A la par, se reforzó el plan de tratamiento de riesgos con un enfoque </w:t>
      </w:r>
      <w:r w:rsidRPr="620A7E17">
        <w:rPr>
          <w:rFonts w:ascii="Verdana" w:hAnsi="Verdana"/>
          <w:sz w:val="24"/>
          <w:szCs w:val="24"/>
        </w:rPr>
        <w:t>netamente preventivo, basándose en la aplicación de controles proactivos para mitigar amenazas antes de su materialización. </w:t>
      </w:r>
    </w:p>
    <w:p w:rsidR="00AD2BDA" w:rsidP="005358E1" w:rsidRDefault="00AD2BDA" w14:paraId="146D4EA4" w14:textId="77777777">
      <w:pPr>
        <w:spacing w:after="0" w:line="360" w:lineRule="auto"/>
        <w:jc w:val="both"/>
        <w:rPr>
          <w:rFonts w:ascii="Verdana" w:hAnsi="Verdana"/>
          <w:sz w:val="24"/>
          <w:szCs w:val="24"/>
        </w:rPr>
      </w:pPr>
    </w:p>
    <w:p w:rsidRPr="00AD2BDA" w:rsidR="00AD2BDA" w:rsidP="005358E1" w:rsidRDefault="28F12D9C" w14:paraId="15F91F02" w14:textId="058244AB">
      <w:pPr>
        <w:spacing w:after="0" w:line="360" w:lineRule="auto"/>
        <w:jc w:val="both"/>
        <w:rPr>
          <w:rFonts w:ascii="Verdana" w:hAnsi="Verdana"/>
          <w:sz w:val="24"/>
          <w:szCs w:val="24"/>
        </w:rPr>
      </w:pPr>
      <w:r w:rsidRPr="620A7E17">
        <w:rPr>
          <w:rFonts w:ascii="Verdana" w:hAnsi="Verdana"/>
          <w:b/>
          <w:bCs/>
          <w:sz w:val="24"/>
          <w:szCs w:val="24"/>
        </w:rPr>
        <w:t>Protección de la Infraestructura y Continuidad Operativa:</w:t>
      </w:r>
      <w:r w:rsidRPr="620A7E17">
        <w:rPr>
          <w:rFonts w:ascii="Verdana" w:hAnsi="Verdana"/>
          <w:sz w:val="24"/>
          <w:szCs w:val="24"/>
        </w:rPr>
        <w:t xml:space="preserve"> </w:t>
      </w:r>
      <w:r w:rsidRPr="620A7E17" w:rsidR="734260D1">
        <w:rPr>
          <w:rFonts w:ascii="Verdana" w:hAnsi="Verdana"/>
          <w:sz w:val="24"/>
          <w:szCs w:val="24"/>
        </w:rPr>
        <w:t>s</w:t>
      </w:r>
      <w:r w:rsidRPr="620A7E17">
        <w:rPr>
          <w:rFonts w:ascii="Verdana" w:hAnsi="Verdana"/>
          <w:sz w:val="24"/>
          <w:szCs w:val="24"/>
        </w:rPr>
        <w:t>e robusteció el Plan de Seguridad y Privacidad de la Información (PSPI) a través de la gestión activa de vulnerabilidades sobre una infraestructura de 41 sistemas de información y 200 servidores virtuales. En esta línea, se priorizó la protección de sistemas críticos para la nación, como el SICOM, y se iniciaron los procesos técnicos para implementar el Plan de Recuperación ante Desastres (DRP/DCA), pilar fundamental para el diseño y ejecución del Plan de Continuidad del Negocio (BCP). </w:t>
      </w:r>
    </w:p>
    <w:p w:rsidR="00AD2BDA" w:rsidP="005358E1" w:rsidRDefault="00AD2BDA" w14:paraId="6DFC3A39" w14:textId="77777777">
      <w:pPr>
        <w:spacing w:after="0" w:line="360" w:lineRule="auto"/>
        <w:jc w:val="both"/>
        <w:rPr>
          <w:rFonts w:ascii="Verdana" w:hAnsi="Verdana"/>
          <w:sz w:val="24"/>
          <w:szCs w:val="24"/>
        </w:rPr>
      </w:pPr>
    </w:p>
    <w:p w:rsidR="00AD2BDA" w:rsidP="005358E1" w:rsidRDefault="28F12D9C" w14:paraId="11274C59" w14:textId="59848DDD">
      <w:pPr>
        <w:spacing w:after="0" w:line="360" w:lineRule="auto"/>
        <w:jc w:val="both"/>
        <w:rPr>
          <w:rFonts w:ascii="Verdana" w:hAnsi="Verdana"/>
          <w:sz w:val="24"/>
          <w:szCs w:val="24"/>
        </w:rPr>
      </w:pPr>
      <w:r w:rsidRPr="620A7E17">
        <w:rPr>
          <w:rFonts w:ascii="Verdana" w:hAnsi="Verdana"/>
          <w:b/>
          <w:bCs/>
          <w:sz w:val="24"/>
          <w:szCs w:val="24"/>
        </w:rPr>
        <w:t>Cultura Organizacional y Prevención de Amenazas:</w:t>
      </w:r>
      <w:r w:rsidRPr="620A7E17">
        <w:rPr>
          <w:rFonts w:ascii="Verdana" w:hAnsi="Verdana"/>
          <w:sz w:val="24"/>
          <w:szCs w:val="24"/>
        </w:rPr>
        <w:t xml:space="preserve"> </w:t>
      </w:r>
      <w:r w:rsidRPr="620A7E17" w:rsidR="0356C9C0">
        <w:rPr>
          <w:rFonts w:ascii="Verdana" w:hAnsi="Verdana"/>
          <w:sz w:val="24"/>
          <w:szCs w:val="24"/>
        </w:rPr>
        <w:t>p</w:t>
      </w:r>
      <w:r w:rsidRPr="620A7E17">
        <w:rPr>
          <w:rFonts w:ascii="Verdana" w:hAnsi="Verdana"/>
          <w:sz w:val="24"/>
          <w:szCs w:val="24"/>
        </w:rPr>
        <w:t>ara detectar brechas de seguridad y mejorar la postura defensiva sin comprometer información real, se ejecutaron simulaciones de ataques cibernéticos (campañas de </w:t>
      </w:r>
      <w:r w:rsidRPr="620A7E17">
        <w:rPr>
          <w:rFonts w:ascii="Verdana" w:hAnsi="Verdana"/>
          <w:i/>
          <w:iCs/>
          <w:sz w:val="24"/>
          <w:szCs w:val="24"/>
        </w:rPr>
        <w:t>phishing</w:t>
      </w:r>
      <w:r w:rsidRPr="620A7E17">
        <w:rPr>
          <w:rFonts w:ascii="Verdana" w:hAnsi="Verdana"/>
          <w:sz w:val="24"/>
          <w:szCs w:val="24"/>
        </w:rPr>
        <w:t> e ingeniería social) y se planificaron pruebas de </w:t>
      </w:r>
      <w:r w:rsidRPr="620A7E17">
        <w:rPr>
          <w:rFonts w:ascii="Verdana" w:hAnsi="Verdana"/>
          <w:i/>
          <w:iCs/>
          <w:sz w:val="24"/>
          <w:szCs w:val="24"/>
        </w:rPr>
        <w:t>hacking</w:t>
      </w:r>
      <w:r w:rsidRPr="620A7E17">
        <w:rPr>
          <w:rFonts w:ascii="Verdana" w:hAnsi="Verdana"/>
          <w:sz w:val="24"/>
          <w:szCs w:val="24"/>
        </w:rPr>
        <w:t> ético. De manera complementaria, se fomentó la cultura de ciberseguridad institucional mediante programas de capacitación masiva —como la Semana de la Seguridad de la Información en noviembre de 2024— y la definición de indicadores de gestión y disponibilidad tecnológica. </w:t>
      </w:r>
    </w:p>
    <w:p w:rsidRPr="00AD2BDA" w:rsidR="00AD2BDA" w:rsidP="005358E1" w:rsidRDefault="00AD2BDA" w14:paraId="78AB92CF" w14:textId="77777777">
      <w:pPr>
        <w:spacing w:after="0" w:line="360" w:lineRule="auto"/>
        <w:jc w:val="both"/>
        <w:rPr>
          <w:rFonts w:ascii="Verdana" w:hAnsi="Verdana"/>
          <w:sz w:val="24"/>
          <w:szCs w:val="24"/>
        </w:rPr>
      </w:pPr>
    </w:p>
    <w:p w:rsidRPr="00AD2BDA" w:rsidR="00AD2BDA" w:rsidRDefault="00AD2BDA" w14:paraId="2BA8A3C9" w14:textId="79680229">
      <w:pPr>
        <w:pStyle w:val="Prrafodelista"/>
        <w:numPr>
          <w:ilvl w:val="2"/>
          <w:numId w:val="94"/>
        </w:numPr>
        <w:spacing w:after="0" w:line="360" w:lineRule="auto"/>
        <w:jc w:val="both"/>
        <w:rPr>
          <w:rFonts w:ascii="Verdana" w:hAnsi="Verdana"/>
          <w:sz w:val="24"/>
          <w:szCs w:val="24"/>
        </w:rPr>
      </w:pPr>
      <w:r w:rsidRPr="00AD2BDA">
        <w:rPr>
          <w:rFonts w:ascii="Verdana" w:hAnsi="Verdana"/>
          <w:b/>
          <w:bCs/>
          <w:sz w:val="24"/>
          <w:szCs w:val="24"/>
        </w:rPr>
        <w:t>Periodo 2025 – 2026 (</w:t>
      </w:r>
      <w:r>
        <w:rPr>
          <w:rFonts w:ascii="Verdana" w:hAnsi="Verdana"/>
          <w:b/>
          <w:bCs/>
          <w:sz w:val="24"/>
          <w:szCs w:val="24"/>
        </w:rPr>
        <w:t>m</w:t>
      </w:r>
      <w:r w:rsidRPr="00AD2BDA">
        <w:rPr>
          <w:rFonts w:ascii="Verdana" w:hAnsi="Verdana"/>
          <w:b/>
          <w:bCs/>
          <w:sz w:val="24"/>
          <w:szCs w:val="24"/>
        </w:rPr>
        <w:t>arzo)</w:t>
      </w:r>
      <w:r w:rsidRPr="00AD2BDA">
        <w:rPr>
          <w:rFonts w:ascii="Verdana" w:hAnsi="Verdana"/>
          <w:sz w:val="24"/>
          <w:szCs w:val="24"/>
        </w:rPr>
        <w:t> </w:t>
      </w:r>
    </w:p>
    <w:p w:rsidRPr="00AD2BDA" w:rsidR="00AD2BDA" w:rsidP="005358E1" w:rsidRDefault="00AD2BDA" w14:paraId="7FA02B5C" w14:textId="77777777">
      <w:pPr>
        <w:spacing w:after="0" w:line="360" w:lineRule="auto"/>
        <w:jc w:val="both"/>
        <w:rPr>
          <w:rFonts w:ascii="Verdana" w:hAnsi="Verdana"/>
          <w:sz w:val="24"/>
          <w:szCs w:val="24"/>
        </w:rPr>
      </w:pPr>
      <w:r w:rsidRPr="00AD2BDA">
        <w:rPr>
          <w:rFonts w:ascii="Verdana" w:hAnsi="Verdana"/>
          <w:sz w:val="24"/>
          <w:szCs w:val="24"/>
        </w:rPr>
        <w:t> </w:t>
      </w:r>
    </w:p>
    <w:p w:rsidRPr="00AD2BDA" w:rsidR="00AD2BDA" w:rsidP="005358E1" w:rsidRDefault="00AD2BDA" w14:paraId="3EAC645B" w14:textId="77777777">
      <w:pPr>
        <w:spacing w:after="0" w:line="360" w:lineRule="auto"/>
        <w:jc w:val="both"/>
        <w:rPr>
          <w:rFonts w:ascii="Verdana" w:hAnsi="Verdana"/>
          <w:sz w:val="24"/>
          <w:szCs w:val="24"/>
        </w:rPr>
      </w:pPr>
      <w:r w:rsidRPr="00AD2BDA">
        <w:rPr>
          <w:rFonts w:ascii="Verdana" w:hAnsi="Verdana"/>
          <w:sz w:val="24"/>
          <w:szCs w:val="24"/>
        </w:rPr>
        <w:t>Durante la vigencia 2025, el Ministerio avanzó de manera significativa en el fortalecimiento de su postura de seguridad de la información, mediante la ejecución de actividades orientadas a la prevención, detección y mitigación de riesgos tecnológicos, así como al fortalecimiento de la cultura organizacional en materia de seguridad digital. </w:t>
      </w:r>
    </w:p>
    <w:p w:rsidR="00AD2BDA" w:rsidP="005358E1" w:rsidRDefault="00AD2BDA" w14:paraId="60FA472C" w14:textId="77777777">
      <w:pPr>
        <w:spacing w:after="0" w:line="360" w:lineRule="auto"/>
        <w:jc w:val="both"/>
        <w:rPr>
          <w:rFonts w:ascii="Verdana" w:hAnsi="Verdana"/>
          <w:sz w:val="24"/>
          <w:szCs w:val="24"/>
        </w:rPr>
      </w:pPr>
    </w:p>
    <w:p w:rsidRPr="00AD2BDA" w:rsidR="00AD2BDA" w:rsidP="005358E1" w:rsidRDefault="00AD2BDA" w14:paraId="7692BB51" w14:textId="2627D3EF">
      <w:pPr>
        <w:spacing w:after="0" w:line="360" w:lineRule="auto"/>
        <w:jc w:val="both"/>
        <w:rPr>
          <w:rFonts w:ascii="Verdana" w:hAnsi="Verdana"/>
          <w:sz w:val="24"/>
          <w:szCs w:val="24"/>
        </w:rPr>
      </w:pPr>
      <w:r w:rsidRPr="00AD2BDA">
        <w:rPr>
          <w:rFonts w:ascii="Verdana" w:hAnsi="Verdana"/>
          <w:sz w:val="24"/>
          <w:szCs w:val="24"/>
        </w:rPr>
        <w:t>En este contexto, se adelantaron pruebas controladas de pentesting y ejercicios técnicos de evaluación de seguridad sobre la infraestructura tecnológica institucional, con el propósito de identificar vulnerabilidades y oportunidades de mejora en los sistemas de información y activos tecnológicos críticos. Estas actividades permitieron establecer planes de tratamiento y mitigación de riesgos, contribuyendo al fortalecimiento de los controles de seguridad implementados por la Entidad y mejorando la capacidad institucional para anticipar y responder ante posibles incidentes de seguridad. </w:t>
      </w:r>
    </w:p>
    <w:p w:rsidR="00AD2BDA" w:rsidP="005358E1" w:rsidRDefault="00AD2BDA" w14:paraId="39FD44A9" w14:textId="77777777">
      <w:pPr>
        <w:spacing w:after="0" w:line="360" w:lineRule="auto"/>
        <w:jc w:val="both"/>
        <w:rPr>
          <w:rFonts w:ascii="Verdana" w:hAnsi="Verdana"/>
          <w:sz w:val="24"/>
          <w:szCs w:val="24"/>
        </w:rPr>
      </w:pPr>
    </w:p>
    <w:p w:rsidRPr="00AD2BDA" w:rsidR="00AD2BDA" w:rsidP="005358E1" w:rsidRDefault="00AD2BDA" w14:paraId="7628FE78" w14:textId="7C894A88">
      <w:pPr>
        <w:spacing w:after="0" w:line="360" w:lineRule="auto"/>
        <w:jc w:val="both"/>
        <w:rPr>
          <w:rFonts w:ascii="Verdana" w:hAnsi="Verdana"/>
          <w:sz w:val="24"/>
          <w:szCs w:val="24"/>
        </w:rPr>
      </w:pPr>
      <w:r w:rsidRPr="00AD2BDA">
        <w:rPr>
          <w:rFonts w:ascii="Verdana" w:hAnsi="Verdana"/>
          <w:sz w:val="24"/>
          <w:szCs w:val="24"/>
        </w:rPr>
        <w:t>De igual manera, se desarrollaron jornadas permanentes de capacitación y sensibilización dirigidas a funcionarios, contratistas y colaboradores, enfocadas en buenas prácticas de seguridad de la información, prevención de incidentes, identificación de correos fraudulentos, protección de datos, manejo seguro de contraseñas y uso adecuado de los recursos tecnológicos institucionales. Estas actividades permitieron fortalecer la apropiación de lineamientos institucionales y generar mayor conciencia frente a las amenazas cibernéticas actuales y los riesgos asociados al manejo de la información. </w:t>
      </w:r>
    </w:p>
    <w:p w:rsidR="00AD2BDA" w:rsidP="005358E1" w:rsidRDefault="00AD2BDA" w14:paraId="5DD978B2" w14:textId="77777777">
      <w:pPr>
        <w:spacing w:after="0" w:line="360" w:lineRule="auto"/>
        <w:jc w:val="both"/>
        <w:rPr>
          <w:rFonts w:ascii="Verdana" w:hAnsi="Verdana"/>
          <w:sz w:val="24"/>
          <w:szCs w:val="24"/>
        </w:rPr>
      </w:pPr>
    </w:p>
    <w:p w:rsidRPr="00AD2BDA" w:rsidR="00AD2BDA" w:rsidP="005358E1" w:rsidRDefault="00AD2BDA" w14:paraId="1DB73F1A" w14:textId="443FC79C">
      <w:pPr>
        <w:spacing w:after="0" w:line="360" w:lineRule="auto"/>
        <w:jc w:val="both"/>
        <w:rPr>
          <w:rFonts w:ascii="Verdana" w:hAnsi="Verdana"/>
          <w:sz w:val="24"/>
          <w:szCs w:val="24"/>
        </w:rPr>
      </w:pPr>
      <w:r w:rsidRPr="00AD2BDA">
        <w:rPr>
          <w:rFonts w:ascii="Verdana" w:hAnsi="Verdana"/>
          <w:sz w:val="24"/>
          <w:szCs w:val="24"/>
        </w:rPr>
        <w:t>Adicionalmente, se realizaron actividades de monitoreo y seguimiento a riesgos de seguridad de la información, así como ejercicios de revisión, validación y actualización de los activos de información institucionales, permitiendo mejorar la identificación de información crítica, su clasificación, valoración y los controles asociados para su protección. Estas acciones fortalecieron el conocimiento institucional sobre los procesos críticos y facilitaron la toma de decisiones orientadas a la protección de la información y continuidad de la operación institucional. </w:t>
      </w:r>
    </w:p>
    <w:p w:rsidR="00AD2BDA" w:rsidP="005358E1" w:rsidRDefault="00AD2BDA" w14:paraId="1FE45C6E" w14:textId="77777777">
      <w:pPr>
        <w:spacing w:after="0" w:line="360" w:lineRule="auto"/>
        <w:jc w:val="both"/>
        <w:rPr>
          <w:rFonts w:ascii="Verdana" w:hAnsi="Verdana"/>
          <w:sz w:val="24"/>
          <w:szCs w:val="24"/>
        </w:rPr>
      </w:pPr>
    </w:p>
    <w:p w:rsidRPr="00AD2BDA" w:rsidR="00AD2BDA" w:rsidP="005358E1" w:rsidRDefault="28F12D9C" w14:paraId="19FC8584" w14:textId="7AF83A60">
      <w:pPr>
        <w:spacing w:after="0" w:line="360" w:lineRule="auto"/>
        <w:jc w:val="both"/>
      </w:pPr>
      <w:r w:rsidRPr="620A7E17">
        <w:rPr>
          <w:rFonts w:ascii="Verdana" w:hAnsi="Verdana"/>
          <w:sz w:val="24"/>
          <w:szCs w:val="24"/>
        </w:rPr>
        <w:t>En paralelo, se adelantó el fortalecimiento y actualización de las políticas de seguridad de la información al interior del Ministerio, alineándolas con los lineamientos del Modelo de Seguridad y Privacidad de la Información (MSPI), las directrices emitidas por el Ministerio TIC y buenas prácticas internacionales en materia de gestión de seguridad de la información y gestión del riesgo. </w:t>
      </w:r>
    </w:p>
    <w:p w:rsidR="620A7E17" w:rsidP="620A7E17" w:rsidRDefault="620A7E17" w14:paraId="7BEBF342" w14:textId="72103ACF">
      <w:pPr>
        <w:spacing w:after="0" w:line="360" w:lineRule="auto"/>
        <w:jc w:val="both"/>
        <w:rPr>
          <w:rFonts w:ascii="Verdana" w:hAnsi="Verdana"/>
          <w:sz w:val="24"/>
          <w:szCs w:val="24"/>
        </w:rPr>
      </w:pPr>
    </w:p>
    <w:p w:rsidRPr="00AD2BDA" w:rsidR="00AD2BDA" w:rsidP="005358E1" w:rsidRDefault="00AD2BDA" w14:paraId="079ACDDB" w14:textId="77777777">
      <w:pPr>
        <w:spacing w:after="0" w:line="360" w:lineRule="auto"/>
        <w:jc w:val="both"/>
        <w:rPr>
          <w:rFonts w:ascii="Verdana" w:hAnsi="Verdana"/>
          <w:sz w:val="24"/>
          <w:szCs w:val="24"/>
        </w:rPr>
      </w:pPr>
      <w:r w:rsidRPr="00AD2BDA">
        <w:rPr>
          <w:rFonts w:ascii="Verdana" w:hAnsi="Verdana"/>
          <w:sz w:val="24"/>
          <w:szCs w:val="24"/>
        </w:rPr>
        <w:t>Así mismo, durante la vigencia 2025 se ejecutaron actividades asociadas al proyecto de fortalecimiento y mejora continua del MSPI, tomando como punto de partida los resultados del autodiagnóstico institucional realizado previamente. A partir de dicho ejercicio se identificaron oportunidades de mejora y brechas de cumplimiento, definiéndose actividades orientadas al fortalecimiento de controles, actualización documental, madurez de procesos, apropiación institucional y consolidación de capacidades técnicas y administrativas en seguridad de la información. </w:t>
      </w:r>
    </w:p>
    <w:p w:rsidR="00AD2BDA" w:rsidP="005358E1" w:rsidRDefault="00AD2BDA" w14:paraId="1017E74B" w14:textId="77777777">
      <w:pPr>
        <w:spacing w:after="0" w:line="360" w:lineRule="auto"/>
        <w:jc w:val="both"/>
        <w:rPr>
          <w:rFonts w:ascii="Verdana" w:hAnsi="Verdana"/>
          <w:sz w:val="24"/>
          <w:szCs w:val="24"/>
        </w:rPr>
      </w:pPr>
    </w:p>
    <w:p w:rsidRPr="00AD2BDA" w:rsidR="00AD2BDA" w:rsidP="005358E1" w:rsidRDefault="00AD2BDA" w14:paraId="58D8072D" w14:textId="16BA9CA3">
      <w:pPr>
        <w:spacing w:after="0" w:line="360" w:lineRule="auto"/>
        <w:jc w:val="both"/>
        <w:rPr>
          <w:rFonts w:ascii="Verdana" w:hAnsi="Verdana"/>
          <w:sz w:val="24"/>
          <w:szCs w:val="24"/>
        </w:rPr>
      </w:pPr>
      <w:r w:rsidRPr="00AD2BDA">
        <w:rPr>
          <w:rFonts w:ascii="Verdana" w:hAnsi="Verdana"/>
          <w:sz w:val="24"/>
          <w:szCs w:val="24"/>
        </w:rPr>
        <w:t>De igual forma, se contó con el desarrollo de auditorías internas en materia de seguridad de la información, las cuales permitieron identificar diferentes campos de acción y aspectos susceptibles de fortalecimiento al interior del Ministerio, especialmente en temas relacionados con gobernanza, documentación, seguimiento de controles, gestión de riesgos, administración de activos, cumplimiento normativo y apropiación institucional de lineamientos de seguridad digital. Los resultados obtenidos constituyen un insumo fundamental para la definición de acciones de mejora, priorización de actividades y fortalecimiento continuo del modelo institucional de seguridad y privacidad de la información. </w:t>
      </w:r>
    </w:p>
    <w:p w:rsidR="00AD2BDA" w:rsidP="005358E1" w:rsidRDefault="00AD2BDA" w14:paraId="2356C809" w14:textId="77777777">
      <w:pPr>
        <w:spacing w:after="0" w:line="360" w:lineRule="auto"/>
        <w:jc w:val="both"/>
        <w:rPr>
          <w:rFonts w:ascii="Verdana" w:hAnsi="Verdana"/>
          <w:sz w:val="24"/>
          <w:szCs w:val="24"/>
        </w:rPr>
      </w:pPr>
    </w:p>
    <w:p w:rsidRPr="00AD2BDA" w:rsidR="00AD2BDA" w:rsidP="005358E1" w:rsidRDefault="00AD2BDA" w14:paraId="72982129" w14:textId="0010E611">
      <w:pPr>
        <w:spacing w:after="0" w:line="360" w:lineRule="auto"/>
        <w:jc w:val="both"/>
        <w:rPr>
          <w:rFonts w:ascii="Verdana" w:hAnsi="Verdana"/>
          <w:sz w:val="24"/>
          <w:szCs w:val="24"/>
        </w:rPr>
      </w:pPr>
      <w:r w:rsidRPr="00AD2BDA">
        <w:rPr>
          <w:rFonts w:ascii="Verdana" w:hAnsi="Verdana"/>
          <w:sz w:val="24"/>
          <w:szCs w:val="24"/>
        </w:rPr>
        <w:t xml:space="preserve">Para la vigencia 2026, el Ministerio continúa trabajando bajo un enfoque de mejora continua del MSPI, avanzando en la actualización y fortalecimiento de la implementación de controles alineados con la norma </w:t>
      </w:r>
      <w:r w:rsidRPr="00AD2BDA">
        <w:rPr>
          <w:rFonts w:ascii="Verdana" w:hAnsi="Verdana"/>
          <w:sz w:val="24"/>
          <w:szCs w:val="24"/>
        </w:rPr>
        <w:t>ISO/IEC 27001 y el direccionamiento estratégico definido por el Ministerio TIC en materia de Seguridad y Privacidad de la Información. Estas actividades buscan continuar incrementando el nivel de madurez institucional, fortalecer la gestión del riesgo y consolidar mecanismos de protección adecuados para la información institucional. </w:t>
      </w:r>
    </w:p>
    <w:p w:rsidR="00AD2BDA" w:rsidP="005358E1" w:rsidRDefault="00AD2BDA" w14:paraId="0EC857D6" w14:textId="77777777">
      <w:pPr>
        <w:spacing w:after="0" w:line="360" w:lineRule="auto"/>
        <w:jc w:val="both"/>
        <w:rPr>
          <w:rFonts w:ascii="Verdana" w:hAnsi="Verdana"/>
          <w:sz w:val="24"/>
          <w:szCs w:val="24"/>
        </w:rPr>
      </w:pPr>
    </w:p>
    <w:p w:rsidRPr="00AD2BDA" w:rsidR="00AD2BDA" w:rsidP="005358E1" w:rsidRDefault="00AD2BDA" w14:paraId="513D1D9A" w14:textId="5344BB0A">
      <w:pPr>
        <w:spacing w:after="0" w:line="360" w:lineRule="auto"/>
        <w:jc w:val="both"/>
        <w:rPr>
          <w:rFonts w:ascii="Verdana" w:hAnsi="Verdana"/>
          <w:sz w:val="24"/>
          <w:szCs w:val="24"/>
        </w:rPr>
      </w:pPr>
      <w:r w:rsidRPr="00AD2BDA">
        <w:rPr>
          <w:rFonts w:ascii="Verdana" w:hAnsi="Verdana"/>
          <w:sz w:val="24"/>
          <w:szCs w:val="24"/>
        </w:rPr>
        <w:t>En este marco, se continúa ejecutando el plan de sensibilización y capacitación institucional en seguridad y privacidad de la información, conforme a las actividades definidas en los planes institucionales de seguridad digital y seguridad de la información. Las jornadas desarrolladas durante 2026 han estado orientadas a fortalecer la cultura de seguridad al interior de la Entidad, promoviendo buenas prácticas relacionadas con protección de información, prevención de ataques cibernéticos, uso seguro de herramientas tecnológicas, gestión de incidentes y responsabilidad en el tratamiento de la información institucional. Estas actividades buscan fortalecer el componente humano como una de las principales líneas de defensa frente a amenazas de seguridad digital. </w:t>
      </w:r>
    </w:p>
    <w:p w:rsidR="00AD2BDA" w:rsidP="005358E1" w:rsidRDefault="00AD2BDA" w14:paraId="0C409478" w14:textId="77777777">
      <w:pPr>
        <w:spacing w:after="0" w:line="360" w:lineRule="auto"/>
        <w:jc w:val="both"/>
        <w:rPr>
          <w:rFonts w:ascii="Verdana" w:hAnsi="Verdana"/>
          <w:sz w:val="24"/>
          <w:szCs w:val="24"/>
        </w:rPr>
      </w:pPr>
    </w:p>
    <w:p w:rsidRPr="00AD2BDA" w:rsidR="00AD2BDA" w:rsidP="005358E1" w:rsidRDefault="00AD2BDA" w14:paraId="30A57297" w14:textId="36DE611E">
      <w:pPr>
        <w:spacing w:after="0" w:line="360" w:lineRule="auto"/>
        <w:jc w:val="both"/>
        <w:rPr>
          <w:rFonts w:ascii="Verdana" w:hAnsi="Verdana"/>
          <w:sz w:val="24"/>
          <w:szCs w:val="24"/>
        </w:rPr>
      </w:pPr>
      <w:r w:rsidRPr="00AD2BDA">
        <w:rPr>
          <w:rFonts w:ascii="Verdana" w:hAnsi="Verdana"/>
          <w:sz w:val="24"/>
          <w:szCs w:val="24"/>
        </w:rPr>
        <w:t xml:space="preserve">Así mismo, actualmente se adelanta el proyecto de implementación de una herramienta GRC (Gobierno, Riesgo y Cumplimiento), iniciativa estratégica que permitirá fortalecer la gobernanza institucional de seguridad de la información. Una herramienta GRC es una plataforma especializada que facilita la administración centralizada de riesgos, controles, auditorías, cumplimiento normativo, planes de acción, indicadores y evidencias asociadas a la gestión institucional. Su implementación permitirá consolidar la información clave para la toma de decisiones, mejorar la trazabilidad y seguimiento de actividades, optimizar procesos de control y fortalecer la capacidad institucional para </w:t>
      </w:r>
      <w:r w:rsidRPr="00AD2BDA">
        <w:rPr>
          <w:rFonts w:ascii="Verdana" w:hAnsi="Verdana"/>
          <w:sz w:val="24"/>
          <w:szCs w:val="24"/>
        </w:rPr>
        <w:t>gestionar de manera integral los riesgos asociados a la seguridad de la información y al cumplimiento normativo. </w:t>
      </w:r>
    </w:p>
    <w:p w:rsidR="00AD2BDA" w:rsidP="005358E1" w:rsidRDefault="00AD2BDA" w14:paraId="396C9F21" w14:textId="77777777">
      <w:pPr>
        <w:spacing w:after="0" w:line="360" w:lineRule="auto"/>
        <w:jc w:val="both"/>
        <w:rPr>
          <w:rFonts w:ascii="Verdana" w:hAnsi="Verdana"/>
          <w:sz w:val="24"/>
          <w:szCs w:val="24"/>
        </w:rPr>
      </w:pPr>
    </w:p>
    <w:p w:rsidRPr="00AD2BDA" w:rsidR="00AD2BDA" w:rsidP="005358E1" w:rsidRDefault="00AD2BDA" w14:paraId="5629D5EF" w14:textId="248C6788">
      <w:pPr>
        <w:spacing w:after="0" w:line="360" w:lineRule="auto"/>
        <w:jc w:val="both"/>
        <w:rPr>
          <w:rFonts w:ascii="Verdana" w:hAnsi="Verdana"/>
          <w:sz w:val="24"/>
          <w:szCs w:val="24"/>
        </w:rPr>
      </w:pPr>
      <w:r w:rsidRPr="00AD2BDA">
        <w:rPr>
          <w:rFonts w:ascii="Verdana" w:hAnsi="Verdana"/>
          <w:sz w:val="24"/>
          <w:szCs w:val="24"/>
        </w:rPr>
        <w:t>Adicionalmente, la implementación de esta herramienta contribuirá a mejorar la articulación entre los diferentes procesos institucionales, facilitará el seguimiento a planes de mejoramiento derivados de auditorías y autodiagnósticos, y permitirá contar con información centralizada y oportuna para apoyar la toma de decisiones estratégicas relacionadas con seguridad digital, continuidad operativa y cumplimiento regulatorio. </w:t>
      </w:r>
    </w:p>
    <w:p w:rsidR="00AD2BDA" w:rsidP="005358E1" w:rsidRDefault="00AD2BDA" w14:paraId="7ABF4BB9" w14:textId="77777777">
      <w:pPr>
        <w:spacing w:after="0" w:line="360" w:lineRule="auto"/>
        <w:jc w:val="both"/>
        <w:rPr>
          <w:rFonts w:ascii="Verdana" w:hAnsi="Verdana"/>
          <w:sz w:val="24"/>
          <w:szCs w:val="24"/>
        </w:rPr>
      </w:pPr>
    </w:p>
    <w:p w:rsidRPr="00AD2BDA" w:rsidR="00AD2BDA" w:rsidP="005358E1" w:rsidRDefault="00AD2BDA" w14:paraId="1E010BD1" w14:textId="17217CD9">
      <w:pPr>
        <w:spacing w:after="0" w:line="360" w:lineRule="auto"/>
        <w:jc w:val="both"/>
        <w:rPr>
          <w:rFonts w:ascii="Verdana" w:hAnsi="Verdana"/>
          <w:sz w:val="24"/>
          <w:szCs w:val="24"/>
        </w:rPr>
      </w:pPr>
      <w:r w:rsidRPr="00AD2BDA">
        <w:rPr>
          <w:rFonts w:ascii="Verdana" w:hAnsi="Verdana"/>
          <w:sz w:val="24"/>
          <w:szCs w:val="24"/>
        </w:rPr>
        <w:t>Adicionalmente, desde la vigencia 2025 el Ministerio viene adelantando mesas de trabajo y ejercicios de revisión proceso a proceso, orientados a identificar actividades críticas, dependencias operativas, activos de información e infraestructura tecnológica esencial para la operación institucional. Como resultado de este ejercicio, se ha venido trabajando en la actualización y fortalecimiento de los documentos maestros de continuidad de negocio, entre los cuales se destacan el BIA (Business Impact Analysis o Análisis de Impacto al Negocio), el DRP (Disaster Recovery Plan o Plan de Recuperación ante Desastres) y el BCP (Business Continuity Plan o Plan de Continuidad del Negocio). </w:t>
      </w:r>
    </w:p>
    <w:p w:rsidR="00AD2BDA" w:rsidP="005358E1" w:rsidRDefault="00AD2BDA" w14:paraId="129B7528" w14:textId="77777777">
      <w:pPr>
        <w:spacing w:after="0" w:line="360" w:lineRule="auto"/>
        <w:jc w:val="both"/>
        <w:rPr>
          <w:rFonts w:ascii="Verdana" w:hAnsi="Verdana"/>
          <w:sz w:val="24"/>
          <w:szCs w:val="24"/>
        </w:rPr>
      </w:pPr>
    </w:p>
    <w:p w:rsidRPr="00AD2BDA" w:rsidR="00AD2BDA" w:rsidP="005358E1" w:rsidRDefault="00AD2BDA" w14:paraId="292F0A2C" w14:textId="17C8EF92">
      <w:pPr>
        <w:spacing w:after="0" w:line="360" w:lineRule="auto"/>
        <w:jc w:val="both"/>
        <w:rPr>
          <w:rFonts w:ascii="Verdana" w:hAnsi="Verdana"/>
          <w:sz w:val="24"/>
          <w:szCs w:val="24"/>
        </w:rPr>
      </w:pPr>
      <w:r w:rsidRPr="00AD2BDA">
        <w:rPr>
          <w:rFonts w:ascii="Verdana" w:hAnsi="Verdana"/>
          <w:sz w:val="24"/>
          <w:szCs w:val="24"/>
        </w:rPr>
        <w:t>Estas actividades han permitido evaluar de manera integral los impactos potenciales derivados de interrupciones operativas, identificar tiempos objetivos de recuperación (RTO), puntos objetivos de recuperación de información (RPO), definir estrategias de continuidad y fortalecer la capacidad institucional de respuesta ante eventos que puedan afectar la disponibilidad de los servicios y procesos críticos del Ministerio. </w:t>
      </w:r>
    </w:p>
    <w:p w:rsidR="00AD2BDA" w:rsidP="005358E1" w:rsidRDefault="00AD2BDA" w14:paraId="62D08F9D" w14:textId="77777777">
      <w:pPr>
        <w:spacing w:after="0" w:line="360" w:lineRule="auto"/>
        <w:jc w:val="both"/>
        <w:rPr>
          <w:rFonts w:ascii="Verdana" w:hAnsi="Verdana"/>
          <w:sz w:val="24"/>
          <w:szCs w:val="24"/>
        </w:rPr>
      </w:pPr>
    </w:p>
    <w:p w:rsidRPr="00AD2BDA" w:rsidR="00AD2BDA" w:rsidP="005358E1" w:rsidRDefault="28F12D9C" w14:paraId="0CA60B23" w14:textId="70EA2D16">
      <w:pPr>
        <w:spacing w:after="0" w:line="360" w:lineRule="auto"/>
        <w:jc w:val="both"/>
      </w:pPr>
      <w:r w:rsidRPr="620A7E17">
        <w:rPr>
          <w:rFonts w:ascii="Verdana" w:hAnsi="Verdana"/>
          <w:sz w:val="24"/>
          <w:szCs w:val="24"/>
        </w:rPr>
        <w:t xml:space="preserve">Así mismo, este ejercicio fortalece el rol del Ministerio como cabeza de sector, permitiéndole avanzar en la consolidación de lineamientos, </w:t>
      </w:r>
      <w:r w:rsidRPr="620A7E17">
        <w:rPr>
          <w:rFonts w:ascii="Verdana" w:hAnsi="Verdana"/>
          <w:sz w:val="24"/>
          <w:szCs w:val="24"/>
        </w:rPr>
        <w:t>capacidades y buenas prácticas en materia de continuidad del negocio y resiliencia institucional, sirviendo como referente y guía para las entidades vinculadas y adscritas en la implementación y fortalecimiento de sus propios esquemas de continuidad, recuperación y gestión de riesgos asociados a la seguridad de la información y continuidad operativa. </w:t>
      </w:r>
    </w:p>
    <w:p w:rsidR="620A7E17" w:rsidP="620A7E17" w:rsidRDefault="620A7E17" w14:paraId="6A16C389" w14:textId="2D1EEA55">
      <w:pPr>
        <w:spacing w:after="0" w:line="360" w:lineRule="auto"/>
        <w:jc w:val="both"/>
        <w:rPr>
          <w:rFonts w:ascii="Verdana" w:hAnsi="Verdana"/>
          <w:sz w:val="24"/>
          <w:szCs w:val="24"/>
        </w:rPr>
      </w:pPr>
    </w:p>
    <w:p w:rsidR="00AD2BDA" w:rsidP="005358E1" w:rsidRDefault="00AD2BDA" w14:paraId="5905E653" w14:textId="77777777">
      <w:pPr>
        <w:spacing w:after="0" w:line="360" w:lineRule="auto"/>
        <w:jc w:val="both"/>
        <w:rPr>
          <w:rFonts w:ascii="Verdana" w:hAnsi="Verdana"/>
          <w:sz w:val="24"/>
          <w:szCs w:val="24"/>
        </w:rPr>
      </w:pPr>
      <w:r w:rsidRPr="00AD2BDA">
        <w:rPr>
          <w:rFonts w:ascii="Verdana" w:hAnsi="Verdana"/>
          <w:sz w:val="24"/>
          <w:szCs w:val="24"/>
        </w:rPr>
        <w:t>En conclusión, las actividades desarrolladas durante las vigencias 2025 y 2026 reflejan el compromiso institucional con el fortalecimiento continuo de la seguridad de la información, la consolidación de capacidades técnicas y administrativas, el mejoramiento de la gobernanza de seguridad digital y la promoción de una cultura organizacional orientada a la protección de la información institucional. Lo anterior permite avanzar de manera progresiva en la madurez del Modelo de Seguridad y Privacidad de la Información, fortalecer la capacidad de respuesta ante riesgos y amenazas cibernéticas, y contribuir a la protección, disponibilidad, integridad y confidencialidad de la información estratégica del Ministerio. </w:t>
      </w:r>
    </w:p>
    <w:p w:rsidR="00AD2BDA" w:rsidP="005358E1" w:rsidRDefault="00AD2BDA" w14:paraId="20B5EA7E" w14:textId="77777777">
      <w:pPr>
        <w:spacing w:after="0" w:line="360" w:lineRule="auto"/>
        <w:jc w:val="both"/>
        <w:rPr>
          <w:rFonts w:ascii="Verdana" w:hAnsi="Verdana"/>
          <w:sz w:val="24"/>
          <w:szCs w:val="24"/>
        </w:rPr>
      </w:pPr>
    </w:p>
    <w:p w:rsidR="00AD2BDA" w:rsidRDefault="00A82055" w14:paraId="34D57610" w14:textId="357D2D83">
      <w:pPr>
        <w:pStyle w:val="Prrafodelista"/>
        <w:numPr>
          <w:ilvl w:val="0"/>
          <w:numId w:val="94"/>
        </w:numPr>
        <w:spacing w:after="0" w:line="360" w:lineRule="auto"/>
        <w:outlineLvl w:val="0"/>
        <w:rPr>
          <w:rFonts w:ascii="Verdana" w:hAnsi="Verdana"/>
          <w:b/>
          <w:bCs/>
          <w:sz w:val="24"/>
          <w:szCs w:val="24"/>
        </w:rPr>
      </w:pPr>
      <w:bookmarkStart w:name="_Toc233996754" w:id="37"/>
      <w:r w:rsidRPr="00AD2BDA">
        <w:rPr>
          <w:rFonts w:ascii="Verdana" w:hAnsi="Verdana"/>
          <w:b/>
          <w:bCs/>
          <w:sz w:val="24"/>
          <w:szCs w:val="24"/>
        </w:rPr>
        <w:t>Gestión del conocimiento y la innovación</w:t>
      </w:r>
      <w:bookmarkEnd w:id="37"/>
    </w:p>
    <w:p w:rsidR="00AD2BDA" w:rsidP="005358E1" w:rsidRDefault="00AD2BDA" w14:paraId="414938B0" w14:textId="77777777">
      <w:pPr>
        <w:spacing w:after="0" w:line="360" w:lineRule="auto"/>
        <w:rPr>
          <w:rFonts w:ascii="Verdana" w:hAnsi="Verdana"/>
          <w:b/>
          <w:bCs/>
          <w:sz w:val="24"/>
          <w:szCs w:val="24"/>
        </w:rPr>
      </w:pPr>
    </w:p>
    <w:p w:rsidRPr="00AD2BDA" w:rsidR="00AD2BDA" w:rsidP="005358E1" w:rsidRDefault="28F12D9C" w14:paraId="6BE48A3E" w14:textId="77BE6042">
      <w:pPr>
        <w:spacing w:after="0" w:line="360" w:lineRule="auto"/>
        <w:jc w:val="both"/>
        <w:rPr>
          <w:rFonts w:ascii="Verdana" w:hAnsi="Verdana"/>
          <w:sz w:val="24"/>
          <w:szCs w:val="24"/>
        </w:rPr>
      </w:pPr>
      <w:r w:rsidRPr="620A7E17">
        <w:rPr>
          <w:rFonts w:ascii="Verdana" w:hAnsi="Verdana"/>
          <w:sz w:val="24"/>
          <w:szCs w:val="24"/>
        </w:rPr>
        <w:t>Durante el cuatrienio 2022–2026, el Ministerio de Minas y Energía, a través de la Subdirección de Talento Humano y la Secretar</w:t>
      </w:r>
      <w:r w:rsidRPr="620A7E17" w:rsidR="56362AE1">
        <w:rPr>
          <w:rFonts w:ascii="Verdana" w:hAnsi="Verdana"/>
          <w:sz w:val="24"/>
          <w:szCs w:val="24"/>
        </w:rPr>
        <w:t>ía</w:t>
      </w:r>
      <w:r w:rsidRPr="620A7E17">
        <w:rPr>
          <w:rFonts w:ascii="Verdana" w:hAnsi="Verdana"/>
          <w:sz w:val="24"/>
          <w:szCs w:val="24"/>
        </w:rPr>
        <w:t xml:space="preserve"> General, estructuró y consolidó la estrategia de Gestión del Conocimiento y la Innovación (GESCO + I), alineada con los lineamientos establecidos en el Modelo Integrado de Planeación y Gestión – MIPG.  </w:t>
      </w:r>
    </w:p>
    <w:p w:rsidRPr="00AD2BDA" w:rsidR="00AD2BDA" w:rsidP="005358E1" w:rsidRDefault="00AD2BDA" w14:paraId="5647AA20" w14:textId="77777777">
      <w:pPr>
        <w:spacing w:after="0" w:line="360" w:lineRule="auto"/>
        <w:jc w:val="both"/>
        <w:rPr>
          <w:rFonts w:ascii="Verdana" w:hAnsi="Verdana"/>
          <w:sz w:val="24"/>
          <w:szCs w:val="24"/>
        </w:rPr>
      </w:pPr>
    </w:p>
    <w:p w:rsidR="00AD2BDA" w:rsidP="005358E1" w:rsidRDefault="00AD2BDA" w14:paraId="37990CA0" w14:textId="165665D2">
      <w:pPr>
        <w:spacing w:after="0" w:line="360" w:lineRule="auto"/>
        <w:jc w:val="both"/>
        <w:rPr>
          <w:rFonts w:ascii="Verdana" w:hAnsi="Verdana"/>
          <w:sz w:val="24"/>
          <w:szCs w:val="24"/>
        </w:rPr>
      </w:pPr>
      <w:r w:rsidRPr="00AD2BDA">
        <w:rPr>
          <w:rFonts w:ascii="Verdana" w:hAnsi="Verdana"/>
          <w:sz w:val="24"/>
          <w:szCs w:val="24"/>
        </w:rPr>
        <w:t xml:space="preserve">Las acciones adelantadas se estructuraron inicialmente bajo los ejes tradicionales de la Política de Gestión del Conocimiento y la Innovación establecidos por Función Pública, y posteriormente, atendiendo la actualización de los lineamientos, durante la vigencia 2026 se inició la </w:t>
      </w:r>
      <w:r w:rsidRPr="00AD2BDA">
        <w:rPr>
          <w:rFonts w:ascii="Verdana" w:hAnsi="Verdana"/>
          <w:sz w:val="24"/>
          <w:szCs w:val="24"/>
        </w:rPr>
        <w:t>transición hacia el nuevo enfoque estratégico de la política, a continuación, se evidencia la evolución institucional de los ejes mencionados:</w:t>
      </w:r>
    </w:p>
    <w:p w:rsidRPr="00AD2BDA" w:rsidR="00AD2BDA" w:rsidP="005358E1" w:rsidRDefault="00AD2BDA" w14:paraId="6DE254E7" w14:textId="77777777">
      <w:pPr>
        <w:spacing w:after="0" w:line="360" w:lineRule="auto"/>
        <w:jc w:val="both"/>
        <w:rPr>
          <w:rFonts w:ascii="Verdana" w:hAnsi="Verdana"/>
          <w:sz w:val="18"/>
          <w:szCs w:val="18"/>
        </w:rPr>
      </w:pPr>
    </w:p>
    <w:p w:rsidRPr="00AD2BDA" w:rsidR="00AD2BDA" w:rsidP="00AD2BDA" w:rsidRDefault="00AD2BDA" w14:paraId="21B4EBBF" w14:textId="396C0103">
      <w:pPr>
        <w:spacing w:after="0" w:line="240" w:lineRule="auto"/>
        <w:jc w:val="center"/>
        <w:rPr>
          <w:rFonts w:ascii="Verdana" w:hAnsi="Verdana"/>
          <w:sz w:val="18"/>
          <w:szCs w:val="18"/>
        </w:rPr>
      </w:pPr>
      <w:r w:rsidRPr="00770ECF">
        <w:rPr>
          <w:rFonts w:ascii="Verdana" w:hAnsi="Verdana"/>
          <w:sz w:val="18"/>
          <w:szCs w:val="18"/>
        </w:rPr>
        <w:t xml:space="preserve">Tabla </w:t>
      </w:r>
      <w:r w:rsidR="00770ECF">
        <w:rPr>
          <w:rFonts w:ascii="Verdana" w:hAnsi="Verdana"/>
          <w:sz w:val="18"/>
          <w:szCs w:val="18"/>
        </w:rPr>
        <w:t xml:space="preserve">No. </w:t>
      </w:r>
      <w:r w:rsidRPr="00770ECF" w:rsidR="00770ECF">
        <w:rPr>
          <w:rFonts w:ascii="Verdana" w:hAnsi="Verdana"/>
          <w:sz w:val="18"/>
          <w:szCs w:val="18"/>
        </w:rPr>
        <w:t>72</w:t>
      </w:r>
      <w:r w:rsidRPr="00770ECF">
        <w:rPr>
          <w:rFonts w:ascii="Verdana" w:hAnsi="Verdana"/>
          <w:sz w:val="18"/>
          <w:szCs w:val="18"/>
        </w:rPr>
        <w:t>. Evolución Institucional de los Ejes de la Política Gesco + I</w:t>
      </w:r>
      <w:r w:rsidRPr="00AD2BDA">
        <w:rPr>
          <w:rFonts w:ascii="Verdana" w:hAnsi="Verdana"/>
          <w:sz w:val="18"/>
          <w:szCs w:val="18"/>
        </w:rPr>
        <w:t> </w:t>
      </w:r>
    </w:p>
    <w:tbl>
      <w:tblPr>
        <w:tblW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4380"/>
        <w:gridCol w:w="4380"/>
      </w:tblGrid>
      <w:tr w:rsidRPr="00AD2BDA" w:rsidR="00AD2BDA" w:rsidTr="00AD2BDA" w14:paraId="372DAB77" w14:textId="77777777">
        <w:trPr>
          <w:trHeight w:val="15"/>
        </w:trPr>
        <w:tc>
          <w:tcPr>
            <w:tcW w:w="4380" w:type="dxa"/>
            <w:shd w:val="clear" w:color="auto" w:fill="A6A6A6" w:themeFill="background1" w:themeFillShade="A6"/>
            <w:vAlign w:val="center"/>
            <w:hideMark/>
          </w:tcPr>
          <w:p w:rsidRPr="00AD2BDA" w:rsidR="00AD2BDA" w:rsidP="00AD2BDA" w:rsidRDefault="00AD2BDA" w14:paraId="34C4C2F2" w14:textId="1E38C0D8">
            <w:pPr>
              <w:spacing w:after="0" w:line="240" w:lineRule="auto"/>
              <w:jc w:val="center"/>
              <w:rPr>
                <w:rFonts w:ascii="Verdana" w:hAnsi="Verdana"/>
                <w:sz w:val="18"/>
                <w:szCs w:val="18"/>
              </w:rPr>
            </w:pPr>
            <w:r w:rsidRPr="00AD2BDA">
              <w:rPr>
                <w:rFonts w:ascii="Verdana" w:hAnsi="Verdana"/>
                <w:sz w:val="18"/>
                <w:szCs w:val="18"/>
              </w:rPr>
              <w:t>2022 – 2025 | Ejes tradicionales</w:t>
            </w:r>
          </w:p>
        </w:tc>
        <w:tc>
          <w:tcPr>
            <w:tcW w:w="4380" w:type="dxa"/>
            <w:shd w:val="clear" w:color="auto" w:fill="A6A6A6" w:themeFill="background1" w:themeFillShade="A6"/>
            <w:vAlign w:val="center"/>
            <w:hideMark/>
          </w:tcPr>
          <w:p w:rsidRPr="00AD2BDA" w:rsidR="00AD2BDA" w:rsidP="00AD2BDA" w:rsidRDefault="00AD2BDA" w14:paraId="7B779F78" w14:textId="024AE3DB">
            <w:pPr>
              <w:spacing w:after="0" w:line="240" w:lineRule="auto"/>
              <w:jc w:val="center"/>
              <w:rPr>
                <w:rFonts w:ascii="Verdana" w:hAnsi="Verdana"/>
                <w:sz w:val="18"/>
                <w:szCs w:val="18"/>
              </w:rPr>
            </w:pPr>
            <w:r w:rsidRPr="00AD2BDA">
              <w:rPr>
                <w:rFonts w:ascii="Verdana" w:hAnsi="Verdana"/>
                <w:sz w:val="18"/>
                <w:szCs w:val="18"/>
              </w:rPr>
              <w:t>2026 | Nuevos ejes</w:t>
            </w:r>
          </w:p>
        </w:tc>
      </w:tr>
      <w:tr w:rsidRPr="00AD2BDA" w:rsidR="00AD2BDA" w:rsidTr="00AD2BDA" w14:paraId="14A2EB2A" w14:textId="77777777">
        <w:trPr>
          <w:trHeight w:val="15"/>
        </w:trPr>
        <w:tc>
          <w:tcPr>
            <w:tcW w:w="4380" w:type="dxa"/>
            <w:vAlign w:val="center"/>
            <w:hideMark/>
          </w:tcPr>
          <w:p w:rsidRPr="00AD2BDA" w:rsidR="00AD2BDA" w:rsidP="00AD2BDA" w:rsidRDefault="00AD2BDA" w14:paraId="6E17CB38" w14:textId="77777777">
            <w:pPr>
              <w:spacing w:after="0" w:line="240" w:lineRule="auto"/>
              <w:jc w:val="both"/>
              <w:rPr>
                <w:rFonts w:ascii="Verdana" w:hAnsi="Verdana"/>
                <w:sz w:val="18"/>
                <w:szCs w:val="18"/>
              </w:rPr>
            </w:pPr>
            <w:r w:rsidRPr="00AD2BDA">
              <w:rPr>
                <w:rFonts w:ascii="Verdana" w:hAnsi="Verdana"/>
                <w:sz w:val="18"/>
                <w:szCs w:val="18"/>
              </w:rPr>
              <w:t>Generación y producción del conocimiento </w:t>
            </w:r>
          </w:p>
        </w:tc>
        <w:tc>
          <w:tcPr>
            <w:tcW w:w="4380" w:type="dxa"/>
            <w:vAlign w:val="center"/>
            <w:hideMark/>
          </w:tcPr>
          <w:p w:rsidRPr="00AD2BDA" w:rsidR="00AD2BDA" w:rsidP="00AD2BDA" w:rsidRDefault="00AD2BDA" w14:paraId="21DC1F21" w14:textId="77777777">
            <w:pPr>
              <w:spacing w:after="0" w:line="240" w:lineRule="auto"/>
              <w:jc w:val="both"/>
              <w:rPr>
                <w:rFonts w:ascii="Verdana" w:hAnsi="Verdana"/>
                <w:sz w:val="18"/>
                <w:szCs w:val="18"/>
              </w:rPr>
            </w:pPr>
            <w:r w:rsidRPr="00AD2BDA">
              <w:rPr>
                <w:rFonts w:ascii="Verdana" w:hAnsi="Verdana"/>
                <w:sz w:val="18"/>
                <w:szCs w:val="18"/>
              </w:rPr>
              <w:t>Saber innovar para la vida </w:t>
            </w:r>
          </w:p>
        </w:tc>
      </w:tr>
      <w:tr w:rsidRPr="00AD2BDA" w:rsidR="00AD2BDA" w:rsidTr="00AD2BDA" w14:paraId="27C9053A" w14:textId="77777777">
        <w:trPr>
          <w:trHeight w:val="15"/>
        </w:trPr>
        <w:tc>
          <w:tcPr>
            <w:tcW w:w="4380" w:type="dxa"/>
            <w:vAlign w:val="center"/>
            <w:hideMark/>
          </w:tcPr>
          <w:p w:rsidRPr="00AD2BDA" w:rsidR="00AD2BDA" w:rsidP="00AD2BDA" w:rsidRDefault="00AD2BDA" w14:paraId="49246A3F" w14:textId="77777777">
            <w:pPr>
              <w:spacing w:after="0" w:line="240" w:lineRule="auto"/>
              <w:jc w:val="both"/>
              <w:rPr>
                <w:rFonts w:ascii="Verdana" w:hAnsi="Verdana"/>
                <w:sz w:val="18"/>
                <w:szCs w:val="18"/>
              </w:rPr>
            </w:pPr>
            <w:r w:rsidRPr="00AD2BDA">
              <w:rPr>
                <w:rFonts w:ascii="Verdana" w:hAnsi="Verdana"/>
                <w:sz w:val="18"/>
                <w:szCs w:val="18"/>
              </w:rPr>
              <w:t>Herramientas para el uso y apropiación </w:t>
            </w:r>
          </w:p>
        </w:tc>
        <w:tc>
          <w:tcPr>
            <w:tcW w:w="4380" w:type="dxa"/>
            <w:vMerge w:val="restart"/>
            <w:vAlign w:val="center"/>
            <w:hideMark/>
          </w:tcPr>
          <w:p w:rsidRPr="00AD2BDA" w:rsidR="00AD2BDA" w:rsidP="00AD2BDA" w:rsidRDefault="00AD2BDA" w14:paraId="150CD160" w14:textId="77777777">
            <w:pPr>
              <w:spacing w:after="0" w:line="240" w:lineRule="auto"/>
              <w:jc w:val="both"/>
              <w:rPr>
                <w:rFonts w:ascii="Verdana" w:hAnsi="Verdana"/>
                <w:sz w:val="18"/>
                <w:szCs w:val="18"/>
              </w:rPr>
            </w:pPr>
            <w:r w:rsidRPr="00AD2BDA">
              <w:rPr>
                <w:rFonts w:ascii="Verdana" w:hAnsi="Verdana"/>
                <w:sz w:val="18"/>
                <w:szCs w:val="18"/>
              </w:rPr>
              <w:t>Herramientas de apropiación y analítica pública </w:t>
            </w:r>
          </w:p>
        </w:tc>
      </w:tr>
      <w:tr w:rsidRPr="00AD2BDA" w:rsidR="00AD2BDA" w:rsidTr="00AD2BDA" w14:paraId="755A716D" w14:textId="77777777">
        <w:trPr>
          <w:trHeight w:val="15"/>
        </w:trPr>
        <w:tc>
          <w:tcPr>
            <w:tcW w:w="4380" w:type="dxa"/>
            <w:vAlign w:val="center"/>
            <w:hideMark/>
          </w:tcPr>
          <w:p w:rsidRPr="00AD2BDA" w:rsidR="00AD2BDA" w:rsidP="00AD2BDA" w:rsidRDefault="00AD2BDA" w14:paraId="65DA4222" w14:textId="77777777">
            <w:pPr>
              <w:spacing w:after="0" w:line="240" w:lineRule="auto"/>
              <w:jc w:val="both"/>
              <w:rPr>
                <w:rFonts w:ascii="Verdana" w:hAnsi="Verdana"/>
                <w:sz w:val="18"/>
                <w:szCs w:val="18"/>
              </w:rPr>
            </w:pPr>
            <w:r w:rsidRPr="00AD2BDA">
              <w:rPr>
                <w:rFonts w:ascii="Verdana" w:hAnsi="Verdana"/>
                <w:sz w:val="18"/>
                <w:szCs w:val="18"/>
              </w:rPr>
              <w:t>Analítica institucional </w:t>
            </w:r>
          </w:p>
        </w:tc>
        <w:tc>
          <w:tcPr>
            <w:tcW w:w="0" w:type="auto"/>
            <w:vMerge/>
            <w:vAlign w:val="center"/>
            <w:hideMark/>
          </w:tcPr>
          <w:p w:rsidRPr="00AD2BDA" w:rsidR="00AD2BDA" w:rsidP="00AD2BDA" w:rsidRDefault="00AD2BDA" w14:paraId="0127F7CF" w14:textId="77777777">
            <w:pPr>
              <w:spacing w:after="0" w:line="240" w:lineRule="auto"/>
              <w:jc w:val="both"/>
              <w:rPr>
                <w:rFonts w:ascii="Verdana" w:hAnsi="Verdana"/>
                <w:sz w:val="18"/>
                <w:szCs w:val="18"/>
              </w:rPr>
            </w:pPr>
          </w:p>
        </w:tc>
      </w:tr>
      <w:tr w:rsidRPr="00AD2BDA" w:rsidR="00AD2BDA" w:rsidTr="00AD2BDA" w14:paraId="5DB0EBFA" w14:textId="77777777">
        <w:trPr>
          <w:trHeight w:val="15"/>
        </w:trPr>
        <w:tc>
          <w:tcPr>
            <w:tcW w:w="4380" w:type="dxa"/>
            <w:vAlign w:val="center"/>
            <w:hideMark/>
          </w:tcPr>
          <w:p w:rsidRPr="00AD2BDA" w:rsidR="00AD2BDA" w:rsidP="00AD2BDA" w:rsidRDefault="00AD2BDA" w14:paraId="29BE4967" w14:textId="77777777">
            <w:pPr>
              <w:spacing w:after="0" w:line="240" w:lineRule="auto"/>
              <w:jc w:val="both"/>
              <w:rPr>
                <w:rFonts w:ascii="Verdana" w:hAnsi="Verdana"/>
                <w:sz w:val="18"/>
                <w:szCs w:val="18"/>
              </w:rPr>
            </w:pPr>
            <w:r w:rsidRPr="00AD2BDA">
              <w:rPr>
                <w:rFonts w:ascii="Verdana" w:hAnsi="Verdana"/>
                <w:sz w:val="18"/>
                <w:szCs w:val="18"/>
              </w:rPr>
              <w:t>Cultura de compartir y difundir </w:t>
            </w:r>
          </w:p>
        </w:tc>
        <w:tc>
          <w:tcPr>
            <w:tcW w:w="4380" w:type="dxa"/>
            <w:hideMark/>
          </w:tcPr>
          <w:p w:rsidRPr="00AD2BDA" w:rsidR="00AD2BDA" w:rsidP="00AD2BDA" w:rsidRDefault="00AD2BDA" w14:paraId="0412BB87" w14:textId="77777777">
            <w:pPr>
              <w:spacing w:after="0" w:line="240" w:lineRule="auto"/>
              <w:jc w:val="both"/>
              <w:rPr>
                <w:rFonts w:ascii="Verdana" w:hAnsi="Verdana"/>
                <w:sz w:val="18"/>
                <w:szCs w:val="18"/>
              </w:rPr>
            </w:pPr>
            <w:r w:rsidRPr="00AD2BDA">
              <w:rPr>
                <w:rFonts w:ascii="Verdana" w:hAnsi="Verdana"/>
                <w:sz w:val="18"/>
                <w:szCs w:val="18"/>
              </w:rPr>
              <w:t>Cultura de compartir, comunicar y transformar </w:t>
            </w:r>
          </w:p>
        </w:tc>
      </w:tr>
    </w:tbl>
    <w:p w:rsidRPr="00AD2BDA" w:rsidR="00AD2BDA" w:rsidP="00AD2BDA" w:rsidRDefault="00AD2BDA" w14:paraId="6759D007" w14:textId="43B7399D">
      <w:pPr>
        <w:spacing w:after="0" w:line="240" w:lineRule="auto"/>
        <w:jc w:val="center"/>
        <w:rPr>
          <w:rFonts w:ascii="Verdana" w:hAnsi="Verdana"/>
          <w:sz w:val="18"/>
          <w:szCs w:val="18"/>
        </w:rPr>
      </w:pPr>
      <w:r w:rsidRPr="00AD2BDA">
        <w:rPr>
          <w:rFonts w:ascii="Verdana" w:hAnsi="Verdana"/>
          <w:sz w:val="18"/>
          <w:szCs w:val="18"/>
        </w:rPr>
        <w:t>Fuente: Elaboración propia con base en los lineamientos de la Política de Gestión del Conocimiento y la Innovación – MIPG del Departamento Administrativo de la Función Pública.</w:t>
      </w:r>
    </w:p>
    <w:p w:rsidRPr="00AD2BDA" w:rsidR="00AD2BDA" w:rsidP="005358E1" w:rsidRDefault="00AD2BDA" w14:paraId="1481B3EE" w14:textId="77777777">
      <w:pPr>
        <w:spacing w:after="0" w:line="360" w:lineRule="auto"/>
        <w:jc w:val="both"/>
        <w:rPr>
          <w:rFonts w:ascii="Verdana" w:hAnsi="Verdana"/>
          <w:sz w:val="24"/>
          <w:szCs w:val="24"/>
        </w:rPr>
      </w:pPr>
    </w:p>
    <w:p w:rsidRPr="00AD2BDA" w:rsidR="00AD2BDA" w:rsidP="005358E1" w:rsidRDefault="00AD2BDA" w14:paraId="4897972A" w14:textId="77777777">
      <w:pPr>
        <w:spacing w:after="0" w:line="360" w:lineRule="auto"/>
        <w:jc w:val="both"/>
        <w:rPr>
          <w:rFonts w:ascii="Verdana" w:hAnsi="Verdana"/>
          <w:sz w:val="24"/>
          <w:szCs w:val="24"/>
        </w:rPr>
      </w:pPr>
      <w:r w:rsidRPr="00AD2BDA">
        <w:rPr>
          <w:rFonts w:ascii="Verdana" w:hAnsi="Verdana"/>
          <w:sz w:val="24"/>
          <w:szCs w:val="24"/>
        </w:rPr>
        <w:t>La estrategia institucional de Gestión del Conocimiento e Innovación evolucionó de un enfoque centrado en la generación y apropiación del conocimiento hacia un modelo orientado a la transformación cultural, el valor público y la innovación aplicada. </w:t>
      </w:r>
    </w:p>
    <w:p w:rsidRPr="00AD2BDA" w:rsidR="00AD2BDA" w:rsidP="005358E1" w:rsidRDefault="00AD2BDA" w14:paraId="7A8EFD9F" w14:textId="77777777">
      <w:pPr>
        <w:spacing w:after="0" w:line="360" w:lineRule="auto"/>
        <w:jc w:val="both"/>
        <w:rPr>
          <w:rFonts w:ascii="Verdana" w:hAnsi="Verdana"/>
          <w:sz w:val="24"/>
          <w:szCs w:val="24"/>
        </w:rPr>
      </w:pPr>
      <w:r w:rsidRPr="00AD2BDA">
        <w:rPr>
          <w:rFonts w:ascii="Verdana" w:hAnsi="Verdana"/>
          <w:sz w:val="24"/>
          <w:szCs w:val="24"/>
        </w:rPr>
        <w:t> </w:t>
      </w:r>
    </w:p>
    <w:p w:rsidRPr="00AD2BDA" w:rsidR="00AD2BDA" w:rsidP="005358E1" w:rsidRDefault="00AD2BDA" w14:paraId="5AA4B505" w14:textId="77777777">
      <w:pPr>
        <w:spacing w:after="0" w:line="360" w:lineRule="auto"/>
        <w:jc w:val="both"/>
        <w:rPr>
          <w:rFonts w:ascii="Verdana" w:hAnsi="Verdana"/>
          <w:sz w:val="24"/>
          <w:szCs w:val="24"/>
        </w:rPr>
      </w:pPr>
      <w:r w:rsidRPr="00AD2BDA">
        <w:rPr>
          <w:rFonts w:ascii="Verdana" w:hAnsi="Verdana"/>
          <w:sz w:val="24"/>
          <w:szCs w:val="24"/>
        </w:rPr>
        <w:t>Los ejes tradicionales permitieron orientar la consolidación de capacidades institucionales, herramientas metodológicas, espacios colaborativos y procesos de apropiación de la innovación y la gestión del conocimiento dentro de la entidad. En este marco, la estrategia institucional se trazó con el propósito de fortalecer una cultura organizacional orientada al aprendizaje continuo, la colaboración, la transferencia de conocimiento y la innovación pública, promoviendo la participación de servidores y colaboradores en la construcción de soluciones, herramientas y espacios de intercambio de saberes. A partir de esta base, el nuevo enfoque busca consolidar una visión más integral y transformadora de la gestión pública, orientada a la generación de valor público, el aprendizaje colectivo y la apropiación del conocimiento como herramienta para la transformación institucional y social. </w:t>
      </w:r>
    </w:p>
    <w:p w:rsidRPr="00AD2BDA" w:rsidR="00AD2BDA" w:rsidP="005358E1" w:rsidRDefault="00AD2BDA" w14:paraId="50826EB3" w14:textId="77777777">
      <w:pPr>
        <w:spacing w:after="0" w:line="360" w:lineRule="auto"/>
        <w:jc w:val="both"/>
        <w:rPr>
          <w:rFonts w:ascii="Verdana" w:hAnsi="Verdana"/>
          <w:b/>
          <w:bCs/>
          <w:sz w:val="24"/>
          <w:szCs w:val="24"/>
        </w:rPr>
      </w:pPr>
    </w:p>
    <w:p w:rsidR="00AD2BDA" w:rsidRDefault="00AD2BDA" w14:paraId="69BEBB37" w14:textId="08120773">
      <w:pPr>
        <w:pStyle w:val="Prrafodelista"/>
        <w:numPr>
          <w:ilvl w:val="1"/>
          <w:numId w:val="95"/>
        </w:numPr>
        <w:spacing w:after="0" w:line="360" w:lineRule="auto"/>
        <w:jc w:val="both"/>
        <w:outlineLvl w:val="1"/>
        <w:rPr>
          <w:rFonts w:ascii="Verdana" w:hAnsi="Verdana"/>
          <w:b/>
          <w:bCs/>
          <w:sz w:val="24"/>
          <w:szCs w:val="24"/>
        </w:rPr>
      </w:pPr>
      <w:bookmarkStart w:name="_Toc233996755" w:id="38"/>
      <w:r w:rsidRPr="00AD2BDA">
        <w:rPr>
          <w:rFonts w:ascii="Verdana" w:hAnsi="Verdana"/>
          <w:b/>
          <w:bCs/>
          <w:sz w:val="24"/>
          <w:szCs w:val="24"/>
        </w:rPr>
        <w:t>Buenas prácticas para la gestión del conocimiento y la innovación</w:t>
      </w:r>
      <w:bookmarkEnd w:id="38"/>
      <w:r w:rsidRPr="00AD2BDA">
        <w:rPr>
          <w:rFonts w:ascii="Verdana" w:hAnsi="Verdana"/>
          <w:b/>
          <w:bCs/>
          <w:sz w:val="24"/>
          <w:szCs w:val="24"/>
        </w:rPr>
        <w:t> </w:t>
      </w:r>
    </w:p>
    <w:p w:rsidRPr="00AD2BDA" w:rsidR="00AD2BDA" w:rsidP="005358E1" w:rsidRDefault="00AD2BDA" w14:paraId="10A0DE93" w14:textId="77777777">
      <w:pPr>
        <w:pStyle w:val="Prrafodelista"/>
        <w:spacing w:after="0" w:line="360" w:lineRule="auto"/>
        <w:jc w:val="both"/>
        <w:outlineLvl w:val="1"/>
        <w:rPr>
          <w:rFonts w:ascii="Verdana" w:hAnsi="Verdana"/>
          <w:b/>
          <w:bCs/>
          <w:sz w:val="24"/>
          <w:szCs w:val="24"/>
        </w:rPr>
      </w:pPr>
    </w:p>
    <w:p w:rsidRPr="00AD2BDA" w:rsidR="00AD2BDA" w:rsidP="005358E1" w:rsidRDefault="28F12D9C" w14:paraId="55212C6F" w14:textId="77777777">
      <w:pPr>
        <w:spacing w:after="0" w:line="360" w:lineRule="auto"/>
        <w:jc w:val="both"/>
      </w:pPr>
      <w:r w:rsidRPr="620A7E17">
        <w:rPr>
          <w:rFonts w:ascii="Verdana" w:hAnsi="Verdana"/>
          <w:sz w:val="24"/>
          <w:szCs w:val="24"/>
        </w:rPr>
        <w:t>Durante el cuatrienio 2022–2026, se consolidaron diferentes buenas prácticas orientadas al fortalecimiento de la Gestión del Conocimiento y la Innovación, enfocadas en la apropiación de herramientas, la generación de espacios colaborativos, el desarrollo de capacidades institucionales y la promoción de una cultura innovadora. </w:t>
      </w:r>
    </w:p>
    <w:p w:rsidR="620A7E17" w:rsidP="620A7E17" w:rsidRDefault="620A7E17" w14:paraId="6FC0184E" w14:textId="159E6653">
      <w:pPr>
        <w:spacing w:after="0" w:line="360" w:lineRule="auto"/>
        <w:jc w:val="both"/>
        <w:rPr>
          <w:rFonts w:ascii="Verdana" w:hAnsi="Verdana"/>
          <w:sz w:val="24"/>
          <w:szCs w:val="24"/>
        </w:rPr>
      </w:pPr>
    </w:p>
    <w:p w:rsidR="00AD2BDA" w:rsidP="005358E1" w:rsidRDefault="00AD2BDA" w14:paraId="74B28E0A" w14:textId="77777777">
      <w:pPr>
        <w:spacing w:after="0" w:line="360" w:lineRule="auto"/>
        <w:jc w:val="both"/>
        <w:rPr>
          <w:rFonts w:ascii="Verdana" w:hAnsi="Verdana"/>
          <w:sz w:val="24"/>
          <w:szCs w:val="24"/>
        </w:rPr>
      </w:pPr>
      <w:r w:rsidRPr="00AD2BDA">
        <w:rPr>
          <w:rFonts w:ascii="Verdana" w:hAnsi="Verdana"/>
          <w:sz w:val="24"/>
          <w:szCs w:val="24"/>
        </w:rPr>
        <w:t>Estas acciones evidencian la evolución progresiva de la estrategia institucional, pasando de una etapa inicial de estructuración metodológica y sensibilización, hacia procesos de implementación, articulación y sostenibilidad de iniciativas de innovación pública y transferencia de conocimiento. </w:t>
      </w:r>
    </w:p>
    <w:p w:rsidR="00AD2BDA" w:rsidP="005358E1" w:rsidRDefault="00AD2BDA" w14:paraId="15DE03E9" w14:textId="77777777">
      <w:pPr>
        <w:spacing w:after="0" w:line="360" w:lineRule="auto"/>
        <w:jc w:val="both"/>
        <w:rPr>
          <w:rFonts w:ascii="Verdana" w:hAnsi="Verdana"/>
          <w:sz w:val="24"/>
          <w:szCs w:val="24"/>
        </w:rPr>
      </w:pPr>
    </w:p>
    <w:p w:rsidRPr="003A4993" w:rsidR="00AD2BDA" w:rsidRDefault="00AD2BDA" w14:paraId="3CD80FE9" w14:textId="2AC2DAA1">
      <w:pPr>
        <w:pStyle w:val="Prrafodelista"/>
        <w:numPr>
          <w:ilvl w:val="2"/>
          <w:numId w:val="95"/>
        </w:numPr>
        <w:spacing w:after="0" w:line="360" w:lineRule="auto"/>
        <w:jc w:val="both"/>
        <w:rPr>
          <w:rFonts w:ascii="Verdana" w:hAnsi="Verdana"/>
          <w:b/>
          <w:bCs/>
          <w:sz w:val="24"/>
          <w:szCs w:val="24"/>
        </w:rPr>
      </w:pPr>
      <w:r w:rsidRPr="003A4993">
        <w:rPr>
          <w:rFonts w:ascii="Verdana" w:hAnsi="Verdana"/>
          <w:b/>
          <w:bCs/>
          <w:sz w:val="24"/>
          <w:szCs w:val="24"/>
        </w:rPr>
        <w:t>Fortalecimiento de las bases institucionales para la Gestión del Conocimiento y la Innovación  </w:t>
      </w:r>
    </w:p>
    <w:p w:rsidRPr="00AD2BDA" w:rsidR="00AD2BDA" w:rsidP="005358E1" w:rsidRDefault="00AD2BDA" w14:paraId="47E72E44" w14:textId="77777777">
      <w:pPr>
        <w:spacing w:after="0" w:line="360" w:lineRule="auto"/>
        <w:jc w:val="both"/>
        <w:rPr>
          <w:rFonts w:ascii="Verdana" w:hAnsi="Verdana"/>
          <w:sz w:val="24"/>
          <w:szCs w:val="24"/>
        </w:rPr>
      </w:pPr>
      <w:r w:rsidRPr="00AD2BDA">
        <w:rPr>
          <w:rFonts w:ascii="Verdana" w:hAnsi="Verdana"/>
          <w:sz w:val="24"/>
          <w:szCs w:val="24"/>
        </w:rPr>
        <w:t> </w:t>
      </w:r>
    </w:p>
    <w:p w:rsidR="00AD2BDA" w:rsidP="005358E1" w:rsidRDefault="00AD2BDA" w14:paraId="0AE6D1A1" w14:textId="77777777">
      <w:pPr>
        <w:spacing w:after="0" w:line="360" w:lineRule="auto"/>
        <w:jc w:val="both"/>
        <w:rPr>
          <w:rFonts w:ascii="Verdana" w:hAnsi="Verdana"/>
          <w:sz w:val="24"/>
          <w:szCs w:val="24"/>
        </w:rPr>
      </w:pPr>
      <w:r w:rsidRPr="00AD2BDA">
        <w:rPr>
          <w:rFonts w:ascii="Verdana" w:hAnsi="Verdana"/>
          <w:sz w:val="24"/>
          <w:szCs w:val="24"/>
        </w:rPr>
        <w:t>Durante la vigencia 2022, el Ministerio de Minas y Energía avanzó en la consolidación de las bases institucionales para la implementación de la Política. La estrategia estuvo orientada a promover una cultura organizacional basada en la colaboración, la experimentación, el aprendizaje colectivo y la generación de soluciones innovadoras para fortalecer la gestión institucional. </w:t>
      </w:r>
    </w:p>
    <w:p w:rsidRPr="00AD2BDA" w:rsidR="003A4993" w:rsidP="005358E1" w:rsidRDefault="003A4993" w14:paraId="56388F4A" w14:textId="77777777">
      <w:pPr>
        <w:spacing w:after="0" w:line="360" w:lineRule="auto"/>
        <w:jc w:val="both"/>
        <w:rPr>
          <w:rFonts w:ascii="Verdana" w:hAnsi="Verdana"/>
          <w:sz w:val="24"/>
          <w:szCs w:val="24"/>
        </w:rPr>
      </w:pPr>
    </w:p>
    <w:p w:rsidRPr="003A4993" w:rsidR="00AD2BDA" w:rsidRDefault="00AD2BDA" w14:paraId="5404C8AE" w14:textId="46BE9559">
      <w:pPr>
        <w:pStyle w:val="Prrafodelista"/>
        <w:numPr>
          <w:ilvl w:val="3"/>
          <w:numId w:val="95"/>
        </w:numPr>
        <w:spacing w:after="0" w:line="360" w:lineRule="auto"/>
        <w:jc w:val="both"/>
        <w:rPr>
          <w:rFonts w:ascii="Verdana" w:hAnsi="Verdana"/>
          <w:b/>
          <w:bCs/>
          <w:i/>
          <w:iCs/>
          <w:sz w:val="24"/>
          <w:szCs w:val="24"/>
        </w:rPr>
      </w:pPr>
      <w:r w:rsidRPr="003A4993">
        <w:rPr>
          <w:rFonts w:ascii="Verdana" w:hAnsi="Verdana"/>
          <w:b/>
          <w:bCs/>
          <w:i/>
          <w:iCs/>
          <w:sz w:val="24"/>
          <w:szCs w:val="24"/>
        </w:rPr>
        <w:t>Eje de Generación y Producción del Conocimiento </w:t>
      </w:r>
    </w:p>
    <w:p w:rsidRPr="00AD2BDA" w:rsidR="00AD2BDA" w:rsidP="005358E1" w:rsidRDefault="00AD2BDA" w14:paraId="5693A815" w14:textId="77777777">
      <w:pPr>
        <w:spacing w:after="0" w:line="360" w:lineRule="auto"/>
        <w:jc w:val="both"/>
        <w:rPr>
          <w:rFonts w:ascii="Verdana" w:hAnsi="Verdana"/>
          <w:sz w:val="24"/>
          <w:szCs w:val="24"/>
        </w:rPr>
      </w:pPr>
      <w:r w:rsidRPr="00AD2BDA">
        <w:rPr>
          <w:rFonts w:ascii="Verdana" w:hAnsi="Verdana"/>
          <w:sz w:val="24"/>
          <w:szCs w:val="24"/>
        </w:rPr>
        <w:t> </w:t>
      </w:r>
    </w:p>
    <w:p w:rsidRPr="00AD2BDA" w:rsidR="00AD2BDA" w:rsidP="005358E1" w:rsidRDefault="00AD2BDA" w14:paraId="79A4048B" w14:textId="77777777">
      <w:pPr>
        <w:spacing w:after="0" w:line="360" w:lineRule="auto"/>
        <w:jc w:val="both"/>
        <w:rPr>
          <w:rFonts w:ascii="Verdana" w:hAnsi="Verdana"/>
          <w:sz w:val="24"/>
          <w:szCs w:val="24"/>
        </w:rPr>
      </w:pPr>
      <w:r w:rsidRPr="00AD2BDA">
        <w:rPr>
          <w:rFonts w:ascii="Verdana" w:hAnsi="Verdana"/>
          <w:sz w:val="24"/>
          <w:szCs w:val="24"/>
        </w:rPr>
        <w:t>En el marco de este eje, se diseñaron espacios de participación, ideación y construcción colectiva, que permitieron involucrar activamente a servidores, colaboradores y directivos en los procesos de Gestión del Conocimiento y la Innovación. </w:t>
      </w:r>
    </w:p>
    <w:p w:rsidRPr="00AD2BDA" w:rsidR="00AD2BDA" w:rsidP="005358E1" w:rsidRDefault="00AD2BDA" w14:paraId="244F3D50" w14:textId="77777777">
      <w:pPr>
        <w:spacing w:after="0" w:line="360" w:lineRule="auto"/>
        <w:jc w:val="both"/>
        <w:rPr>
          <w:rFonts w:ascii="Verdana" w:hAnsi="Verdana"/>
          <w:sz w:val="24"/>
          <w:szCs w:val="24"/>
        </w:rPr>
      </w:pPr>
      <w:r w:rsidRPr="00AD2BDA">
        <w:rPr>
          <w:rFonts w:ascii="Verdana" w:hAnsi="Verdana"/>
          <w:sz w:val="24"/>
          <w:szCs w:val="24"/>
        </w:rPr>
        <w:t> </w:t>
      </w:r>
    </w:p>
    <w:p w:rsidRPr="00AD2BDA" w:rsidR="00AD2BDA" w:rsidP="620A7E17" w:rsidRDefault="28F12D9C" w14:paraId="45054A2B" w14:textId="41F541D3">
      <w:pPr>
        <w:spacing w:after="0" w:line="360" w:lineRule="auto"/>
        <w:jc w:val="both"/>
        <w:rPr>
          <w:rFonts w:ascii="Verdana" w:hAnsi="Verdana"/>
          <w:sz w:val="24"/>
          <w:szCs w:val="24"/>
        </w:rPr>
      </w:pPr>
      <w:r w:rsidRPr="620A7E17">
        <w:rPr>
          <w:rFonts w:ascii="Verdana" w:hAnsi="Verdana"/>
          <w:b/>
          <w:bCs/>
          <w:sz w:val="24"/>
          <w:szCs w:val="24"/>
        </w:rPr>
        <w:t>Conformación del equipo transversal de Gestión del Conocimiento e Innovación</w:t>
      </w:r>
      <w:r w:rsidRPr="620A7E17" w:rsidR="7353BDA6">
        <w:rPr>
          <w:rFonts w:ascii="Verdana" w:hAnsi="Verdana"/>
          <w:b/>
          <w:bCs/>
          <w:sz w:val="24"/>
          <w:szCs w:val="24"/>
        </w:rPr>
        <w:t>:</w:t>
      </w:r>
      <w:r w:rsidRPr="620A7E17" w:rsidR="7353BDA6">
        <w:rPr>
          <w:rFonts w:ascii="Verdana" w:hAnsi="Verdana"/>
          <w:sz w:val="24"/>
          <w:szCs w:val="24"/>
        </w:rPr>
        <w:t xml:space="preserve"> c</w:t>
      </w:r>
      <w:r w:rsidRPr="620A7E17">
        <w:rPr>
          <w:rFonts w:ascii="Verdana" w:hAnsi="Verdana"/>
          <w:sz w:val="24"/>
          <w:szCs w:val="24"/>
        </w:rPr>
        <w:t>omo parte del fortalecimiento institucional, se conformó un equipo base transversal encargado de liderar y dinamizar las acciones relacionadas con Gestión del Conocimiento e Innovación al interior de la entidad. Este equipo adelantó ejercicios de construcción colectiva enfocados en la definición de visión estratégica, manifiesto institucional, intercambio de experiencias y apropiación conceptual de la innovación pública, generando capacidades iniciales para estructurar futuros proyectos e iniciativas. </w:t>
      </w:r>
    </w:p>
    <w:p w:rsidRPr="00AD2BDA" w:rsidR="00AD2BDA" w:rsidP="005358E1" w:rsidRDefault="00AD2BDA" w14:paraId="76FB1DF2" w14:textId="77777777">
      <w:pPr>
        <w:spacing w:after="0" w:line="360" w:lineRule="auto"/>
        <w:jc w:val="both"/>
        <w:rPr>
          <w:rFonts w:ascii="Verdana" w:hAnsi="Verdana"/>
          <w:sz w:val="24"/>
          <w:szCs w:val="24"/>
        </w:rPr>
      </w:pPr>
      <w:r w:rsidRPr="00AD2BDA">
        <w:rPr>
          <w:rFonts w:ascii="Verdana" w:hAnsi="Verdana"/>
          <w:sz w:val="24"/>
          <w:szCs w:val="24"/>
        </w:rPr>
        <w:t> </w:t>
      </w:r>
    </w:p>
    <w:p w:rsidRPr="003A4993" w:rsidR="00AD2BDA" w:rsidP="005358E1" w:rsidRDefault="00AD2BDA" w14:paraId="1AB8D450" w14:textId="430E4A3C">
      <w:pPr>
        <w:spacing w:after="0" w:line="360" w:lineRule="auto"/>
        <w:jc w:val="both"/>
        <w:rPr>
          <w:rFonts w:ascii="Verdana" w:hAnsi="Verdana"/>
          <w:sz w:val="18"/>
          <w:szCs w:val="18"/>
        </w:rPr>
      </w:pPr>
      <w:r w:rsidRPr="003A4993">
        <w:rPr>
          <w:rFonts w:ascii="Verdana" w:hAnsi="Verdana"/>
          <w:sz w:val="18"/>
          <w:szCs w:val="18"/>
        </w:rPr>
        <w:t xml:space="preserve">Anexo </w:t>
      </w:r>
      <w:r w:rsidRPr="003A4993" w:rsidR="003A4993">
        <w:rPr>
          <w:rFonts w:ascii="Verdana" w:hAnsi="Verdana"/>
          <w:sz w:val="18"/>
          <w:szCs w:val="18"/>
        </w:rPr>
        <w:t>No. 1.</w:t>
      </w:r>
      <w:r w:rsidRPr="003A4993">
        <w:rPr>
          <w:rFonts w:ascii="Verdana" w:hAnsi="Verdana"/>
          <w:sz w:val="18"/>
          <w:szCs w:val="18"/>
        </w:rPr>
        <w:t xml:space="preserve"> Conformación del equipo transversal de Gestión del Conocimiento e Innovación – Vigencia 2022. Fuente: Subdirección de Talento Humano – Gestión del Conocimiento e Innovación. Fecha de corte: Diciembre de 2022. </w:t>
      </w:r>
    </w:p>
    <w:p w:rsidRPr="00AD2BDA" w:rsidR="00AD2BDA" w:rsidP="005358E1" w:rsidRDefault="00AD2BDA" w14:paraId="3FB5BD3B" w14:textId="77777777">
      <w:pPr>
        <w:spacing w:after="0" w:line="360" w:lineRule="auto"/>
        <w:jc w:val="both"/>
        <w:rPr>
          <w:rFonts w:ascii="Verdana" w:hAnsi="Verdana"/>
          <w:sz w:val="24"/>
          <w:szCs w:val="24"/>
        </w:rPr>
      </w:pPr>
      <w:r w:rsidRPr="00AD2BDA">
        <w:rPr>
          <w:rFonts w:ascii="Verdana" w:hAnsi="Verdana"/>
          <w:sz w:val="24"/>
          <w:szCs w:val="24"/>
        </w:rPr>
        <w:t> </w:t>
      </w:r>
    </w:p>
    <w:p w:rsidRPr="00AD2BDA" w:rsidR="00AD2BDA" w:rsidP="620A7E17" w:rsidRDefault="28F12D9C" w14:paraId="4E17E9D1" w14:textId="376963A5">
      <w:pPr>
        <w:spacing w:after="0" w:line="360" w:lineRule="auto"/>
        <w:jc w:val="both"/>
        <w:rPr>
          <w:rFonts w:ascii="Verdana" w:hAnsi="Verdana"/>
          <w:sz w:val="24"/>
          <w:szCs w:val="24"/>
        </w:rPr>
      </w:pPr>
      <w:r w:rsidRPr="620A7E17">
        <w:rPr>
          <w:rFonts w:ascii="Verdana" w:hAnsi="Verdana"/>
          <w:b/>
          <w:bCs/>
          <w:sz w:val="24"/>
          <w:szCs w:val="24"/>
        </w:rPr>
        <w:t>Participación en el Comité Nacional de Innovación Pública (CNIP)</w:t>
      </w:r>
      <w:r w:rsidRPr="620A7E17" w:rsidR="721B2EDD">
        <w:rPr>
          <w:rFonts w:ascii="Verdana" w:hAnsi="Verdana"/>
          <w:b/>
          <w:bCs/>
          <w:sz w:val="24"/>
          <w:szCs w:val="24"/>
        </w:rPr>
        <w:t>:</w:t>
      </w:r>
      <w:r w:rsidRPr="620A7E17" w:rsidR="721B2EDD">
        <w:rPr>
          <w:rFonts w:ascii="Verdana" w:hAnsi="Verdana"/>
          <w:sz w:val="24"/>
          <w:szCs w:val="24"/>
        </w:rPr>
        <w:t xml:space="preserve"> e</w:t>
      </w:r>
      <w:r w:rsidRPr="620A7E17">
        <w:rPr>
          <w:rFonts w:ascii="Verdana" w:hAnsi="Verdana"/>
          <w:sz w:val="24"/>
          <w:szCs w:val="24"/>
        </w:rPr>
        <w:t>l Ministerio se vinculó al Comité Nacional de Innovación Pública (CNIP), liderado por el Departamento Nacional de Planeación, consolidando su participación en el ecosistema nacional de innovación pública. La participación en este espacio permitió fortalecer el intercambio de buenas prácticas, aprendizajes y metodologías entre entidades públicas, así como identificar oportunidades de articulación interinstitucional para abordar retos comunes relacionados con innovación, gestión del conocimiento y transformación institucional. Asimismo, este escenario contribuyó al fortalecimiento técnico de las capacidades institucionales del Ministerio en materia de innovación pública. </w:t>
      </w:r>
    </w:p>
    <w:p w:rsidRPr="00AD2BDA" w:rsidR="00AD2BDA" w:rsidP="005358E1" w:rsidRDefault="00AD2BDA" w14:paraId="574BC1E9" w14:textId="1642B9CA">
      <w:pPr>
        <w:spacing w:after="0" w:line="360" w:lineRule="auto"/>
        <w:jc w:val="both"/>
        <w:rPr>
          <w:rFonts w:ascii="Verdana" w:hAnsi="Verdana"/>
          <w:sz w:val="24"/>
          <w:szCs w:val="24"/>
        </w:rPr>
      </w:pPr>
      <w:r w:rsidRPr="00AD2BDA">
        <w:rPr>
          <w:rFonts w:ascii="Verdana" w:hAnsi="Verdana"/>
          <w:sz w:val="24"/>
          <w:szCs w:val="24"/>
        </w:rPr>
        <w:t>  </w:t>
      </w:r>
    </w:p>
    <w:p w:rsidR="003A4993" w:rsidP="620A7E17" w:rsidRDefault="28F12D9C" w14:paraId="2B076C60" w14:textId="62C12D05">
      <w:pPr>
        <w:spacing w:after="0" w:line="360" w:lineRule="auto"/>
        <w:jc w:val="both"/>
        <w:rPr>
          <w:rFonts w:ascii="Verdana" w:hAnsi="Verdana"/>
          <w:sz w:val="24"/>
          <w:szCs w:val="24"/>
        </w:rPr>
      </w:pPr>
      <w:r w:rsidRPr="620A7E17">
        <w:rPr>
          <w:rFonts w:ascii="Verdana" w:hAnsi="Verdana"/>
          <w:b/>
          <w:bCs/>
          <w:sz w:val="24"/>
          <w:szCs w:val="24"/>
        </w:rPr>
        <w:t>Estructuración inicial de Comunidades de Práctica y Red de Conocimiento</w:t>
      </w:r>
      <w:r w:rsidRPr="620A7E17" w:rsidR="2E921DB8">
        <w:rPr>
          <w:rFonts w:ascii="Verdana" w:hAnsi="Verdana"/>
          <w:b/>
          <w:bCs/>
          <w:sz w:val="24"/>
          <w:szCs w:val="24"/>
        </w:rPr>
        <w:t>:</w:t>
      </w:r>
      <w:r w:rsidRPr="620A7E17" w:rsidR="2E921DB8">
        <w:rPr>
          <w:rFonts w:ascii="Verdana" w:hAnsi="Verdana"/>
          <w:sz w:val="24"/>
          <w:szCs w:val="24"/>
        </w:rPr>
        <w:t xml:space="preserve"> e</w:t>
      </w:r>
      <w:r w:rsidRPr="620A7E17">
        <w:rPr>
          <w:rFonts w:ascii="Verdana" w:hAnsi="Verdana"/>
          <w:sz w:val="24"/>
          <w:szCs w:val="24"/>
        </w:rPr>
        <w:t xml:space="preserve">n el marco del fortalecimiento de los procesos de investigación y transferencia de conocimiento, se adelantó la estructuración conceptual e inicial de las Comunidades de Práctica y de la </w:t>
      </w:r>
      <w:r w:rsidRPr="620A7E17">
        <w:rPr>
          <w:rFonts w:ascii="Verdana" w:hAnsi="Verdana"/>
          <w:sz w:val="24"/>
          <w:szCs w:val="24"/>
        </w:rPr>
        <w:t>Red de Conocimiento del Ministerio. Estas iniciativas fueron concebidas como mecanismos orientados a descentralizar el conocimiento institucional, promover el intercambio de experiencias entre áreas y fortalecer el aprendizaje colaborativo entre servidores y colaboradores. Las Comunidades de Práctica se proyectaron como espacios permanentes para compartir conocimientos especializados, identificar soluciones a problemáticas comunes y fomentar el desarrollo continuo de capacidades institucionales. </w:t>
      </w:r>
    </w:p>
    <w:p w:rsidRPr="00AD2BDA" w:rsidR="005358E1" w:rsidP="005358E1" w:rsidRDefault="005358E1" w14:paraId="329A0036" w14:textId="77777777">
      <w:pPr>
        <w:spacing w:after="0" w:line="360" w:lineRule="auto"/>
        <w:jc w:val="both"/>
        <w:rPr>
          <w:rFonts w:ascii="Verdana" w:hAnsi="Verdana"/>
          <w:sz w:val="24"/>
          <w:szCs w:val="24"/>
        </w:rPr>
      </w:pPr>
    </w:p>
    <w:p w:rsidRPr="003A4993" w:rsidR="00AD2BDA" w:rsidP="003A4993" w:rsidRDefault="003A4993" w14:paraId="50101335" w14:textId="580DE6CD">
      <w:pPr>
        <w:spacing w:after="0" w:line="240" w:lineRule="auto"/>
        <w:jc w:val="center"/>
        <w:rPr>
          <w:rFonts w:ascii="Verdana" w:hAnsi="Verdana"/>
          <w:sz w:val="18"/>
          <w:szCs w:val="18"/>
        </w:rPr>
      </w:pPr>
      <w:r w:rsidRPr="001A0226">
        <w:rPr>
          <w:rFonts w:ascii="Verdana" w:hAnsi="Verdana"/>
          <w:sz w:val="18"/>
          <w:szCs w:val="18"/>
        </w:rPr>
        <w:t xml:space="preserve">Imagen No. </w:t>
      </w:r>
      <w:r w:rsidRPr="001A0226" w:rsidR="001A0226">
        <w:rPr>
          <w:rFonts w:ascii="Verdana" w:hAnsi="Verdana"/>
          <w:sz w:val="18"/>
          <w:szCs w:val="18"/>
        </w:rPr>
        <w:t>12</w:t>
      </w:r>
      <w:r w:rsidRPr="001A0226">
        <w:rPr>
          <w:rFonts w:ascii="Verdana" w:hAnsi="Verdana"/>
          <w:sz w:val="18"/>
          <w:szCs w:val="18"/>
        </w:rPr>
        <w:t>. Comunidades prácticas</w:t>
      </w:r>
    </w:p>
    <w:p w:rsidRPr="003A4993" w:rsidR="00AD2BDA" w:rsidP="003A4993" w:rsidRDefault="00AD2BDA" w14:paraId="13BDAA27" w14:textId="5198D33F">
      <w:pPr>
        <w:spacing w:after="0" w:line="240" w:lineRule="auto"/>
        <w:jc w:val="both"/>
        <w:rPr>
          <w:rFonts w:ascii="Verdana" w:hAnsi="Verdana"/>
          <w:sz w:val="18"/>
          <w:szCs w:val="18"/>
        </w:rPr>
      </w:pPr>
      <w:r w:rsidRPr="003A4993">
        <w:rPr>
          <w:rFonts w:ascii="Verdana" w:hAnsi="Verdana"/>
          <w:noProof/>
          <w:sz w:val="18"/>
          <w:szCs w:val="18"/>
        </w:rPr>
        <w:drawing>
          <wp:inline distT="0" distB="0" distL="0" distR="0" wp14:anchorId="47D0EA08" wp14:editId="223E7846">
            <wp:extent cx="2286000" cy="2228850"/>
            <wp:effectExtent l="0" t="0" r="0" b="0"/>
            <wp:docPr id="792579199"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86000" cy="2228850"/>
                    </a:xfrm>
                    <a:prstGeom prst="rect">
                      <a:avLst/>
                    </a:prstGeom>
                    <a:noFill/>
                    <a:ln>
                      <a:noFill/>
                    </a:ln>
                  </pic:spPr>
                </pic:pic>
              </a:graphicData>
            </a:graphic>
          </wp:inline>
        </w:drawing>
      </w:r>
      <w:r w:rsidRPr="003A4993">
        <w:rPr>
          <w:rFonts w:ascii="Verdana" w:hAnsi="Verdana"/>
          <w:sz w:val="18"/>
          <w:szCs w:val="18"/>
        </w:rPr>
        <w:t> </w:t>
      </w:r>
      <w:r w:rsidRPr="003A4993">
        <w:rPr>
          <w:rFonts w:ascii="Verdana" w:hAnsi="Verdana"/>
          <w:noProof/>
          <w:sz w:val="18"/>
          <w:szCs w:val="18"/>
        </w:rPr>
        <w:drawing>
          <wp:inline distT="0" distB="0" distL="0" distR="0" wp14:anchorId="34AF1C29" wp14:editId="6D7CDA61">
            <wp:extent cx="3105150" cy="2228850"/>
            <wp:effectExtent l="0" t="0" r="0" b="0"/>
            <wp:docPr id="845260928"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05150" cy="2228850"/>
                    </a:xfrm>
                    <a:prstGeom prst="rect">
                      <a:avLst/>
                    </a:prstGeom>
                    <a:noFill/>
                    <a:ln>
                      <a:noFill/>
                    </a:ln>
                  </pic:spPr>
                </pic:pic>
              </a:graphicData>
            </a:graphic>
          </wp:inline>
        </w:drawing>
      </w:r>
      <w:r w:rsidRPr="003A4993">
        <w:rPr>
          <w:rFonts w:ascii="Verdana" w:hAnsi="Verdana"/>
          <w:sz w:val="18"/>
          <w:szCs w:val="18"/>
        </w:rPr>
        <w:t> </w:t>
      </w:r>
    </w:p>
    <w:p w:rsidRPr="003A4993" w:rsidR="00AD2BDA" w:rsidP="003A4993" w:rsidRDefault="00AD2BDA" w14:paraId="6E356219" w14:textId="4023A972">
      <w:pPr>
        <w:spacing w:after="0" w:line="240" w:lineRule="auto"/>
        <w:jc w:val="center"/>
        <w:rPr>
          <w:rFonts w:ascii="Verdana" w:hAnsi="Verdana"/>
          <w:sz w:val="18"/>
          <w:szCs w:val="18"/>
        </w:rPr>
      </w:pPr>
      <w:r w:rsidRPr="003A4993">
        <w:rPr>
          <w:rFonts w:ascii="Verdana" w:hAnsi="Verdana"/>
          <w:sz w:val="18"/>
          <w:szCs w:val="18"/>
        </w:rPr>
        <w:t>Fuente: Convocatoria para las Comunidades de Práctica en el Ministerio de Minas y Energía.</w:t>
      </w:r>
    </w:p>
    <w:p w:rsidRPr="003A4993" w:rsidR="00AD2BDA" w:rsidP="005358E1" w:rsidRDefault="00AD2BDA" w14:paraId="1101414F" w14:textId="77777777">
      <w:pPr>
        <w:spacing w:after="0" w:line="360" w:lineRule="auto"/>
        <w:jc w:val="both"/>
        <w:rPr>
          <w:rFonts w:ascii="Verdana" w:hAnsi="Verdana"/>
          <w:sz w:val="18"/>
          <w:szCs w:val="18"/>
        </w:rPr>
      </w:pPr>
      <w:r w:rsidRPr="003A4993">
        <w:rPr>
          <w:rFonts w:ascii="Verdana" w:hAnsi="Verdana"/>
          <w:sz w:val="18"/>
          <w:szCs w:val="18"/>
        </w:rPr>
        <w:t> </w:t>
      </w:r>
    </w:p>
    <w:p w:rsidRPr="00AD2BDA" w:rsidR="00AD2BDA" w:rsidP="620A7E17" w:rsidRDefault="28F12D9C" w14:paraId="0B022B2F" w14:textId="59B3E496">
      <w:pPr>
        <w:spacing w:after="0" w:line="360" w:lineRule="auto"/>
        <w:jc w:val="both"/>
        <w:rPr>
          <w:rFonts w:ascii="Verdana" w:hAnsi="Verdana"/>
          <w:sz w:val="24"/>
          <w:szCs w:val="24"/>
        </w:rPr>
      </w:pPr>
      <w:r w:rsidRPr="620A7E17">
        <w:rPr>
          <w:rFonts w:ascii="Verdana" w:hAnsi="Verdana"/>
          <w:b/>
          <w:bCs/>
          <w:sz w:val="24"/>
          <w:szCs w:val="24"/>
        </w:rPr>
        <w:t>Desarrollo de iniciativas de innovación institucional</w:t>
      </w:r>
      <w:r w:rsidRPr="620A7E17" w:rsidR="31B4BFA7">
        <w:rPr>
          <w:rFonts w:ascii="Verdana" w:hAnsi="Verdana"/>
          <w:b/>
          <w:bCs/>
          <w:sz w:val="24"/>
          <w:szCs w:val="24"/>
        </w:rPr>
        <w:t xml:space="preserve">: </w:t>
      </w:r>
      <w:r w:rsidRPr="620A7E17" w:rsidR="31B4BFA7">
        <w:rPr>
          <w:rFonts w:ascii="Verdana" w:hAnsi="Verdana"/>
          <w:sz w:val="24"/>
          <w:szCs w:val="24"/>
        </w:rPr>
        <w:t>c</w:t>
      </w:r>
      <w:r w:rsidRPr="620A7E17">
        <w:rPr>
          <w:rFonts w:ascii="Verdana" w:hAnsi="Verdana"/>
          <w:sz w:val="24"/>
          <w:szCs w:val="24"/>
        </w:rPr>
        <w:t>omo resultado de los ejercicios de ideación y experimentación desarrollados durante la vigencia, se formularon y trabajaron cuatro iniciativas de innovación orientadas a resolver retos estratégicos identificados al interior de la entidad: </w:t>
      </w:r>
    </w:p>
    <w:p w:rsidRPr="00AD2BDA" w:rsidR="00AD2BDA" w:rsidP="005358E1" w:rsidRDefault="00AD2BDA" w14:paraId="6D3F6C29" w14:textId="77777777">
      <w:pPr>
        <w:spacing w:after="0" w:line="360" w:lineRule="auto"/>
        <w:jc w:val="both"/>
        <w:rPr>
          <w:rFonts w:ascii="Verdana" w:hAnsi="Verdana"/>
          <w:sz w:val="24"/>
          <w:szCs w:val="24"/>
        </w:rPr>
      </w:pPr>
      <w:r w:rsidRPr="00AD2BDA">
        <w:rPr>
          <w:rFonts w:ascii="Verdana" w:hAnsi="Verdana"/>
          <w:sz w:val="24"/>
          <w:szCs w:val="24"/>
        </w:rPr>
        <w:t> </w:t>
      </w:r>
    </w:p>
    <w:p w:rsidRPr="00AD2BDA" w:rsidR="00AD2BDA" w:rsidRDefault="00AD2BDA" w14:paraId="352542AD" w14:textId="77777777">
      <w:pPr>
        <w:numPr>
          <w:ilvl w:val="0"/>
          <w:numId w:val="100"/>
        </w:numPr>
        <w:spacing w:after="0" w:line="360" w:lineRule="auto"/>
        <w:jc w:val="both"/>
        <w:rPr>
          <w:rFonts w:ascii="Verdana" w:hAnsi="Verdana"/>
          <w:sz w:val="24"/>
          <w:szCs w:val="24"/>
        </w:rPr>
      </w:pPr>
      <w:r w:rsidRPr="00AD2BDA">
        <w:rPr>
          <w:rFonts w:ascii="Verdana" w:hAnsi="Verdana"/>
          <w:sz w:val="24"/>
          <w:szCs w:val="24"/>
        </w:rPr>
        <w:t>INTEGRAME: iniciativa orientada a acelerar la apropiación de la plataforma de interoperabilidad, integración y analítica avanzada de datos para fortalecer la toma de decisiones institucionales. </w:t>
      </w:r>
      <w:hyperlink w:tgtFrame="_blank" w:history="1" r:id="rId35">
        <w:r w:rsidRPr="00AD2BDA">
          <w:rPr>
            <w:rStyle w:val="Hipervnculo"/>
            <w:rFonts w:ascii="Verdana" w:hAnsi="Verdana"/>
            <w:sz w:val="24"/>
            <w:szCs w:val="24"/>
          </w:rPr>
          <w:t>https://www.integrame.gov.co/</w:t>
        </w:r>
      </w:hyperlink>
      <w:r w:rsidRPr="00AD2BDA">
        <w:rPr>
          <w:rFonts w:ascii="Verdana" w:hAnsi="Verdana"/>
          <w:sz w:val="24"/>
          <w:szCs w:val="24"/>
        </w:rPr>
        <w:t> </w:t>
      </w:r>
    </w:p>
    <w:p w:rsidRPr="00AD2BDA" w:rsidR="00AD2BDA" w:rsidRDefault="00AD2BDA" w14:paraId="717BC255" w14:textId="77777777">
      <w:pPr>
        <w:numPr>
          <w:ilvl w:val="0"/>
          <w:numId w:val="101"/>
        </w:numPr>
        <w:spacing w:after="0" w:line="360" w:lineRule="auto"/>
        <w:jc w:val="both"/>
        <w:rPr>
          <w:rFonts w:ascii="Verdana" w:hAnsi="Verdana"/>
          <w:sz w:val="24"/>
          <w:szCs w:val="24"/>
        </w:rPr>
      </w:pPr>
      <w:r w:rsidRPr="00AD2BDA">
        <w:rPr>
          <w:rFonts w:ascii="Verdana" w:hAnsi="Verdana"/>
          <w:sz w:val="24"/>
          <w:szCs w:val="24"/>
        </w:rPr>
        <w:t>Espacios Libres de Acoso: iniciativa enfocada en incentivar el conocimiento y cumplimiento de lineamientos asociados a la construcción de entornos laborales seguros para todos y todas. </w:t>
      </w:r>
      <w:hyperlink w:tgtFrame="_blank" w:history="1" r:id="rId36">
        <w:r w:rsidRPr="00AD2BDA">
          <w:rPr>
            <w:rStyle w:val="Hipervnculo"/>
            <w:rFonts w:ascii="Verdana" w:hAnsi="Verdana"/>
            <w:sz w:val="24"/>
            <w:szCs w:val="24"/>
          </w:rPr>
          <w:t>Vínculo Resultado Sección Página Web </w:t>
        </w:r>
      </w:hyperlink>
      <w:r w:rsidRPr="00AD2BDA">
        <w:rPr>
          <w:rFonts w:ascii="Verdana" w:hAnsi="Verdana"/>
          <w:sz w:val="24"/>
          <w:szCs w:val="24"/>
        </w:rPr>
        <w:t> </w:t>
      </w:r>
    </w:p>
    <w:p w:rsidRPr="00AD2BDA" w:rsidR="00AD2BDA" w:rsidRDefault="00AD2BDA" w14:paraId="33DB2EC4" w14:textId="77777777">
      <w:pPr>
        <w:numPr>
          <w:ilvl w:val="0"/>
          <w:numId w:val="102"/>
        </w:numPr>
        <w:spacing w:after="0" w:line="360" w:lineRule="auto"/>
        <w:jc w:val="both"/>
        <w:rPr>
          <w:rFonts w:ascii="Verdana" w:hAnsi="Verdana"/>
          <w:sz w:val="24"/>
          <w:szCs w:val="24"/>
        </w:rPr>
      </w:pPr>
      <w:r w:rsidRPr="00AD2BDA">
        <w:rPr>
          <w:rFonts w:ascii="Verdana" w:hAnsi="Verdana"/>
          <w:sz w:val="24"/>
          <w:szCs w:val="24"/>
        </w:rPr>
        <w:t>Nuevas Formas de Trabajo: iniciativa dirigida a promover esquemas de trabajo colaborativo y estrategias de balance entre vida laboral y personal para los colaboradores del Ministerio. </w:t>
      </w:r>
    </w:p>
    <w:p w:rsidRPr="00AD2BDA" w:rsidR="00AD2BDA" w:rsidRDefault="00AD2BDA" w14:paraId="7A9DE0A7" w14:textId="77777777">
      <w:pPr>
        <w:numPr>
          <w:ilvl w:val="0"/>
          <w:numId w:val="103"/>
        </w:numPr>
        <w:spacing w:after="0" w:line="360" w:lineRule="auto"/>
        <w:jc w:val="both"/>
        <w:rPr>
          <w:rFonts w:ascii="Verdana" w:hAnsi="Verdana"/>
          <w:sz w:val="24"/>
          <w:szCs w:val="24"/>
        </w:rPr>
      </w:pPr>
      <w:r w:rsidRPr="00AD2BDA">
        <w:rPr>
          <w:rFonts w:ascii="Verdana" w:hAnsi="Verdana"/>
          <w:sz w:val="24"/>
          <w:szCs w:val="24"/>
        </w:rPr>
        <w:t>Laboratorio Móvil de Servicios y Experiencias Minero-Energéticas: iniciativa orientada a acercar las necesidades y preocupaciones de los usuarios en territorio a los servidores de la entidad, fortaleciendo la comprensión de contextos y la generación de soluciones centradas en el ciudadano. Esta iniciativa se consolidó posteriormente en la vigencia 2023 bajo el nombre de Solaris, cuyo desarrollo e implementación se detallan más adelante en el presente informe. </w:t>
      </w:r>
    </w:p>
    <w:p w:rsidRPr="00AD2BDA" w:rsidR="00AD2BDA" w:rsidP="005358E1" w:rsidRDefault="00AD2BDA" w14:paraId="15C06380" w14:textId="77777777">
      <w:pPr>
        <w:spacing w:after="0" w:line="360" w:lineRule="auto"/>
        <w:jc w:val="both"/>
        <w:rPr>
          <w:rFonts w:ascii="Verdana" w:hAnsi="Verdana"/>
          <w:sz w:val="24"/>
          <w:szCs w:val="24"/>
        </w:rPr>
      </w:pPr>
      <w:r w:rsidRPr="00AD2BDA">
        <w:rPr>
          <w:rFonts w:ascii="Verdana" w:hAnsi="Verdana"/>
          <w:sz w:val="24"/>
          <w:szCs w:val="24"/>
        </w:rPr>
        <w:t> </w:t>
      </w:r>
    </w:p>
    <w:p w:rsidR="00AD2BDA" w:rsidP="005358E1" w:rsidRDefault="00AD2BDA" w14:paraId="10B5F0A8" w14:textId="77777777">
      <w:pPr>
        <w:spacing w:after="0" w:line="360" w:lineRule="auto"/>
        <w:jc w:val="both"/>
        <w:rPr>
          <w:rFonts w:ascii="Verdana" w:hAnsi="Verdana"/>
          <w:sz w:val="24"/>
          <w:szCs w:val="24"/>
        </w:rPr>
      </w:pPr>
      <w:r w:rsidRPr="00AD2BDA">
        <w:rPr>
          <w:rFonts w:ascii="Verdana" w:hAnsi="Verdana"/>
          <w:sz w:val="24"/>
          <w:szCs w:val="24"/>
        </w:rPr>
        <w:t>Estas iniciativas permitieron generar capacidades iniciales para la gestión de proyectos de innovación pública y sentaron las bases para la formalización del proceso de innovación institucional en vigencias posteriores. </w:t>
      </w:r>
    </w:p>
    <w:p w:rsidRPr="003A4993" w:rsidR="003A4993" w:rsidP="005358E1" w:rsidRDefault="003A4993" w14:paraId="184DDEC9" w14:textId="77777777">
      <w:pPr>
        <w:spacing w:after="0" w:line="360" w:lineRule="auto"/>
        <w:jc w:val="center"/>
        <w:rPr>
          <w:rFonts w:ascii="Verdana" w:hAnsi="Verdana"/>
          <w:sz w:val="18"/>
          <w:szCs w:val="18"/>
        </w:rPr>
      </w:pPr>
    </w:p>
    <w:p w:rsidRPr="003A4993" w:rsidR="003A4993" w:rsidP="003A4993" w:rsidRDefault="003A4993" w14:paraId="0A11443C" w14:textId="3A7F7745">
      <w:pPr>
        <w:spacing w:after="0" w:line="240" w:lineRule="auto"/>
        <w:jc w:val="center"/>
        <w:rPr>
          <w:rFonts w:ascii="Verdana" w:hAnsi="Verdana"/>
          <w:sz w:val="18"/>
          <w:szCs w:val="18"/>
        </w:rPr>
      </w:pPr>
      <w:r w:rsidRPr="003A4993">
        <w:rPr>
          <w:rFonts w:ascii="Verdana" w:hAnsi="Verdana"/>
          <w:sz w:val="18"/>
          <w:szCs w:val="18"/>
        </w:rPr>
        <w:t xml:space="preserve">Imagen No. </w:t>
      </w:r>
      <w:r w:rsidR="001A0226">
        <w:rPr>
          <w:rFonts w:ascii="Verdana" w:hAnsi="Verdana"/>
          <w:sz w:val="18"/>
          <w:szCs w:val="18"/>
        </w:rPr>
        <w:t>13</w:t>
      </w:r>
      <w:r w:rsidRPr="003A4993">
        <w:rPr>
          <w:rFonts w:ascii="Verdana" w:hAnsi="Verdana"/>
          <w:sz w:val="18"/>
          <w:szCs w:val="18"/>
        </w:rPr>
        <w:t>. Formalización Innovación institucional</w:t>
      </w:r>
    </w:p>
    <w:p w:rsidRPr="003A4993" w:rsidR="00AD2BDA" w:rsidP="003A4993" w:rsidRDefault="003A4993" w14:paraId="2EDE17A0" w14:textId="3BBA742A">
      <w:pPr>
        <w:spacing w:after="0" w:line="240" w:lineRule="auto"/>
        <w:jc w:val="center"/>
        <w:rPr>
          <w:rFonts w:ascii="Verdana" w:hAnsi="Verdana"/>
          <w:sz w:val="18"/>
          <w:szCs w:val="18"/>
        </w:rPr>
      </w:pPr>
      <w:r w:rsidRPr="003A4993">
        <w:rPr>
          <w:noProof/>
          <w:sz w:val="18"/>
          <w:szCs w:val="18"/>
        </w:rPr>
        <w:drawing>
          <wp:inline distT="0" distB="0" distL="0" distR="0" wp14:anchorId="746B3099" wp14:editId="094B86F6">
            <wp:extent cx="5038725" cy="1381125"/>
            <wp:effectExtent l="0" t="0" r="9525" b="9525"/>
            <wp:docPr id="62996490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38725" cy="1381125"/>
                    </a:xfrm>
                    <a:prstGeom prst="rect">
                      <a:avLst/>
                    </a:prstGeom>
                    <a:noFill/>
                    <a:ln>
                      <a:noFill/>
                    </a:ln>
                  </pic:spPr>
                </pic:pic>
              </a:graphicData>
            </a:graphic>
          </wp:inline>
        </w:drawing>
      </w:r>
    </w:p>
    <w:p w:rsidRPr="003A4993" w:rsidR="00AD2BDA" w:rsidP="003A4993" w:rsidRDefault="00AD2BDA" w14:paraId="5B7EC88E" w14:textId="5E029E7D">
      <w:pPr>
        <w:spacing w:after="0" w:line="240" w:lineRule="auto"/>
        <w:jc w:val="center"/>
        <w:rPr>
          <w:rFonts w:ascii="Verdana" w:hAnsi="Verdana"/>
          <w:sz w:val="18"/>
          <w:szCs w:val="18"/>
        </w:rPr>
      </w:pPr>
      <w:r w:rsidRPr="003A4993">
        <w:rPr>
          <w:rFonts w:ascii="Verdana" w:hAnsi="Verdana"/>
          <w:sz w:val="18"/>
          <w:szCs w:val="18"/>
        </w:rPr>
        <w:t>Fuente: Fotografías del Demo Day donde se presentaron las 4 iniciativas de Innovación 2022.</w:t>
      </w:r>
    </w:p>
    <w:p w:rsidR="00AD2BDA" w:rsidP="003A4993" w:rsidRDefault="00AD2BDA" w14:paraId="29E0E167" w14:textId="25871B05">
      <w:pPr>
        <w:spacing w:after="0" w:line="240" w:lineRule="auto"/>
        <w:jc w:val="center"/>
        <w:rPr>
          <w:rFonts w:ascii="Verdana" w:hAnsi="Verdana"/>
          <w:sz w:val="18"/>
          <w:szCs w:val="18"/>
        </w:rPr>
      </w:pPr>
    </w:p>
    <w:p w:rsidRPr="003A4993" w:rsidR="003A4993" w:rsidP="005358E1" w:rsidRDefault="003A4993" w14:paraId="64C3D2FC" w14:textId="77777777">
      <w:pPr>
        <w:spacing w:after="0" w:line="360" w:lineRule="auto"/>
        <w:jc w:val="center"/>
        <w:rPr>
          <w:rFonts w:ascii="Verdana" w:hAnsi="Verdana"/>
          <w:sz w:val="24"/>
          <w:szCs w:val="24"/>
        </w:rPr>
      </w:pPr>
    </w:p>
    <w:p w:rsidR="00AD2BDA" w:rsidP="620A7E17" w:rsidRDefault="28F12D9C" w14:paraId="0529939E" w14:textId="34D53E3D">
      <w:pPr>
        <w:spacing w:after="0" w:line="360" w:lineRule="auto"/>
        <w:jc w:val="both"/>
        <w:rPr>
          <w:rFonts w:ascii="Verdana" w:hAnsi="Verdana"/>
          <w:sz w:val="24"/>
          <w:szCs w:val="24"/>
        </w:rPr>
      </w:pPr>
      <w:r w:rsidRPr="620A7E17">
        <w:rPr>
          <w:rFonts w:ascii="Verdana" w:hAnsi="Verdana"/>
          <w:b/>
          <w:bCs/>
          <w:sz w:val="24"/>
          <w:szCs w:val="24"/>
        </w:rPr>
        <w:t>Talleres y espacios de apropiación</w:t>
      </w:r>
      <w:r w:rsidRPr="620A7E17" w:rsidR="2365DB34">
        <w:rPr>
          <w:rFonts w:ascii="Verdana" w:hAnsi="Verdana"/>
          <w:b/>
          <w:bCs/>
          <w:sz w:val="24"/>
          <w:szCs w:val="24"/>
        </w:rPr>
        <w:t>:</w:t>
      </w:r>
      <w:r w:rsidRPr="620A7E17" w:rsidR="2365DB34">
        <w:rPr>
          <w:rFonts w:ascii="Verdana" w:hAnsi="Verdana"/>
          <w:sz w:val="24"/>
          <w:szCs w:val="24"/>
        </w:rPr>
        <w:t xml:space="preserve"> d</w:t>
      </w:r>
      <w:r w:rsidRPr="620A7E17">
        <w:rPr>
          <w:rFonts w:ascii="Verdana" w:hAnsi="Verdana"/>
          <w:sz w:val="24"/>
          <w:szCs w:val="24"/>
        </w:rPr>
        <w:t>urante la vigencia se desarrollaron talleres y espacios de sensibilización orientados a fortalecer la apropiación conceptual y metodológica de la innovación y la gestión del conocimiento. Adicionalmente, se realizaron espacios tipo “cafés” y encuentros colaborativos para socializar avances, promover la participación y divulgar las acciones adelantadas en la entidad en esta materia. </w:t>
      </w:r>
    </w:p>
    <w:p w:rsidRPr="00AD2BDA" w:rsidR="005358E1" w:rsidP="005358E1" w:rsidRDefault="005358E1" w14:paraId="6620C25B" w14:textId="77777777">
      <w:pPr>
        <w:spacing w:after="0" w:line="360" w:lineRule="auto"/>
        <w:jc w:val="both"/>
        <w:rPr>
          <w:rFonts w:ascii="Verdana" w:hAnsi="Verdana"/>
          <w:sz w:val="24"/>
          <w:szCs w:val="24"/>
        </w:rPr>
      </w:pPr>
    </w:p>
    <w:p w:rsidR="620A7E17" w:rsidP="620A7E17" w:rsidRDefault="620A7E17" w14:paraId="07A999BF" w14:textId="1E5E4972">
      <w:pPr>
        <w:spacing w:after="0" w:line="360" w:lineRule="auto"/>
        <w:jc w:val="both"/>
        <w:rPr>
          <w:rFonts w:ascii="Verdana" w:hAnsi="Verdana"/>
          <w:sz w:val="24"/>
          <w:szCs w:val="24"/>
        </w:rPr>
      </w:pPr>
    </w:p>
    <w:p w:rsidR="620A7E17" w:rsidP="620A7E17" w:rsidRDefault="620A7E17" w14:paraId="176331DD" w14:textId="102F1988">
      <w:pPr>
        <w:spacing w:after="0" w:line="360" w:lineRule="auto"/>
        <w:jc w:val="both"/>
        <w:rPr>
          <w:rFonts w:ascii="Verdana" w:hAnsi="Verdana"/>
          <w:sz w:val="24"/>
          <w:szCs w:val="24"/>
        </w:rPr>
      </w:pPr>
    </w:p>
    <w:p w:rsidR="620A7E17" w:rsidP="620A7E17" w:rsidRDefault="620A7E17" w14:paraId="35492818" w14:textId="5089B396">
      <w:pPr>
        <w:spacing w:after="0" w:line="360" w:lineRule="auto"/>
        <w:jc w:val="both"/>
        <w:rPr>
          <w:rFonts w:ascii="Verdana" w:hAnsi="Verdana"/>
          <w:sz w:val="24"/>
          <w:szCs w:val="24"/>
        </w:rPr>
      </w:pPr>
    </w:p>
    <w:p w:rsidR="620A7E17" w:rsidP="620A7E17" w:rsidRDefault="620A7E17" w14:paraId="20F3419B" w14:textId="55E7D25C">
      <w:pPr>
        <w:spacing w:after="0" w:line="360" w:lineRule="auto"/>
        <w:jc w:val="both"/>
        <w:rPr>
          <w:rFonts w:ascii="Verdana" w:hAnsi="Verdana"/>
          <w:sz w:val="24"/>
          <w:szCs w:val="24"/>
        </w:rPr>
      </w:pPr>
    </w:p>
    <w:p w:rsidRPr="003A4993" w:rsidR="00AD2BDA" w:rsidP="003A4993" w:rsidRDefault="003A4993" w14:paraId="2710D1C4" w14:textId="07BE680A">
      <w:pPr>
        <w:spacing w:after="0" w:line="240" w:lineRule="auto"/>
        <w:jc w:val="center"/>
        <w:rPr>
          <w:rFonts w:ascii="Verdana" w:hAnsi="Verdana"/>
          <w:sz w:val="18"/>
          <w:szCs w:val="18"/>
        </w:rPr>
      </w:pPr>
      <w:r w:rsidRPr="003A4993">
        <w:rPr>
          <w:rFonts w:ascii="Verdana" w:hAnsi="Verdana"/>
          <w:sz w:val="18"/>
          <w:szCs w:val="18"/>
        </w:rPr>
        <w:t xml:space="preserve">Imagen No. </w:t>
      </w:r>
      <w:r w:rsidR="001A0226">
        <w:rPr>
          <w:rFonts w:ascii="Verdana" w:hAnsi="Verdana"/>
          <w:sz w:val="18"/>
          <w:szCs w:val="18"/>
        </w:rPr>
        <w:t>14</w:t>
      </w:r>
      <w:r>
        <w:rPr>
          <w:rFonts w:ascii="Verdana" w:hAnsi="Verdana"/>
          <w:sz w:val="18"/>
          <w:szCs w:val="18"/>
        </w:rPr>
        <w:t>. Encuentros colaborativos</w:t>
      </w:r>
      <w:r w:rsidRPr="003A4993">
        <w:rPr>
          <w:rFonts w:ascii="Verdana" w:hAnsi="Verdana"/>
          <w:sz w:val="18"/>
          <w:szCs w:val="18"/>
        </w:rPr>
        <w:t xml:space="preserve"> </w:t>
      </w:r>
    </w:p>
    <w:p w:rsidRPr="003A4993" w:rsidR="003A4993" w:rsidP="003A4993" w:rsidRDefault="003A4993" w14:paraId="05FFAC81" w14:textId="777FD263">
      <w:pPr>
        <w:spacing w:after="0" w:line="240" w:lineRule="auto"/>
        <w:jc w:val="center"/>
        <w:rPr>
          <w:rFonts w:ascii="Verdana" w:hAnsi="Verdana"/>
          <w:sz w:val="18"/>
          <w:szCs w:val="18"/>
        </w:rPr>
      </w:pPr>
      <w:r w:rsidRPr="003A4993">
        <w:rPr>
          <w:rFonts w:ascii="Verdana" w:hAnsi="Verdana"/>
          <w:noProof/>
          <w:sz w:val="18"/>
          <w:szCs w:val="18"/>
        </w:rPr>
        <w:drawing>
          <wp:inline distT="0" distB="0" distL="0" distR="0" wp14:anchorId="428BC2BE" wp14:editId="064175F4">
            <wp:extent cx="1704975" cy="1133475"/>
            <wp:effectExtent l="0" t="0" r="9525" b="9525"/>
            <wp:docPr id="1623574382"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704975" cy="1133475"/>
                    </a:xfrm>
                    <a:prstGeom prst="rect">
                      <a:avLst/>
                    </a:prstGeom>
                    <a:noFill/>
                    <a:ln>
                      <a:noFill/>
                    </a:ln>
                  </pic:spPr>
                </pic:pic>
              </a:graphicData>
            </a:graphic>
          </wp:inline>
        </w:drawing>
      </w:r>
      <w:r w:rsidRPr="003A4993">
        <w:rPr>
          <w:rFonts w:ascii="Verdana" w:hAnsi="Verdana"/>
          <w:noProof/>
          <w:sz w:val="18"/>
          <w:szCs w:val="18"/>
        </w:rPr>
        <w:drawing>
          <wp:inline distT="0" distB="0" distL="0" distR="0" wp14:anchorId="06BAD93B" wp14:editId="759F51AB">
            <wp:extent cx="1704975" cy="1133475"/>
            <wp:effectExtent l="0" t="0" r="9525" b="9525"/>
            <wp:docPr id="708188219"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704975" cy="1133475"/>
                    </a:xfrm>
                    <a:prstGeom prst="rect">
                      <a:avLst/>
                    </a:prstGeom>
                    <a:noFill/>
                    <a:ln>
                      <a:noFill/>
                    </a:ln>
                  </pic:spPr>
                </pic:pic>
              </a:graphicData>
            </a:graphic>
          </wp:inline>
        </w:drawing>
      </w:r>
      <w:r w:rsidRPr="003A4993">
        <w:rPr>
          <w:rFonts w:ascii="Verdana" w:hAnsi="Verdana"/>
          <w:noProof/>
          <w:sz w:val="18"/>
          <w:szCs w:val="18"/>
        </w:rPr>
        <w:drawing>
          <wp:inline distT="0" distB="0" distL="0" distR="0" wp14:anchorId="492C569E" wp14:editId="000C893B">
            <wp:extent cx="1714500" cy="1143000"/>
            <wp:effectExtent l="0" t="0" r="0" b="0"/>
            <wp:docPr id="542773230"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714500" cy="1143000"/>
                    </a:xfrm>
                    <a:prstGeom prst="rect">
                      <a:avLst/>
                    </a:prstGeom>
                    <a:noFill/>
                    <a:ln>
                      <a:noFill/>
                    </a:ln>
                  </pic:spPr>
                </pic:pic>
              </a:graphicData>
            </a:graphic>
          </wp:inline>
        </w:drawing>
      </w:r>
    </w:p>
    <w:p w:rsidRPr="003A4993" w:rsidR="00AD2BDA" w:rsidP="003A4993" w:rsidRDefault="00AD2BDA" w14:paraId="42007551" w14:textId="76A47491">
      <w:pPr>
        <w:spacing w:after="0" w:line="240" w:lineRule="auto"/>
        <w:jc w:val="center"/>
        <w:rPr>
          <w:rFonts w:ascii="Verdana" w:hAnsi="Verdana"/>
          <w:sz w:val="18"/>
          <w:szCs w:val="18"/>
        </w:rPr>
      </w:pPr>
      <w:r w:rsidRPr="003A4993">
        <w:rPr>
          <w:rFonts w:ascii="Verdana" w:hAnsi="Verdana"/>
          <w:sz w:val="18"/>
          <w:szCs w:val="18"/>
        </w:rPr>
        <w:t>Fuente: Fotografías tomadas de los talleres y espacios de apropiación.</w:t>
      </w:r>
    </w:p>
    <w:p w:rsidRPr="00AD2BDA" w:rsidR="00AD2BDA" w:rsidP="005358E1" w:rsidRDefault="00AD2BDA" w14:paraId="26A17DBE" w14:textId="77777777">
      <w:pPr>
        <w:spacing w:after="0" w:line="360" w:lineRule="auto"/>
        <w:jc w:val="both"/>
        <w:rPr>
          <w:rFonts w:ascii="Verdana" w:hAnsi="Verdana"/>
          <w:sz w:val="24"/>
          <w:szCs w:val="24"/>
        </w:rPr>
      </w:pPr>
      <w:r w:rsidRPr="00AD2BDA">
        <w:rPr>
          <w:rFonts w:ascii="Verdana" w:hAnsi="Verdana"/>
          <w:sz w:val="24"/>
          <w:szCs w:val="24"/>
        </w:rPr>
        <w:t> </w:t>
      </w:r>
    </w:p>
    <w:p w:rsidRPr="00AD2BDA" w:rsidR="00AD2BDA" w:rsidP="620A7E17" w:rsidRDefault="28F12D9C" w14:paraId="6CEFA182" w14:textId="06D16DD7">
      <w:pPr>
        <w:spacing w:after="0" w:line="360" w:lineRule="auto"/>
        <w:jc w:val="both"/>
        <w:rPr>
          <w:rFonts w:ascii="Verdana" w:hAnsi="Verdana"/>
          <w:sz w:val="24"/>
          <w:szCs w:val="24"/>
        </w:rPr>
      </w:pPr>
      <w:r w:rsidRPr="620A7E17">
        <w:rPr>
          <w:rFonts w:ascii="Verdana" w:hAnsi="Verdana"/>
          <w:b/>
          <w:bCs/>
          <w:sz w:val="24"/>
          <w:szCs w:val="24"/>
        </w:rPr>
        <w:t>Implementación de #LaMinaDelConocimiento</w:t>
      </w:r>
      <w:r w:rsidRPr="620A7E17" w:rsidR="34D8FF87">
        <w:rPr>
          <w:rFonts w:ascii="Verdana" w:hAnsi="Verdana"/>
          <w:b/>
          <w:bCs/>
          <w:sz w:val="24"/>
          <w:szCs w:val="24"/>
        </w:rPr>
        <w:t>:</w:t>
      </w:r>
      <w:r w:rsidRPr="620A7E17" w:rsidR="34D8FF87">
        <w:rPr>
          <w:rFonts w:ascii="Verdana" w:hAnsi="Verdana"/>
          <w:sz w:val="24"/>
          <w:szCs w:val="24"/>
        </w:rPr>
        <w:t xml:space="preserve"> e</w:t>
      </w:r>
      <w:r w:rsidRPr="620A7E17">
        <w:rPr>
          <w:rFonts w:ascii="Verdana" w:hAnsi="Verdana"/>
          <w:sz w:val="24"/>
          <w:szCs w:val="24"/>
        </w:rPr>
        <w:t>n articulación con la Universidad de la Nueva Energía (nombre en ese entonces), se diseñó e implementó la estrategia #LaMinaDelConocimiento, orientada a fortalecer la transferencia de conocimiento entre servidores y colaboradores de la entidad. La iniciativa promovió espacios de aprendizaje internos mediante capacitaciones, charlas y socializaciones lideradas por los mismos colaboradores del Ministerio, favoreciendo el reconocimiento del conocimiento técnico y experiencial existente al interior de la entidad. </w:t>
      </w:r>
    </w:p>
    <w:p w:rsidRPr="003A4993" w:rsidR="00AD2BDA" w:rsidP="005358E1" w:rsidRDefault="00AD2BDA" w14:paraId="4013DCA1" w14:textId="073D1E1C">
      <w:pPr>
        <w:spacing w:after="0" w:line="360" w:lineRule="auto"/>
        <w:jc w:val="center"/>
        <w:rPr>
          <w:rFonts w:ascii="Verdana" w:hAnsi="Verdana"/>
          <w:sz w:val="18"/>
          <w:szCs w:val="18"/>
        </w:rPr>
      </w:pPr>
    </w:p>
    <w:p w:rsidRPr="003A4993" w:rsidR="003A4993" w:rsidP="003A4993" w:rsidRDefault="003A4993" w14:paraId="0E31E17E" w14:textId="3B620A4D">
      <w:pPr>
        <w:spacing w:after="0" w:line="240" w:lineRule="auto"/>
        <w:jc w:val="center"/>
        <w:rPr>
          <w:rFonts w:ascii="Verdana" w:hAnsi="Verdana"/>
          <w:sz w:val="18"/>
          <w:szCs w:val="18"/>
        </w:rPr>
      </w:pPr>
      <w:r w:rsidRPr="003A4993">
        <w:rPr>
          <w:rFonts w:ascii="Verdana" w:hAnsi="Verdana"/>
          <w:sz w:val="18"/>
          <w:szCs w:val="18"/>
        </w:rPr>
        <w:t xml:space="preserve">Imagen No. </w:t>
      </w:r>
      <w:r w:rsidR="001A0226">
        <w:rPr>
          <w:rFonts w:ascii="Verdana" w:hAnsi="Verdana"/>
          <w:sz w:val="18"/>
          <w:szCs w:val="18"/>
        </w:rPr>
        <w:t>15.</w:t>
      </w:r>
      <w:r w:rsidRPr="003A4993">
        <w:rPr>
          <w:rFonts w:ascii="Verdana" w:hAnsi="Verdana"/>
          <w:sz w:val="18"/>
          <w:szCs w:val="18"/>
        </w:rPr>
        <w:t xml:space="preserve"> La mina de conocimi</w:t>
      </w:r>
      <w:r>
        <w:rPr>
          <w:rFonts w:ascii="Verdana" w:hAnsi="Verdana"/>
          <w:sz w:val="18"/>
          <w:szCs w:val="18"/>
        </w:rPr>
        <w:t>e</w:t>
      </w:r>
      <w:r w:rsidRPr="003A4993">
        <w:rPr>
          <w:rFonts w:ascii="Verdana" w:hAnsi="Verdana"/>
          <w:sz w:val="18"/>
          <w:szCs w:val="18"/>
        </w:rPr>
        <w:t>n</w:t>
      </w:r>
      <w:r>
        <w:rPr>
          <w:rFonts w:ascii="Verdana" w:hAnsi="Verdana"/>
          <w:sz w:val="18"/>
          <w:szCs w:val="18"/>
        </w:rPr>
        <w:t>t</w:t>
      </w:r>
      <w:r w:rsidRPr="003A4993">
        <w:rPr>
          <w:rFonts w:ascii="Verdana" w:hAnsi="Verdana"/>
          <w:sz w:val="18"/>
          <w:szCs w:val="18"/>
        </w:rPr>
        <w:t>o</w:t>
      </w:r>
    </w:p>
    <w:p w:rsidRPr="003A4993" w:rsidR="003A4993" w:rsidP="003A4993" w:rsidRDefault="003A4993" w14:paraId="78106542" w14:textId="77777777">
      <w:pPr>
        <w:spacing w:after="0" w:line="240" w:lineRule="auto"/>
        <w:jc w:val="center"/>
        <w:rPr>
          <w:rFonts w:ascii="Verdana" w:hAnsi="Verdana"/>
          <w:sz w:val="18"/>
          <w:szCs w:val="18"/>
        </w:rPr>
      </w:pPr>
    </w:p>
    <w:p w:rsidRPr="003A4993" w:rsidR="003A4993" w:rsidP="003A4993" w:rsidRDefault="003A4993" w14:paraId="230D499B" w14:textId="1198E3E0">
      <w:pPr>
        <w:spacing w:after="0" w:line="240" w:lineRule="auto"/>
        <w:jc w:val="center"/>
        <w:rPr>
          <w:rFonts w:ascii="Verdana" w:hAnsi="Verdana"/>
          <w:sz w:val="18"/>
          <w:szCs w:val="18"/>
        </w:rPr>
      </w:pPr>
      <w:r w:rsidRPr="003A4993">
        <w:rPr>
          <w:rFonts w:ascii="Verdana" w:hAnsi="Verdana"/>
          <w:noProof/>
          <w:sz w:val="18"/>
          <w:szCs w:val="18"/>
        </w:rPr>
        <w:drawing>
          <wp:inline distT="0" distB="0" distL="0" distR="0" wp14:anchorId="66C07918" wp14:editId="09C2F35D">
            <wp:extent cx="2543175" cy="2286000"/>
            <wp:effectExtent l="0" t="0" r="9525" b="0"/>
            <wp:docPr id="1599426494"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543175" cy="2286000"/>
                    </a:xfrm>
                    <a:prstGeom prst="rect">
                      <a:avLst/>
                    </a:prstGeom>
                    <a:noFill/>
                    <a:ln>
                      <a:noFill/>
                    </a:ln>
                  </pic:spPr>
                </pic:pic>
              </a:graphicData>
            </a:graphic>
          </wp:inline>
        </w:drawing>
      </w:r>
      <w:r w:rsidRPr="003A4993">
        <w:rPr>
          <w:rFonts w:ascii="Verdana" w:hAnsi="Verdana"/>
          <w:noProof/>
          <w:sz w:val="18"/>
          <w:szCs w:val="18"/>
        </w:rPr>
        <w:drawing>
          <wp:inline distT="0" distB="0" distL="0" distR="0" wp14:anchorId="00F268FC" wp14:editId="5C055CF2">
            <wp:extent cx="2552700" cy="2276475"/>
            <wp:effectExtent l="0" t="0" r="0" b="9525"/>
            <wp:docPr id="672892285"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52700" cy="2276475"/>
                    </a:xfrm>
                    <a:prstGeom prst="rect">
                      <a:avLst/>
                    </a:prstGeom>
                    <a:noFill/>
                    <a:ln>
                      <a:noFill/>
                    </a:ln>
                  </pic:spPr>
                </pic:pic>
              </a:graphicData>
            </a:graphic>
          </wp:inline>
        </w:drawing>
      </w:r>
    </w:p>
    <w:p w:rsidRPr="003A4993" w:rsidR="00AD2BDA" w:rsidP="003A4993" w:rsidRDefault="00AD2BDA" w14:paraId="13F25BCF" w14:textId="697B6BEC">
      <w:pPr>
        <w:spacing w:after="0" w:line="240" w:lineRule="auto"/>
        <w:jc w:val="center"/>
        <w:rPr>
          <w:rFonts w:ascii="Verdana" w:hAnsi="Verdana"/>
          <w:sz w:val="18"/>
          <w:szCs w:val="18"/>
        </w:rPr>
      </w:pPr>
      <w:r w:rsidRPr="003A4993">
        <w:rPr>
          <w:rFonts w:ascii="Verdana" w:hAnsi="Verdana"/>
          <w:sz w:val="18"/>
          <w:szCs w:val="18"/>
        </w:rPr>
        <w:t>Fuente: Convocatorias de los espacios de #LaMinaDelConocimiento</w:t>
      </w:r>
    </w:p>
    <w:p w:rsidRPr="005358E1" w:rsidR="00AD2BDA" w:rsidP="005358E1" w:rsidRDefault="00AD2BDA" w14:paraId="53B8CA85" w14:textId="77777777">
      <w:pPr>
        <w:spacing w:after="0" w:line="360" w:lineRule="auto"/>
        <w:jc w:val="both"/>
        <w:rPr>
          <w:rFonts w:ascii="Verdana" w:hAnsi="Verdana"/>
          <w:sz w:val="24"/>
          <w:szCs w:val="24"/>
        </w:rPr>
      </w:pPr>
      <w:r w:rsidRPr="00AD2BDA">
        <w:rPr>
          <w:rFonts w:ascii="Verdana" w:hAnsi="Verdana"/>
          <w:sz w:val="24"/>
          <w:szCs w:val="24"/>
        </w:rPr>
        <w:t> </w:t>
      </w:r>
    </w:p>
    <w:p w:rsidRPr="005358E1" w:rsidR="00AD2BDA" w:rsidP="005358E1" w:rsidRDefault="00AD2BDA" w14:paraId="733E449A" w14:textId="77777777">
      <w:pPr>
        <w:spacing w:after="0" w:line="360" w:lineRule="auto"/>
        <w:jc w:val="both"/>
        <w:rPr>
          <w:rFonts w:ascii="Verdana" w:hAnsi="Verdana"/>
          <w:sz w:val="24"/>
          <w:szCs w:val="24"/>
        </w:rPr>
      </w:pPr>
      <w:r w:rsidRPr="005358E1">
        <w:rPr>
          <w:rFonts w:ascii="Verdana" w:hAnsi="Verdana"/>
          <w:sz w:val="24"/>
          <w:szCs w:val="24"/>
        </w:rPr>
        <w:t>En el marco de la estrategia #LaMinaDelConocimiento, se desarrollaron un total de ocho espacios de capacitación. Posteriormente, estos contenidos fueron alojados en la plataforma de autoaprendizaje Moodle, facilitando su consulta y acceso por parte de servidores y colaboradores. </w:t>
      </w:r>
    </w:p>
    <w:p w:rsidRPr="005358E1" w:rsidR="00AD2BDA" w:rsidP="005358E1" w:rsidRDefault="00AD2BDA" w14:paraId="36DAC48D" w14:textId="77777777">
      <w:pPr>
        <w:spacing w:after="0" w:line="360" w:lineRule="auto"/>
        <w:jc w:val="both"/>
        <w:rPr>
          <w:rFonts w:ascii="Verdana" w:hAnsi="Verdana"/>
          <w:sz w:val="24"/>
          <w:szCs w:val="24"/>
        </w:rPr>
      </w:pPr>
      <w:r w:rsidRPr="005358E1">
        <w:rPr>
          <w:rFonts w:ascii="Verdana" w:hAnsi="Verdana"/>
          <w:sz w:val="24"/>
          <w:szCs w:val="24"/>
        </w:rPr>
        <w:t> </w:t>
      </w:r>
    </w:p>
    <w:p w:rsidRPr="005358E1" w:rsidR="00AD2BDA" w:rsidRDefault="00AD2BDA" w14:paraId="01B331C3" w14:textId="226FF143">
      <w:pPr>
        <w:pStyle w:val="Prrafodelista"/>
        <w:numPr>
          <w:ilvl w:val="3"/>
          <w:numId w:val="95"/>
        </w:numPr>
        <w:spacing w:after="0" w:line="360" w:lineRule="auto"/>
        <w:jc w:val="both"/>
        <w:rPr>
          <w:rFonts w:ascii="Verdana" w:hAnsi="Verdana"/>
          <w:b/>
          <w:bCs/>
          <w:sz w:val="24"/>
          <w:szCs w:val="24"/>
        </w:rPr>
      </w:pPr>
      <w:r w:rsidRPr="005358E1">
        <w:rPr>
          <w:rFonts w:ascii="Verdana" w:hAnsi="Verdana"/>
          <w:b/>
          <w:bCs/>
          <w:sz w:val="24"/>
          <w:szCs w:val="24"/>
        </w:rPr>
        <w:t>Eje de herramientas para el Uso y Apropiación del Conocimiento </w:t>
      </w:r>
    </w:p>
    <w:p w:rsidRPr="005358E1" w:rsidR="00AD2BDA" w:rsidP="005358E1" w:rsidRDefault="00AD2BDA" w14:paraId="5288C5D4" w14:textId="77777777">
      <w:pPr>
        <w:spacing w:after="0" w:line="360" w:lineRule="auto"/>
        <w:jc w:val="both"/>
        <w:rPr>
          <w:rFonts w:ascii="Verdana" w:hAnsi="Verdana"/>
          <w:sz w:val="24"/>
          <w:szCs w:val="24"/>
        </w:rPr>
      </w:pPr>
      <w:r w:rsidRPr="005358E1">
        <w:rPr>
          <w:rFonts w:ascii="Verdana" w:hAnsi="Verdana"/>
          <w:sz w:val="24"/>
          <w:szCs w:val="24"/>
        </w:rPr>
        <w:t> </w:t>
      </w:r>
    </w:p>
    <w:p w:rsidRPr="005358E1" w:rsidR="00AD2BDA" w:rsidP="005358E1" w:rsidRDefault="00AD2BDA" w14:paraId="641A3480" w14:textId="77777777">
      <w:pPr>
        <w:spacing w:after="0" w:line="360" w:lineRule="auto"/>
        <w:jc w:val="both"/>
        <w:rPr>
          <w:rFonts w:ascii="Verdana" w:hAnsi="Verdana"/>
          <w:sz w:val="24"/>
          <w:szCs w:val="24"/>
        </w:rPr>
      </w:pPr>
      <w:r w:rsidRPr="005358E1">
        <w:rPr>
          <w:rFonts w:ascii="Verdana" w:hAnsi="Verdana"/>
          <w:sz w:val="24"/>
          <w:szCs w:val="24"/>
        </w:rPr>
        <w:t>Con el propósito de fortalecer la gestión, acceso, transferencia y apropiación del conocimiento institucional, durante 2022 se avanzó en la consolidación de herramientas tecnológicas y metodológicas que facilitaron la preservación de información, el aprendizaje organizacional y la articulación de iniciativas de innovación. </w:t>
      </w:r>
    </w:p>
    <w:p w:rsidRPr="005358E1" w:rsidR="00AD2BDA" w:rsidP="005358E1" w:rsidRDefault="00AD2BDA" w14:paraId="5C5D0537" w14:textId="77777777">
      <w:pPr>
        <w:spacing w:after="0" w:line="360" w:lineRule="auto"/>
        <w:jc w:val="both"/>
        <w:rPr>
          <w:rFonts w:ascii="Verdana" w:hAnsi="Verdana"/>
          <w:sz w:val="24"/>
          <w:szCs w:val="24"/>
        </w:rPr>
      </w:pPr>
      <w:r w:rsidRPr="005358E1">
        <w:rPr>
          <w:rFonts w:ascii="Verdana" w:hAnsi="Verdana"/>
          <w:sz w:val="24"/>
          <w:szCs w:val="24"/>
        </w:rPr>
        <w:t> </w:t>
      </w:r>
    </w:p>
    <w:p w:rsidRPr="005358E1" w:rsidR="00AD2BDA" w:rsidP="620A7E17" w:rsidRDefault="28F12D9C" w14:paraId="634ED4B1" w14:textId="23AEC11F">
      <w:pPr>
        <w:spacing w:after="0" w:line="360" w:lineRule="auto"/>
        <w:jc w:val="both"/>
        <w:rPr>
          <w:rFonts w:ascii="Verdana" w:hAnsi="Verdana"/>
          <w:sz w:val="24"/>
          <w:szCs w:val="24"/>
        </w:rPr>
      </w:pPr>
      <w:r w:rsidRPr="620A7E17">
        <w:rPr>
          <w:rFonts w:ascii="Verdana" w:hAnsi="Verdana"/>
          <w:b/>
          <w:bCs/>
          <w:sz w:val="24"/>
          <w:szCs w:val="24"/>
        </w:rPr>
        <w:t>Fortalecimiento del Repositorio Digital Institucional</w:t>
      </w:r>
      <w:r w:rsidRPr="620A7E17" w:rsidR="5A21A1E0">
        <w:rPr>
          <w:rFonts w:ascii="Verdana" w:hAnsi="Verdana"/>
          <w:b/>
          <w:bCs/>
          <w:sz w:val="24"/>
          <w:szCs w:val="24"/>
        </w:rPr>
        <w:t>:</w:t>
      </w:r>
      <w:r w:rsidRPr="620A7E17" w:rsidR="5A21A1E0">
        <w:rPr>
          <w:rFonts w:ascii="Verdana" w:hAnsi="Verdana"/>
          <w:sz w:val="24"/>
          <w:szCs w:val="24"/>
        </w:rPr>
        <w:t xml:space="preserve"> d</w:t>
      </w:r>
      <w:r w:rsidRPr="620A7E17">
        <w:rPr>
          <w:rFonts w:ascii="Verdana" w:hAnsi="Verdana"/>
          <w:sz w:val="24"/>
          <w:szCs w:val="24"/>
        </w:rPr>
        <w:t xml:space="preserve">urante la vigencia se adelantó el proceso de recolección y organización de producciones académicas, investigativas e institucionales para fortalecer el Repositorio Digital del Ministerio. Esta herramienta buscó preservar y facilitar el acceso a contenidos estratégicos tales como artículos, investigaciones, documentos institucionales, guías, manuales, reportes, </w:t>
      </w:r>
      <w:r w:rsidRPr="620A7E17">
        <w:rPr>
          <w:rFonts w:ascii="Verdana" w:hAnsi="Verdana"/>
          <w:sz w:val="24"/>
          <w:szCs w:val="24"/>
        </w:rPr>
        <w:t>recursos educativos y demás productos de conocimiento generados por la entidad. </w:t>
      </w:r>
    </w:p>
    <w:p w:rsidRPr="005358E1" w:rsidR="001A0226" w:rsidP="005358E1" w:rsidRDefault="001A0226" w14:paraId="2A221F1E" w14:textId="77777777">
      <w:pPr>
        <w:spacing w:after="0" w:line="360" w:lineRule="auto"/>
        <w:jc w:val="both"/>
        <w:rPr>
          <w:rFonts w:ascii="Verdana" w:hAnsi="Verdana"/>
          <w:sz w:val="24"/>
          <w:szCs w:val="24"/>
        </w:rPr>
      </w:pPr>
    </w:p>
    <w:p w:rsidR="620A7E17" w:rsidP="620A7E17" w:rsidRDefault="620A7E17" w14:paraId="6CE8BEED" w14:textId="7F48A0C7">
      <w:pPr>
        <w:spacing w:after="0" w:line="360" w:lineRule="auto"/>
        <w:jc w:val="both"/>
        <w:rPr>
          <w:rFonts w:ascii="Verdana" w:hAnsi="Verdana"/>
          <w:sz w:val="24"/>
          <w:szCs w:val="24"/>
        </w:rPr>
      </w:pPr>
    </w:p>
    <w:p w:rsidR="620A7E17" w:rsidP="620A7E17" w:rsidRDefault="620A7E17" w14:paraId="6FFFA20B" w14:textId="7F97FDFD">
      <w:pPr>
        <w:spacing w:after="0" w:line="360" w:lineRule="auto"/>
        <w:jc w:val="both"/>
        <w:rPr>
          <w:rFonts w:ascii="Verdana" w:hAnsi="Verdana"/>
          <w:sz w:val="24"/>
          <w:szCs w:val="24"/>
        </w:rPr>
      </w:pPr>
    </w:p>
    <w:p w:rsidR="620A7E17" w:rsidP="620A7E17" w:rsidRDefault="620A7E17" w14:paraId="7779A036" w14:textId="20443707">
      <w:pPr>
        <w:spacing w:after="0" w:line="360" w:lineRule="auto"/>
        <w:jc w:val="both"/>
        <w:rPr>
          <w:rFonts w:ascii="Verdana" w:hAnsi="Verdana"/>
          <w:sz w:val="24"/>
          <w:szCs w:val="24"/>
        </w:rPr>
      </w:pPr>
    </w:p>
    <w:p w:rsidR="620A7E17" w:rsidP="620A7E17" w:rsidRDefault="620A7E17" w14:paraId="1A11298E" w14:textId="742E43E2">
      <w:pPr>
        <w:spacing w:after="0" w:line="360" w:lineRule="auto"/>
        <w:jc w:val="both"/>
        <w:rPr>
          <w:rFonts w:ascii="Verdana" w:hAnsi="Verdana"/>
          <w:sz w:val="24"/>
          <w:szCs w:val="24"/>
        </w:rPr>
      </w:pPr>
    </w:p>
    <w:p w:rsidR="620A7E17" w:rsidP="620A7E17" w:rsidRDefault="620A7E17" w14:paraId="3E30D1A1" w14:textId="1E48FC65">
      <w:pPr>
        <w:spacing w:after="0" w:line="360" w:lineRule="auto"/>
        <w:jc w:val="both"/>
        <w:rPr>
          <w:rFonts w:ascii="Verdana" w:hAnsi="Verdana"/>
          <w:sz w:val="24"/>
          <w:szCs w:val="24"/>
        </w:rPr>
      </w:pPr>
    </w:p>
    <w:p w:rsidR="620A7E17" w:rsidP="620A7E17" w:rsidRDefault="620A7E17" w14:paraId="164C105D" w14:textId="0C188C40">
      <w:pPr>
        <w:spacing w:after="0" w:line="360" w:lineRule="auto"/>
        <w:jc w:val="both"/>
        <w:rPr>
          <w:rFonts w:ascii="Verdana" w:hAnsi="Verdana"/>
          <w:sz w:val="24"/>
          <w:szCs w:val="24"/>
        </w:rPr>
      </w:pPr>
    </w:p>
    <w:p w:rsidR="620A7E17" w:rsidP="620A7E17" w:rsidRDefault="620A7E17" w14:paraId="3CB2CEA8" w14:textId="4E42E31D">
      <w:pPr>
        <w:spacing w:after="0" w:line="360" w:lineRule="auto"/>
        <w:jc w:val="both"/>
        <w:rPr>
          <w:rFonts w:ascii="Verdana" w:hAnsi="Verdana"/>
          <w:sz w:val="24"/>
          <w:szCs w:val="24"/>
        </w:rPr>
      </w:pPr>
    </w:p>
    <w:p w:rsidR="620A7E17" w:rsidP="620A7E17" w:rsidRDefault="620A7E17" w14:paraId="03B93E0B" w14:textId="7D9FC541">
      <w:pPr>
        <w:spacing w:after="0" w:line="360" w:lineRule="auto"/>
        <w:jc w:val="both"/>
        <w:rPr>
          <w:rFonts w:ascii="Verdana" w:hAnsi="Verdana"/>
          <w:sz w:val="24"/>
          <w:szCs w:val="24"/>
        </w:rPr>
      </w:pPr>
    </w:p>
    <w:p w:rsidR="620A7E17" w:rsidP="620A7E17" w:rsidRDefault="620A7E17" w14:paraId="44A9BAAB" w14:textId="3E6FFE38">
      <w:pPr>
        <w:spacing w:after="0" w:line="360" w:lineRule="auto"/>
        <w:jc w:val="both"/>
        <w:rPr>
          <w:rFonts w:ascii="Verdana" w:hAnsi="Verdana"/>
          <w:sz w:val="24"/>
          <w:szCs w:val="24"/>
        </w:rPr>
      </w:pPr>
    </w:p>
    <w:p w:rsidRPr="003A4993" w:rsidR="003A4993" w:rsidP="001A0226" w:rsidRDefault="003A4993" w14:paraId="516A6A40" w14:textId="35C6EA9E">
      <w:pPr>
        <w:spacing w:after="0" w:line="360" w:lineRule="auto"/>
        <w:jc w:val="center"/>
        <w:rPr>
          <w:rFonts w:ascii="Verdana" w:hAnsi="Verdana"/>
          <w:sz w:val="18"/>
          <w:szCs w:val="18"/>
        </w:rPr>
      </w:pPr>
      <w:r w:rsidRPr="001A0226">
        <w:rPr>
          <w:rFonts w:ascii="Verdana" w:hAnsi="Verdana"/>
          <w:sz w:val="18"/>
          <w:szCs w:val="18"/>
        </w:rPr>
        <w:t>Imagen No.</w:t>
      </w:r>
      <w:r w:rsidRPr="001A0226" w:rsidR="001A0226">
        <w:rPr>
          <w:rFonts w:ascii="Verdana" w:hAnsi="Verdana"/>
          <w:sz w:val="18"/>
          <w:szCs w:val="18"/>
        </w:rPr>
        <w:t xml:space="preserve"> 16.</w:t>
      </w:r>
      <w:r w:rsidRPr="001A0226">
        <w:rPr>
          <w:rFonts w:ascii="Verdana" w:hAnsi="Verdana"/>
          <w:sz w:val="18"/>
          <w:szCs w:val="18"/>
        </w:rPr>
        <w:t xml:space="preserve"> Repositorio digital</w:t>
      </w:r>
    </w:p>
    <w:p w:rsidRPr="003A4993" w:rsidR="00AD2BDA" w:rsidP="001A0226" w:rsidRDefault="003A4993" w14:paraId="29F9DFD8" w14:textId="7F8CCE93">
      <w:pPr>
        <w:spacing w:after="0" w:line="360" w:lineRule="auto"/>
        <w:jc w:val="center"/>
        <w:rPr>
          <w:rFonts w:ascii="Verdana" w:hAnsi="Verdana"/>
          <w:sz w:val="18"/>
          <w:szCs w:val="18"/>
        </w:rPr>
      </w:pPr>
      <w:r w:rsidRPr="003A4993">
        <w:rPr>
          <w:noProof/>
          <w:sz w:val="18"/>
          <w:szCs w:val="18"/>
        </w:rPr>
        <w:drawing>
          <wp:inline distT="0" distB="0" distL="0" distR="0" wp14:anchorId="4BE886D5" wp14:editId="7C5F6D70">
            <wp:extent cx="4619625" cy="2500850"/>
            <wp:effectExtent l="19050" t="19050" r="9525" b="13970"/>
            <wp:docPr id="2059175679"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625213" cy="2503875"/>
                    </a:xfrm>
                    <a:prstGeom prst="rect">
                      <a:avLst/>
                    </a:prstGeom>
                    <a:noFill/>
                    <a:ln>
                      <a:solidFill>
                        <a:schemeClr val="tx1"/>
                      </a:solidFill>
                    </a:ln>
                  </pic:spPr>
                </pic:pic>
              </a:graphicData>
            </a:graphic>
          </wp:inline>
        </w:drawing>
      </w:r>
    </w:p>
    <w:p w:rsidRPr="003A4993" w:rsidR="00AD2BDA" w:rsidP="001A0226" w:rsidRDefault="00AD2BDA" w14:paraId="720D1C6F" w14:textId="7DCC4FB7">
      <w:pPr>
        <w:spacing w:after="0" w:line="360" w:lineRule="auto"/>
        <w:jc w:val="center"/>
        <w:rPr>
          <w:rFonts w:ascii="Verdana" w:hAnsi="Verdana"/>
          <w:sz w:val="18"/>
          <w:szCs w:val="18"/>
        </w:rPr>
      </w:pPr>
      <w:r w:rsidRPr="003A4993">
        <w:rPr>
          <w:rFonts w:ascii="Verdana" w:hAnsi="Verdana"/>
          <w:sz w:val="18"/>
          <w:szCs w:val="18"/>
        </w:rPr>
        <w:t>Fuente: Captura Repositorio del Ministerio de Minas y Energía </w:t>
      </w:r>
      <w:hyperlink w:tgtFrame="_blank" w:history="1" r:id="rId44">
        <w:r w:rsidRPr="003A4993">
          <w:rPr>
            <w:rStyle w:val="Hipervnculo"/>
            <w:rFonts w:ascii="Verdana" w:hAnsi="Verdana"/>
            <w:sz w:val="18"/>
            <w:szCs w:val="18"/>
          </w:rPr>
          <w:t>Repositorio Digital Minenergía</w:t>
        </w:r>
      </w:hyperlink>
    </w:p>
    <w:p w:rsidRPr="00AD2BDA" w:rsidR="00AD2BDA" w:rsidP="005358E1" w:rsidRDefault="00AD2BDA" w14:paraId="7C08CCA6" w14:textId="77777777">
      <w:pPr>
        <w:spacing w:after="0" w:line="360" w:lineRule="auto"/>
        <w:jc w:val="both"/>
        <w:rPr>
          <w:rFonts w:ascii="Verdana" w:hAnsi="Verdana"/>
          <w:sz w:val="24"/>
          <w:szCs w:val="24"/>
        </w:rPr>
      </w:pPr>
      <w:r w:rsidRPr="00AD2BDA">
        <w:rPr>
          <w:rFonts w:ascii="Verdana" w:hAnsi="Verdana"/>
          <w:sz w:val="24"/>
          <w:szCs w:val="24"/>
        </w:rPr>
        <w:t> </w:t>
      </w:r>
    </w:p>
    <w:p w:rsidRPr="00AD2BDA" w:rsidR="00AD2BDA" w:rsidP="620A7E17" w:rsidRDefault="28F12D9C" w14:paraId="3B139AE5" w14:textId="209DA9E8">
      <w:pPr>
        <w:spacing w:after="0" w:line="360" w:lineRule="auto"/>
        <w:jc w:val="both"/>
      </w:pPr>
      <w:r w:rsidRPr="620A7E17">
        <w:rPr>
          <w:rFonts w:ascii="Verdana" w:hAnsi="Verdana"/>
          <w:b/>
          <w:bCs/>
          <w:sz w:val="24"/>
          <w:szCs w:val="24"/>
        </w:rPr>
        <w:t>Consolidación de la Plataforma Moodle</w:t>
      </w:r>
      <w:r w:rsidRPr="620A7E17" w:rsidR="5C60FFFA">
        <w:rPr>
          <w:rFonts w:ascii="Verdana" w:hAnsi="Verdana"/>
          <w:b/>
          <w:bCs/>
          <w:sz w:val="24"/>
          <w:szCs w:val="24"/>
        </w:rPr>
        <w:t>:</w:t>
      </w:r>
      <w:r w:rsidRPr="620A7E17" w:rsidR="5C60FFFA">
        <w:rPr>
          <w:rFonts w:ascii="Verdana" w:hAnsi="Verdana"/>
          <w:sz w:val="24"/>
          <w:szCs w:val="24"/>
        </w:rPr>
        <w:t xml:space="preserve"> l</w:t>
      </w:r>
      <w:r w:rsidRPr="620A7E17">
        <w:rPr>
          <w:rFonts w:ascii="Verdana" w:hAnsi="Verdana"/>
          <w:sz w:val="24"/>
          <w:szCs w:val="24"/>
        </w:rPr>
        <w:t xml:space="preserve">a entidad fortaleció el uso de la plataforma virtual de autoaprendizaje Moodle, la cual se utilizó para las capacitaciones en el marco de la Universidad de la Nueva Energía, permitiendo el acceso autónomo y flexible a procesos de formación institucional. En esta plataforma se alojaron contenidos asociados a #LaMinaDelConocimiento y cursos desarrollados por diferentes áreas del </w:t>
      </w:r>
      <w:r w:rsidRPr="620A7E17">
        <w:rPr>
          <w:rFonts w:ascii="Verdana" w:hAnsi="Verdana"/>
          <w:sz w:val="24"/>
          <w:szCs w:val="24"/>
        </w:rPr>
        <w:t>Ministerio, promoviendo el aprendizaje continuo y el acceso descentralizado al conocimiento. </w:t>
      </w:r>
    </w:p>
    <w:p w:rsidR="620A7E17" w:rsidP="620A7E17" w:rsidRDefault="620A7E17" w14:paraId="0C1FE9F2" w14:textId="18A74362">
      <w:pPr>
        <w:spacing w:after="0" w:line="360" w:lineRule="auto"/>
        <w:jc w:val="both"/>
        <w:rPr>
          <w:rFonts w:ascii="Verdana" w:hAnsi="Verdana"/>
          <w:sz w:val="24"/>
          <w:szCs w:val="24"/>
        </w:rPr>
      </w:pPr>
    </w:p>
    <w:p w:rsidR="620A7E17" w:rsidP="620A7E17" w:rsidRDefault="620A7E17" w14:paraId="488F9CD4" w14:textId="6A3612EB">
      <w:pPr>
        <w:spacing w:after="0" w:line="360" w:lineRule="auto"/>
        <w:jc w:val="both"/>
        <w:rPr>
          <w:rFonts w:ascii="Verdana" w:hAnsi="Verdana"/>
          <w:sz w:val="24"/>
          <w:szCs w:val="24"/>
        </w:rPr>
      </w:pPr>
    </w:p>
    <w:p w:rsidR="620A7E17" w:rsidP="620A7E17" w:rsidRDefault="620A7E17" w14:paraId="06C96E2D" w14:textId="66E122EA">
      <w:pPr>
        <w:spacing w:after="0" w:line="360" w:lineRule="auto"/>
        <w:jc w:val="both"/>
        <w:rPr>
          <w:rFonts w:ascii="Verdana" w:hAnsi="Verdana"/>
          <w:sz w:val="24"/>
          <w:szCs w:val="24"/>
        </w:rPr>
      </w:pPr>
    </w:p>
    <w:p w:rsidR="620A7E17" w:rsidP="620A7E17" w:rsidRDefault="620A7E17" w14:paraId="1D36D41C" w14:textId="1844E304">
      <w:pPr>
        <w:spacing w:after="0" w:line="360" w:lineRule="auto"/>
        <w:jc w:val="both"/>
        <w:rPr>
          <w:rFonts w:ascii="Verdana" w:hAnsi="Verdana"/>
          <w:sz w:val="24"/>
          <w:szCs w:val="24"/>
        </w:rPr>
      </w:pPr>
    </w:p>
    <w:p w:rsidR="620A7E17" w:rsidP="620A7E17" w:rsidRDefault="620A7E17" w14:paraId="3B230C53" w14:textId="2291583F">
      <w:pPr>
        <w:spacing w:after="0" w:line="360" w:lineRule="auto"/>
        <w:jc w:val="both"/>
        <w:rPr>
          <w:rFonts w:ascii="Verdana" w:hAnsi="Verdana"/>
          <w:sz w:val="24"/>
          <w:szCs w:val="24"/>
        </w:rPr>
      </w:pPr>
    </w:p>
    <w:p w:rsidR="620A7E17" w:rsidP="620A7E17" w:rsidRDefault="620A7E17" w14:paraId="239D90D5" w14:textId="61AA1E56">
      <w:pPr>
        <w:spacing w:after="0" w:line="360" w:lineRule="auto"/>
        <w:jc w:val="both"/>
        <w:rPr>
          <w:rFonts w:ascii="Verdana" w:hAnsi="Verdana"/>
          <w:sz w:val="24"/>
          <w:szCs w:val="24"/>
        </w:rPr>
      </w:pPr>
    </w:p>
    <w:p w:rsidR="620A7E17" w:rsidP="620A7E17" w:rsidRDefault="620A7E17" w14:paraId="519D0D15" w14:textId="36ADB914">
      <w:pPr>
        <w:spacing w:after="0" w:line="360" w:lineRule="auto"/>
        <w:jc w:val="both"/>
        <w:rPr>
          <w:rFonts w:ascii="Verdana" w:hAnsi="Verdana"/>
          <w:sz w:val="24"/>
          <w:szCs w:val="24"/>
        </w:rPr>
      </w:pPr>
    </w:p>
    <w:p w:rsidR="620A7E17" w:rsidP="620A7E17" w:rsidRDefault="620A7E17" w14:paraId="22FA04AD" w14:textId="34145CB5">
      <w:pPr>
        <w:spacing w:after="0" w:line="360" w:lineRule="auto"/>
        <w:jc w:val="both"/>
        <w:rPr>
          <w:rFonts w:ascii="Verdana" w:hAnsi="Verdana"/>
          <w:sz w:val="24"/>
          <w:szCs w:val="24"/>
        </w:rPr>
      </w:pPr>
    </w:p>
    <w:p w:rsidR="00AD2BDA" w:rsidP="005358E1" w:rsidRDefault="00AD2BDA" w14:paraId="7A2A1DDA" w14:textId="57DDDE94">
      <w:pPr>
        <w:spacing w:after="0" w:line="360" w:lineRule="auto"/>
        <w:jc w:val="both"/>
        <w:rPr>
          <w:rFonts w:ascii="Verdana" w:hAnsi="Verdana"/>
          <w:sz w:val="24"/>
          <w:szCs w:val="24"/>
        </w:rPr>
      </w:pPr>
    </w:p>
    <w:p w:rsidRPr="001A0226" w:rsidR="001A0226" w:rsidP="001A0226" w:rsidRDefault="001A0226" w14:paraId="2CDDF159" w14:textId="6BB28769">
      <w:pPr>
        <w:spacing w:after="0" w:line="240" w:lineRule="auto"/>
        <w:jc w:val="center"/>
        <w:rPr>
          <w:rFonts w:ascii="Verdana" w:hAnsi="Verdana"/>
          <w:sz w:val="18"/>
          <w:szCs w:val="18"/>
        </w:rPr>
      </w:pPr>
      <w:r>
        <w:rPr>
          <w:rFonts w:ascii="Verdana" w:hAnsi="Verdana"/>
          <w:sz w:val="18"/>
          <w:szCs w:val="18"/>
        </w:rPr>
        <w:t>Imag</w:t>
      </w:r>
      <w:r w:rsidRPr="001A0226">
        <w:rPr>
          <w:rFonts w:ascii="Verdana" w:hAnsi="Verdana"/>
          <w:sz w:val="18"/>
          <w:szCs w:val="18"/>
        </w:rPr>
        <w:t>en No.</w:t>
      </w:r>
      <w:r>
        <w:rPr>
          <w:rFonts w:ascii="Verdana" w:hAnsi="Verdana"/>
          <w:sz w:val="18"/>
          <w:szCs w:val="18"/>
        </w:rPr>
        <w:t xml:space="preserve"> 17.  P</w:t>
      </w:r>
      <w:r w:rsidRPr="001A0226">
        <w:rPr>
          <w:rFonts w:ascii="Verdana" w:hAnsi="Verdana"/>
          <w:sz w:val="18"/>
          <w:szCs w:val="18"/>
        </w:rPr>
        <w:t>lataforma virtual de autoaprendizaje Moodle</w:t>
      </w:r>
    </w:p>
    <w:p w:rsidRPr="001A0226" w:rsidR="001A0226" w:rsidP="001A0226" w:rsidRDefault="001A0226" w14:paraId="16DB5B28" w14:textId="416D3429">
      <w:pPr>
        <w:spacing w:after="0" w:line="240" w:lineRule="auto"/>
        <w:jc w:val="center"/>
        <w:rPr>
          <w:rFonts w:ascii="Verdana" w:hAnsi="Verdana"/>
          <w:sz w:val="18"/>
          <w:szCs w:val="18"/>
        </w:rPr>
      </w:pPr>
      <w:r w:rsidRPr="001A0226">
        <w:rPr>
          <w:noProof/>
          <w:sz w:val="18"/>
          <w:szCs w:val="18"/>
        </w:rPr>
        <w:drawing>
          <wp:inline distT="0" distB="0" distL="0" distR="0" wp14:anchorId="60541556" wp14:editId="0B7248A8">
            <wp:extent cx="4819650" cy="2533650"/>
            <wp:effectExtent l="19050" t="19050" r="19050" b="19050"/>
            <wp:docPr id="1464224353"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819650" cy="2533650"/>
                    </a:xfrm>
                    <a:prstGeom prst="rect">
                      <a:avLst/>
                    </a:prstGeom>
                    <a:noFill/>
                    <a:ln>
                      <a:solidFill>
                        <a:schemeClr val="tx1"/>
                      </a:solidFill>
                    </a:ln>
                  </pic:spPr>
                </pic:pic>
              </a:graphicData>
            </a:graphic>
          </wp:inline>
        </w:drawing>
      </w:r>
    </w:p>
    <w:p w:rsidRPr="001A0226" w:rsidR="00AD2BDA" w:rsidP="001A0226" w:rsidRDefault="00AD2BDA" w14:paraId="6652CD06" w14:textId="59EA8D13">
      <w:pPr>
        <w:spacing w:after="0" w:line="240" w:lineRule="auto"/>
        <w:jc w:val="center"/>
        <w:rPr>
          <w:rFonts w:ascii="Verdana" w:hAnsi="Verdana"/>
          <w:sz w:val="18"/>
          <w:szCs w:val="18"/>
        </w:rPr>
      </w:pPr>
      <w:r w:rsidRPr="001A0226">
        <w:rPr>
          <w:rFonts w:ascii="Verdana" w:hAnsi="Verdana"/>
          <w:sz w:val="18"/>
          <w:szCs w:val="18"/>
        </w:rPr>
        <w:t>Fuente: Captura de pantalla de la Plataforma en la versión del año 2022.</w:t>
      </w:r>
    </w:p>
    <w:p w:rsidRPr="00AD2BDA" w:rsidR="00AD2BDA" w:rsidP="005358E1" w:rsidRDefault="00AD2BDA" w14:paraId="11905EDC" w14:textId="77777777">
      <w:pPr>
        <w:spacing w:after="0" w:line="360" w:lineRule="auto"/>
        <w:jc w:val="both"/>
        <w:rPr>
          <w:rFonts w:ascii="Verdana" w:hAnsi="Verdana"/>
          <w:sz w:val="24"/>
          <w:szCs w:val="24"/>
        </w:rPr>
      </w:pPr>
      <w:r w:rsidRPr="00AD2BDA">
        <w:rPr>
          <w:rFonts w:ascii="Verdana" w:hAnsi="Verdana"/>
          <w:sz w:val="24"/>
          <w:szCs w:val="24"/>
        </w:rPr>
        <w:t> </w:t>
      </w:r>
    </w:p>
    <w:p w:rsidRPr="00AD2BDA" w:rsidR="00AD2BDA" w:rsidP="620A7E17" w:rsidRDefault="28F12D9C" w14:paraId="17337719" w14:textId="70B3C985">
      <w:pPr>
        <w:spacing w:after="0" w:line="360" w:lineRule="auto"/>
        <w:jc w:val="both"/>
        <w:rPr>
          <w:rFonts w:ascii="Verdana" w:hAnsi="Verdana"/>
          <w:sz w:val="24"/>
          <w:szCs w:val="24"/>
        </w:rPr>
      </w:pPr>
      <w:r w:rsidRPr="620A7E17">
        <w:rPr>
          <w:rFonts w:ascii="Verdana" w:hAnsi="Verdana"/>
          <w:b/>
          <w:bCs/>
          <w:sz w:val="24"/>
          <w:szCs w:val="24"/>
        </w:rPr>
        <w:t>Diseño de la Caja de Herramientas de Gestión del Conocimiento e Innovación</w:t>
      </w:r>
      <w:r w:rsidRPr="620A7E17" w:rsidR="3A981AE9">
        <w:rPr>
          <w:rFonts w:ascii="Verdana" w:hAnsi="Verdana"/>
          <w:b/>
          <w:bCs/>
          <w:sz w:val="24"/>
          <w:szCs w:val="24"/>
        </w:rPr>
        <w:t>:</w:t>
      </w:r>
      <w:r w:rsidRPr="620A7E17" w:rsidR="3A981AE9">
        <w:rPr>
          <w:rFonts w:ascii="Verdana" w:hAnsi="Verdana"/>
          <w:sz w:val="24"/>
          <w:szCs w:val="24"/>
        </w:rPr>
        <w:t xml:space="preserve"> c</w:t>
      </w:r>
      <w:r w:rsidRPr="620A7E17">
        <w:rPr>
          <w:rFonts w:ascii="Verdana" w:hAnsi="Verdana"/>
          <w:sz w:val="24"/>
          <w:szCs w:val="24"/>
        </w:rPr>
        <w:t>on el fin de orientar y facilitar la implementación de iniciativas de Gestión del Conocimiento e Innovación, se estructuró una Caja de Herramientas institucional compuesta por manuales, guías y recursos metodológicos. </w:t>
      </w:r>
    </w:p>
    <w:p w:rsidRPr="00AD2BDA" w:rsidR="00AD2BDA" w:rsidP="005358E1" w:rsidRDefault="00AD2BDA" w14:paraId="2C6CB820" w14:textId="77777777">
      <w:pPr>
        <w:spacing w:after="0" w:line="360" w:lineRule="auto"/>
        <w:jc w:val="both"/>
        <w:rPr>
          <w:rFonts w:ascii="Verdana" w:hAnsi="Verdana"/>
          <w:sz w:val="24"/>
          <w:szCs w:val="24"/>
        </w:rPr>
      </w:pPr>
      <w:r w:rsidRPr="00AD2BDA">
        <w:rPr>
          <w:rFonts w:ascii="Verdana" w:hAnsi="Verdana"/>
          <w:sz w:val="24"/>
          <w:szCs w:val="24"/>
        </w:rPr>
        <w:t> </w:t>
      </w:r>
    </w:p>
    <w:p w:rsidRPr="00AD2BDA" w:rsidR="00AD2BDA" w:rsidP="005358E1" w:rsidRDefault="00AD2BDA" w14:paraId="61E06662" w14:textId="77777777">
      <w:pPr>
        <w:spacing w:after="0" w:line="360" w:lineRule="auto"/>
        <w:jc w:val="both"/>
        <w:rPr>
          <w:rFonts w:ascii="Verdana" w:hAnsi="Verdana"/>
          <w:sz w:val="24"/>
          <w:szCs w:val="24"/>
        </w:rPr>
      </w:pPr>
      <w:r w:rsidRPr="00AD2BDA">
        <w:rPr>
          <w:rFonts w:ascii="Verdana" w:hAnsi="Verdana"/>
          <w:sz w:val="24"/>
          <w:szCs w:val="24"/>
        </w:rPr>
        <w:t>Entre los instrumentos desarrollados se destacan: </w:t>
      </w:r>
    </w:p>
    <w:p w:rsidRPr="00AD2BDA" w:rsidR="00AD2BDA" w:rsidRDefault="00AD2BDA" w14:paraId="78C4B7BB" w14:textId="77777777">
      <w:pPr>
        <w:numPr>
          <w:ilvl w:val="0"/>
          <w:numId w:val="109"/>
        </w:numPr>
        <w:spacing w:after="0" w:line="360" w:lineRule="auto"/>
        <w:jc w:val="both"/>
        <w:rPr>
          <w:rFonts w:ascii="Verdana" w:hAnsi="Verdana"/>
          <w:sz w:val="24"/>
          <w:szCs w:val="24"/>
        </w:rPr>
      </w:pPr>
      <w:r w:rsidRPr="00AD2BDA">
        <w:rPr>
          <w:rFonts w:ascii="Verdana" w:hAnsi="Verdana"/>
          <w:sz w:val="24"/>
          <w:szCs w:val="24"/>
        </w:rPr>
        <w:t>Manual de Gestión del Conocimiento y la Innovación. </w:t>
      </w:r>
    </w:p>
    <w:p w:rsidRPr="00AD2BDA" w:rsidR="00AD2BDA" w:rsidRDefault="00AD2BDA" w14:paraId="2DC983FC" w14:textId="77777777">
      <w:pPr>
        <w:numPr>
          <w:ilvl w:val="0"/>
          <w:numId w:val="110"/>
        </w:numPr>
        <w:spacing w:after="0" w:line="360" w:lineRule="auto"/>
        <w:jc w:val="both"/>
        <w:rPr>
          <w:rFonts w:ascii="Verdana" w:hAnsi="Verdana"/>
          <w:sz w:val="24"/>
          <w:szCs w:val="24"/>
        </w:rPr>
      </w:pPr>
      <w:r w:rsidRPr="00AD2BDA">
        <w:rPr>
          <w:rFonts w:ascii="Verdana" w:hAnsi="Verdana"/>
          <w:sz w:val="24"/>
          <w:szCs w:val="24"/>
        </w:rPr>
        <w:t>Guías orientativas para participar en #LaMinaDelConocimiento. </w:t>
      </w:r>
    </w:p>
    <w:p w:rsidRPr="00AD2BDA" w:rsidR="00AD2BDA" w:rsidRDefault="00AD2BDA" w14:paraId="26D9288D" w14:textId="77777777">
      <w:pPr>
        <w:numPr>
          <w:ilvl w:val="0"/>
          <w:numId w:val="111"/>
        </w:numPr>
        <w:spacing w:after="0" w:line="360" w:lineRule="auto"/>
        <w:jc w:val="both"/>
        <w:rPr>
          <w:rFonts w:ascii="Verdana" w:hAnsi="Verdana"/>
          <w:sz w:val="24"/>
          <w:szCs w:val="24"/>
        </w:rPr>
      </w:pPr>
      <w:r w:rsidRPr="00AD2BDA">
        <w:rPr>
          <w:rFonts w:ascii="Verdana" w:hAnsi="Verdana"/>
          <w:sz w:val="24"/>
          <w:szCs w:val="24"/>
        </w:rPr>
        <w:t>Diseño instruccional “La Mina del Conocimiento” U. Nueva Energía </w:t>
      </w:r>
    </w:p>
    <w:p w:rsidRPr="00AD2BDA" w:rsidR="00AD2BDA" w:rsidRDefault="00AD2BDA" w14:paraId="73F56011" w14:textId="77777777">
      <w:pPr>
        <w:numPr>
          <w:ilvl w:val="0"/>
          <w:numId w:val="112"/>
        </w:numPr>
        <w:spacing w:after="0" w:line="360" w:lineRule="auto"/>
        <w:jc w:val="both"/>
        <w:rPr>
          <w:rFonts w:ascii="Verdana" w:hAnsi="Verdana"/>
          <w:sz w:val="24"/>
          <w:szCs w:val="24"/>
        </w:rPr>
      </w:pPr>
      <w:r w:rsidRPr="00AD2BDA">
        <w:rPr>
          <w:rFonts w:ascii="Verdana" w:hAnsi="Verdana"/>
          <w:sz w:val="24"/>
          <w:szCs w:val="24"/>
        </w:rPr>
        <w:t>Recursos de acceso al Repositorio Digital y Moodle. </w:t>
      </w:r>
    </w:p>
    <w:p w:rsidRPr="00AD2BDA" w:rsidR="00AD2BDA" w:rsidRDefault="00AD2BDA" w14:paraId="27736AE2" w14:textId="77777777">
      <w:pPr>
        <w:numPr>
          <w:ilvl w:val="0"/>
          <w:numId w:val="113"/>
        </w:numPr>
        <w:spacing w:after="0" w:line="360" w:lineRule="auto"/>
        <w:jc w:val="both"/>
        <w:rPr>
          <w:rFonts w:ascii="Verdana" w:hAnsi="Verdana"/>
          <w:sz w:val="24"/>
          <w:szCs w:val="24"/>
        </w:rPr>
      </w:pPr>
      <w:r w:rsidRPr="00AD2BDA">
        <w:rPr>
          <w:rFonts w:ascii="Verdana" w:hAnsi="Verdana"/>
          <w:sz w:val="24"/>
          <w:szCs w:val="24"/>
        </w:rPr>
        <w:t>Guía de Acciones Innovadoras, orientada a promover una cultura de innovación mediante acciones prácticas y de fácil implementación. </w:t>
      </w:r>
    </w:p>
    <w:p w:rsidRPr="00AD2BDA" w:rsidR="00AD2BDA" w:rsidP="005358E1" w:rsidRDefault="00AD2BDA" w14:paraId="11D81993" w14:textId="77777777">
      <w:pPr>
        <w:spacing w:after="0" w:line="360" w:lineRule="auto"/>
        <w:jc w:val="both"/>
        <w:rPr>
          <w:rFonts w:ascii="Verdana" w:hAnsi="Verdana"/>
          <w:sz w:val="24"/>
          <w:szCs w:val="24"/>
        </w:rPr>
      </w:pPr>
      <w:r w:rsidRPr="00AD2BDA">
        <w:rPr>
          <w:rFonts w:ascii="Verdana" w:hAnsi="Verdana"/>
          <w:sz w:val="24"/>
          <w:szCs w:val="24"/>
        </w:rPr>
        <w:t> </w:t>
      </w:r>
    </w:p>
    <w:p w:rsidR="00AD2BDA" w:rsidP="005358E1" w:rsidRDefault="00AD2BDA" w14:paraId="2A59DC18" w14:textId="77777777">
      <w:pPr>
        <w:spacing w:after="0" w:line="360" w:lineRule="auto"/>
        <w:jc w:val="both"/>
        <w:rPr>
          <w:rFonts w:ascii="Verdana" w:hAnsi="Verdana"/>
          <w:sz w:val="24"/>
          <w:szCs w:val="24"/>
        </w:rPr>
      </w:pPr>
      <w:r w:rsidRPr="00AD2BDA">
        <w:rPr>
          <w:rFonts w:ascii="Verdana" w:hAnsi="Verdana"/>
          <w:sz w:val="24"/>
          <w:szCs w:val="24"/>
        </w:rPr>
        <w:t>Estas herramientas contribuyeron a estandarizar lineamientos y fortalecer capacidades institucionales para la apropiación de la política. </w:t>
      </w:r>
    </w:p>
    <w:p w:rsidR="001A0226" w:rsidP="005358E1" w:rsidRDefault="001A0226" w14:paraId="1304B2A4" w14:textId="77777777">
      <w:pPr>
        <w:spacing w:after="0" w:line="360" w:lineRule="auto"/>
        <w:jc w:val="both"/>
        <w:rPr>
          <w:rFonts w:ascii="Verdana" w:hAnsi="Verdana"/>
          <w:sz w:val="24"/>
          <w:szCs w:val="24"/>
        </w:rPr>
      </w:pPr>
    </w:p>
    <w:p w:rsidRPr="001A0226" w:rsidR="001A0226" w:rsidP="001A0226" w:rsidRDefault="001A0226" w14:paraId="35122E30" w14:textId="5B6DFDD1">
      <w:pPr>
        <w:spacing w:after="0" w:line="360" w:lineRule="auto"/>
        <w:jc w:val="center"/>
        <w:rPr>
          <w:rFonts w:ascii="Verdana" w:hAnsi="Verdana"/>
          <w:sz w:val="18"/>
          <w:szCs w:val="18"/>
        </w:rPr>
      </w:pPr>
      <w:r w:rsidRPr="001A0226">
        <w:rPr>
          <w:rFonts w:ascii="Verdana" w:hAnsi="Verdana"/>
          <w:sz w:val="18"/>
          <w:szCs w:val="18"/>
        </w:rPr>
        <w:t>Imagen No.</w:t>
      </w:r>
      <w:r>
        <w:rPr>
          <w:rFonts w:ascii="Verdana" w:hAnsi="Verdana"/>
          <w:sz w:val="18"/>
          <w:szCs w:val="18"/>
        </w:rPr>
        <w:t xml:space="preserve"> 18.</w:t>
      </w:r>
      <w:r w:rsidRPr="001A0226">
        <w:rPr>
          <w:rFonts w:ascii="Verdana" w:hAnsi="Verdana"/>
          <w:sz w:val="18"/>
          <w:szCs w:val="18"/>
        </w:rPr>
        <w:t xml:space="preserve"> Caja de herramientas </w:t>
      </w:r>
    </w:p>
    <w:p w:rsidRPr="001A0226" w:rsidR="00AD2BDA" w:rsidP="001A0226" w:rsidRDefault="00AD2BDA" w14:paraId="545D4754" w14:textId="47A46B39">
      <w:pPr>
        <w:spacing w:after="0" w:line="360" w:lineRule="auto"/>
        <w:jc w:val="center"/>
        <w:rPr>
          <w:rFonts w:ascii="Verdana" w:hAnsi="Verdana"/>
          <w:sz w:val="18"/>
          <w:szCs w:val="18"/>
        </w:rPr>
      </w:pPr>
    </w:p>
    <w:p w:rsidRPr="001A0226" w:rsidR="00AD2BDA" w:rsidP="001A0226" w:rsidRDefault="00AD2BDA" w14:paraId="19864DB7" w14:textId="09B232D7">
      <w:pPr>
        <w:spacing w:after="0" w:line="360" w:lineRule="auto"/>
        <w:jc w:val="center"/>
        <w:rPr>
          <w:rFonts w:ascii="Verdana" w:hAnsi="Verdana"/>
          <w:sz w:val="18"/>
          <w:szCs w:val="18"/>
        </w:rPr>
      </w:pPr>
    </w:p>
    <w:p w:rsidRPr="001A0226" w:rsidR="001A0226" w:rsidP="001A0226" w:rsidRDefault="001A0226" w14:paraId="0629BE76" w14:textId="556F2CB5">
      <w:pPr>
        <w:spacing w:after="0" w:line="360" w:lineRule="auto"/>
        <w:jc w:val="center"/>
        <w:rPr>
          <w:rFonts w:ascii="Verdana" w:hAnsi="Verdana"/>
          <w:sz w:val="18"/>
          <w:szCs w:val="18"/>
        </w:rPr>
      </w:pPr>
      <w:r w:rsidRPr="001A0226">
        <w:rPr>
          <w:rFonts w:ascii="Verdana" w:hAnsi="Verdana"/>
          <w:noProof/>
          <w:sz w:val="18"/>
          <w:szCs w:val="18"/>
        </w:rPr>
        <w:drawing>
          <wp:inline distT="0" distB="0" distL="0" distR="0" wp14:anchorId="25AC8E79" wp14:editId="32EC4742">
            <wp:extent cx="1314450" cy="2466975"/>
            <wp:effectExtent l="0" t="0" r="0" b="9525"/>
            <wp:docPr id="1072234702"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314450" cy="2466975"/>
                    </a:xfrm>
                    <a:prstGeom prst="rect">
                      <a:avLst/>
                    </a:prstGeom>
                    <a:noFill/>
                    <a:ln>
                      <a:noFill/>
                    </a:ln>
                  </pic:spPr>
                </pic:pic>
              </a:graphicData>
            </a:graphic>
          </wp:inline>
        </w:drawing>
      </w:r>
      <w:r w:rsidRPr="001A0226">
        <w:rPr>
          <w:rFonts w:ascii="Verdana" w:hAnsi="Verdana"/>
          <w:noProof/>
          <w:sz w:val="18"/>
          <w:szCs w:val="18"/>
        </w:rPr>
        <w:drawing>
          <wp:inline distT="0" distB="0" distL="0" distR="0" wp14:anchorId="67E26E6E" wp14:editId="4734961F">
            <wp:extent cx="1409700" cy="2466975"/>
            <wp:effectExtent l="0" t="0" r="0" b="9525"/>
            <wp:docPr id="673156631"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09700" cy="2466975"/>
                    </a:xfrm>
                    <a:prstGeom prst="rect">
                      <a:avLst/>
                    </a:prstGeom>
                    <a:noFill/>
                    <a:ln>
                      <a:noFill/>
                    </a:ln>
                  </pic:spPr>
                </pic:pic>
              </a:graphicData>
            </a:graphic>
          </wp:inline>
        </w:drawing>
      </w:r>
      <w:r w:rsidRPr="001A0226">
        <w:rPr>
          <w:rFonts w:ascii="Verdana" w:hAnsi="Verdana"/>
          <w:noProof/>
          <w:sz w:val="18"/>
          <w:szCs w:val="18"/>
        </w:rPr>
        <w:drawing>
          <wp:inline distT="0" distB="0" distL="0" distR="0" wp14:anchorId="74B34DD2" wp14:editId="1F0C368D">
            <wp:extent cx="1257300" cy="2466975"/>
            <wp:effectExtent l="0" t="0" r="0" b="9525"/>
            <wp:docPr id="706682560"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57300" cy="2466975"/>
                    </a:xfrm>
                    <a:prstGeom prst="rect">
                      <a:avLst/>
                    </a:prstGeom>
                    <a:noFill/>
                    <a:ln>
                      <a:noFill/>
                    </a:ln>
                  </pic:spPr>
                </pic:pic>
              </a:graphicData>
            </a:graphic>
          </wp:inline>
        </w:drawing>
      </w:r>
      <w:r w:rsidRPr="001A0226">
        <w:rPr>
          <w:rFonts w:ascii="Verdana" w:hAnsi="Verdana"/>
          <w:noProof/>
          <w:sz w:val="18"/>
          <w:szCs w:val="18"/>
        </w:rPr>
        <w:drawing>
          <wp:inline distT="0" distB="0" distL="0" distR="0" wp14:anchorId="1DBD65A8" wp14:editId="7EDA2C38">
            <wp:extent cx="1323975" cy="2466975"/>
            <wp:effectExtent l="0" t="0" r="9525" b="9525"/>
            <wp:docPr id="621729127"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323975" cy="2466975"/>
                    </a:xfrm>
                    <a:prstGeom prst="rect">
                      <a:avLst/>
                    </a:prstGeom>
                    <a:noFill/>
                    <a:ln>
                      <a:noFill/>
                    </a:ln>
                  </pic:spPr>
                </pic:pic>
              </a:graphicData>
            </a:graphic>
          </wp:inline>
        </w:drawing>
      </w:r>
    </w:p>
    <w:p w:rsidRPr="001A0226" w:rsidR="00AD2BDA" w:rsidP="001A0226" w:rsidRDefault="00AD2BDA" w14:paraId="5060240B" w14:textId="2513057B">
      <w:pPr>
        <w:spacing w:after="0" w:line="360" w:lineRule="auto"/>
        <w:jc w:val="center"/>
        <w:rPr>
          <w:rFonts w:ascii="Verdana" w:hAnsi="Verdana"/>
          <w:sz w:val="18"/>
          <w:szCs w:val="18"/>
        </w:rPr>
      </w:pPr>
      <w:r w:rsidRPr="001A0226">
        <w:rPr>
          <w:rFonts w:ascii="Verdana" w:hAnsi="Verdana"/>
          <w:sz w:val="18"/>
          <w:szCs w:val="18"/>
        </w:rPr>
        <w:t>Fuente: Capturas de algunos diseños de la Caja de Herramientas de la versión del 2022.</w:t>
      </w:r>
    </w:p>
    <w:p w:rsidRPr="00AD2BDA" w:rsidR="00AD2BDA" w:rsidP="00AD2BDA" w:rsidRDefault="00AD2BDA" w14:paraId="1353AD8A" w14:textId="77777777">
      <w:pPr>
        <w:spacing w:after="0" w:line="360" w:lineRule="auto"/>
        <w:jc w:val="both"/>
        <w:rPr>
          <w:rFonts w:ascii="Verdana" w:hAnsi="Verdana"/>
          <w:sz w:val="24"/>
          <w:szCs w:val="24"/>
        </w:rPr>
      </w:pPr>
      <w:r w:rsidRPr="00AD2BDA">
        <w:rPr>
          <w:rFonts w:ascii="Verdana" w:hAnsi="Verdana"/>
          <w:sz w:val="24"/>
          <w:szCs w:val="24"/>
        </w:rPr>
        <w:t> </w:t>
      </w:r>
    </w:p>
    <w:p w:rsidR="00AD2BDA" w:rsidP="620A7E17" w:rsidRDefault="28F12D9C" w14:paraId="4EEFC454" w14:textId="49FD3151">
      <w:pPr>
        <w:spacing w:after="0" w:line="360" w:lineRule="auto"/>
        <w:jc w:val="both"/>
        <w:rPr>
          <w:rFonts w:ascii="Verdana" w:hAnsi="Verdana"/>
          <w:sz w:val="24"/>
          <w:szCs w:val="24"/>
        </w:rPr>
      </w:pPr>
      <w:r w:rsidRPr="620A7E17">
        <w:rPr>
          <w:rFonts w:ascii="Verdana" w:hAnsi="Verdana"/>
          <w:b/>
          <w:bCs/>
          <w:sz w:val="24"/>
          <w:szCs w:val="24"/>
        </w:rPr>
        <w:t>Desarrollo de la Intranet Institucional</w:t>
      </w:r>
      <w:r w:rsidRPr="620A7E17" w:rsidR="56F23A31">
        <w:rPr>
          <w:rFonts w:ascii="Verdana" w:hAnsi="Verdana"/>
          <w:b/>
          <w:bCs/>
          <w:sz w:val="24"/>
          <w:szCs w:val="24"/>
        </w:rPr>
        <w:t>:</w:t>
      </w:r>
      <w:r w:rsidRPr="620A7E17" w:rsidR="56F23A31">
        <w:rPr>
          <w:rFonts w:ascii="Verdana" w:hAnsi="Verdana"/>
          <w:sz w:val="24"/>
          <w:szCs w:val="24"/>
        </w:rPr>
        <w:t xml:space="preserve"> d</w:t>
      </w:r>
      <w:r w:rsidRPr="620A7E17">
        <w:rPr>
          <w:rFonts w:ascii="Verdana" w:hAnsi="Verdana"/>
          <w:sz w:val="24"/>
          <w:szCs w:val="24"/>
        </w:rPr>
        <w:t>urante 2022 se adelantó el desarrollo de la Intranet del Ministerio como herramienta para fortalecer la comunicación interna, el acceso a información institucional y la articulación de programas y procesos estratégicos. </w:t>
      </w:r>
    </w:p>
    <w:p w:rsidRPr="00AD2BDA" w:rsidR="001A0226" w:rsidP="00AD2BDA" w:rsidRDefault="001A0226" w14:paraId="52F5E2F9" w14:textId="77777777">
      <w:pPr>
        <w:spacing w:after="0" w:line="360" w:lineRule="auto"/>
        <w:jc w:val="both"/>
        <w:rPr>
          <w:rFonts w:ascii="Verdana" w:hAnsi="Verdana"/>
          <w:sz w:val="24"/>
          <w:szCs w:val="24"/>
        </w:rPr>
      </w:pPr>
    </w:p>
    <w:p w:rsidR="00AD2BDA" w:rsidP="00AD2BDA" w:rsidRDefault="00AD2BDA" w14:paraId="5F4BAA0C" w14:textId="77777777">
      <w:pPr>
        <w:spacing w:after="0" w:line="360" w:lineRule="auto"/>
        <w:jc w:val="both"/>
        <w:rPr>
          <w:rFonts w:ascii="Verdana" w:hAnsi="Verdana"/>
          <w:sz w:val="24"/>
          <w:szCs w:val="24"/>
        </w:rPr>
      </w:pPr>
      <w:r w:rsidRPr="00AD2BDA">
        <w:rPr>
          <w:rFonts w:ascii="Verdana" w:hAnsi="Verdana"/>
          <w:sz w:val="24"/>
          <w:szCs w:val="24"/>
        </w:rPr>
        <w:t>La intranet integró contenidos relacionados con Gestión del Conocimiento e Innovación, bienestar, transparencia, ética, voluntariado y noticias de interés, consolidándose como un canal de acceso y circulación del conocimiento institucional. </w:t>
      </w:r>
    </w:p>
    <w:p w:rsidR="009A1998" w:rsidP="00AD2BDA" w:rsidRDefault="009A1998" w14:paraId="600860AA" w14:textId="77777777">
      <w:pPr>
        <w:spacing w:after="0" w:line="360" w:lineRule="auto"/>
        <w:jc w:val="both"/>
        <w:rPr>
          <w:rFonts w:ascii="Verdana" w:hAnsi="Verdana"/>
          <w:sz w:val="24"/>
          <w:szCs w:val="24"/>
        </w:rPr>
      </w:pPr>
    </w:p>
    <w:p w:rsidR="620A7E17" w:rsidP="620A7E17" w:rsidRDefault="620A7E17" w14:paraId="011B00DF" w14:textId="468A2D78">
      <w:pPr>
        <w:spacing w:after="0" w:line="360" w:lineRule="auto"/>
        <w:jc w:val="both"/>
        <w:rPr>
          <w:rFonts w:ascii="Verdana" w:hAnsi="Verdana"/>
          <w:sz w:val="24"/>
          <w:szCs w:val="24"/>
        </w:rPr>
      </w:pPr>
    </w:p>
    <w:p w:rsidR="620A7E17" w:rsidP="620A7E17" w:rsidRDefault="620A7E17" w14:paraId="67CAD2BB" w14:textId="4E3F87FB">
      <w:pPr>
        <w:spacing w:after="0" w:line="360" w:lineRule="auto"/>
        <w:jc w:val="both"/>
        <w:rPr>
          <w:rFonts w:ascii="Verdana" w:hAnsi="Verdana"/>
          <w:sz w:val="24"/>
          <w:szCs w:val="24"/>
        </w:rPr>
      </w:pPr>
    </w:p>
    <w:p w:rsidR="620A7E17" w:rsidP="620A7E17" w:rsidRDefault="620A7E17" w14:paraId="318257FA" w14:textId="71F3AB01">
      <w:pPr>
        <w:spacing w:after="0" w:line="360" w:lineRule="auto"/>
        <w:jc w:val="both"/>
        <w:rPr>
          <w:rFonts w:ascii="Verdana" w:hAnsi="Verdana"/>
          <w:sz w:val="24"/>
          <w:szCs w:val="24"/>
        </w:rPr>
      </w:pPr>
    </w:p>
    <w:p w:rsidR="620A7E17" w:rsidP="620A7E17" w:rsidRDefault="620A7E17" w14:paraId="7E871463" w14:textId="39B056A5">
      <w:pPr>
        <w:spacing w:after="0" w:line="360" w:lineRule="auto"/>
        <w:jc w:val="both"/>
        <w:rPr>
          <w:rFonts w:ascii="Verdana" w:hAnsi="Verdana"/>
          <w:sz w:val="24"/>
          <w:szCs w:val="24"/>
        </w:rPr>
      </w:pPr>
    </w:p>
    <w:p w:rsidR="620A7E17" w:rsidP="620A7E17" w:rsidRDefault="620A7E17" w14:paraId="7E854476" w14:textId="3C18DB9E">
      <w:pPr>
        <w:spacing w:after="0" w:line="360" w:lineRule="auto"/>
        <w:jc w:val="both"/>
        <w:rPr>
          <w:rFonts w:ascii="Verdana" w:hAnsi="Verdana"/>
          <w:sz w:val="24"/>
          <w:szCs w:val="24"/>
        </w:rPr>
      </w:pPr>
    </w:p>
    <w:p w:rsidR="620A7E17" w:rsidP="620A7E17" w:rsidRDefault="620A7E17" w14:paraId="4FF1A5F3" w14:textId="67D83CFB">
      <w:pPr>
        <w:spacing w:after="0" w:line="360" w:lineRule="auto"/>
        <w:jc w:val="both"/>
        <w:rPr>
          <w:rFonts w:ascii="Verdana" w:hAnsi="Verdana"/>
          <w:sz w:val="24"/>
          <w:szCs w:val="24"/>
        </w:rPr>
      </w:pPr>
    </w:p>
    <w:p w:rsidR="620A7E17" w:rsidP="620A7E17" w:rsidRDefault="620A7E17" w14:paraId="48B0D517" w14:textId="6884244E">
      <w:pPr>
        <w:spacing w:after="0" w:line="360" w:lineRule="auto"/>
        <w:jc w:val="both"/>
        <w:rPr>
          <w:rFonts w:ascii="Verdana" w:hAnsi="Verdana"/>
          <w:sz w:val="24"/>
          <w:szCs w:val="24"/>
        </w:rPr>
      </w:pPr>
    </w:p>
    <w:p w:rsidRPr="009A1998" w:rsidR="009A1998" w:rsidP="009A1998" w:rsidRDefault="009A1998" w14:paraId="5F8A3298" w14:textId="26F1F515">
      <w:pPr>
        <w:spacing w:after="0" w:line="240" w:lineRule="auto"/>
        <w:jc w:val="center"/>
        <w:rPr>
          <w:rFonts w:ascii="Verdana" w:hAnsi="Verdana"/>
          <w:sz w:val="18"/>
          <w:szCs w:val="18"/>
        </w:rPr>
      </w:pPr>
      <w:r w:rsidRPr="009A1998">
        <w:rPr>
          <w:rFonts w:ascii="Verdana" w:hAnsi="Verdana"/>
          <w:sz w:val="18"/>
          <w:szCs w:val="18"/>
        </w:rPr>
        <w:t>Imagen No. 19. Intranet</w:t>
      </w:r>
    </w:p>
    <w:p w:rsidRPr="009A1998" w:rsidR="001A0226" w:rsidP="009A1998" w:rsidRDefault="009A1998" w14:paraId="41DB351E" w14:textId="61A3F744">
      <w:pPr>
        <w:spacing w:after="0" w:line="240" w:lineRule="auto"/>
        <w:jc w:val="center"/>
        <w:rPr>
          <w:rFonts w:ascii="Verdana" w:hAnsi="Verdana"/>
          <w:sz w:val="18"/>
          <w:szCs w:val="18"/>
        </w:rPr>
      </w:pPr>
      <w:r w:rsidRPr="009A1998">
        <w:rPr>
          <w:noProof/>
          <w:sz w:val="18"/>
          <w:szCs w:val="18"/>
        </w:rPr>
        <w:drawing>
          <wp:inline distT="0" distB="0" distL="0" distR="0" wp14:anchorId="1C86586F" wp14:editId="3A0BED1D">
            <wp:extent cx="2847975" cy="2847975"/>
            <wp:effectExtent l="19050" t="19050" r="28575" b="28575"/>
            <wp:docPr id="1247821347"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47975" cy="2847975"/>
                    </a:xfrm>
                    <a:prstGeom prst="rect">
                      <a:avLst/>
                    </a:prstGeom>
                    <a:noFill/>
                    <a:ln>
                      <a:solidFill>
                        <a:schemeClr val="tx1"/>
                      </a:solidFill>
                    </a:ln>
                  </pic:spPr>
                </pic:pic>
              </a:graphicData>
            </a:graphic>
          </wp:inline>
        </w:drawing>
      </w:r>
    </w:p>
    <w:p w:rsidRPr="009A1998" w:rsidR="00AD2BDA" w:rsidP="009A1998" w:rsidRDefault="00AD2BDA" w14:paraId="00B758DE" w14:textId="094C9FD9">
      <w:pPr>
        <w:spacing w:after="0" w:line="240" w:lineRule="auto"/>
        <w:jc w:val="center"/>
        <w:rPr>
          <w:rFonts w:ascii="Verdana" w:hAnsi="Verdana"/>
          <w:sz w:val="18"/>
          <w:szCs w:val="18"/>
        </w:rPr>
      </w:pPr>
      <w:r w:rsidRPr="009A1998">
        <w:rPr>
          <w:rFonts w:ascii="Verdana" w:hAnsi="Verdana"/>
          <w:sz w:val="18"/>
          <w:szCs w:val="18"/>
        </w:rPr>
        <w:t>Fuente: Captura tomada del correo institucional para el lanzamiento de la Intranet 2022.</w:t>
      </w:r>
    </w:p>
    <w:p w:rsidRPr="00AD2BDA" w:rsidR="00AD2BDA" w:rsidP="00AD2BDA" w:rsidRDefault="00AD2BDA" w14:paraId="14D8E9E8" w14:textId="77777777">
      <w:pPr>
        <w:spacing w:after="0" w:line="360" w:lineRule="auto"/>
        <w:jc w:val="both"/>
        <w:rPr>
          <w:rFonts w:ascii="Verdana" w:hAnsi="Verdana"/>
          <w:sz w:val="24"/>
          <w:szCs w:val="24"/>
        </w:rPr>
      </w:pPr>
      <w:r w:rsidRPr="00AD2BDA">
        <w:rPr>
          <w:rFonts w:ascii="Verdana" w:hAnsi="Verdana"/>
          <w:sz w:val="24"/>
          <w:szCs w:val="24"/>
        </w:rPr>
        <w:t> </w:t>
      </w:r>
    </w:p>
    <w:p w:rsidRPr="00AD2BDA" w:rsidR="00AD2BDA" w:rsidP="620A7E17" w:rsidRDefault="28F12D9C" w14:paraId="145E2782" w14:textId="2D386C9C">
      <w:pPr>
        <w:spacing w:after="0" w:line="360" w:lineRule="auto"/>
        <w:jc w:val="both"/>
        <w:rPr>
          <w:rFonts w:ascii="Verdana" w:hAnsi="Verdana"/>
          <w:sz w:val="24"/>
          <w:szCs w:val="24"/>
        </w:rPr>
      </w:pPr>
      <w:r w:rsidRPr="620A7E17">
        <w:rPr>
          <w:rFonts w:ascii="Verdana" w:hAnsi="Verdana"/>
          <w:b/>
          <w:bCs/>
          <w:sz w:val="24"/>
          <w:szCs w:val="24"/>
        </w:rPr>
        <w:t>Primera versión del Manual de Gestión del Conocimiento y la Innovación</w:t>
      </w:r>
      <w:r w:rsidRPr="620A7E17" w:rsidR="6D7FD10C">
        <w:rPr>
          <w:rFonts w:ascii="Verdana" w:hAnsi="Verdana"/>
          <w:b/>
          <w:bCs/>
          <w:sz w:val="24"/>
          <w:szCs w:val="24"/>
        </w:rPr>
        <w:t>:</w:t>
      </w:r>
      <w:r w:rsidRPr="620A7E17" w:rsidR="6D7FD10C">
        <w:rPr>
          <w:rFonts w:ascii="Verdana" w:hAnsi="Verdana"/>
          <w:sz w:val="24"/>
          <w:szCs w:val="24"/>
        </w:rPr>
        <w:t xml:space="preserve"> c</w:t>
      </w:r>
      <w:r w:rsidRPr="620A7E17">
        <w:rPr>
          <w:rFonts w:ascii="Verdana" w:hAnsi="Verdana"/>
          <w:sz w:val="24"/>
          <w:szCs w:val="24"/>
        </w:rPr>
        <w:t xml:space="preserve">omo resultado del proceso de estructuración metodológica adelantado durante la vigencia, se consolidó la primera versión del Manual de Gestión del Conocimiento y la Innovación del Ministerio de Minas y Energía. Este documento estableció lineamientos orientadores para la </w:t>
      </w:r>
      <w:r w:rsidRPr="620A7E17">
        <w:rPr>
          <w:rFonts w:ascii="Verdana" w:hAnsi="Verdana"/>
          <w:sz w:val="24"/>
          <w:szCs w:val="24"/>
        </w:rPr>
        <w:t>implementación de iniciativas y proyectos asociados a la política institucional, contribuyendo a fortalecer la sostenibilidad, articulación y crecimiento de las acciones de Gestión del Conocimiento e Innovación en la entidad. </w:t>
      </w:r>
    </w:p>
    <w:p w:rsidR="00AD2BDA" w:rsidP="00AD2BDA" w:rsidRDefault="00AD2BDA" w14:paraId="7B1E7379" w14:textId="22C6700C">
      <w:pPr>
        <w:spacing w:after="0" w:line="360" w:lineRule="auto"/>
        <w:jc w:val="both"/>
        <w:rPr>
          <w:rFonts w:ascii="Verdana" w:hAnsi="Verdana"/>
          <w:sz w:val="24"/>
          <w:szCs w:val="24"/>
        </w:rPr>
      </w:pPr>
    </w:p>
    <w:p w:rsidRPr="009A1998" w:rsidR="009A1998" w:rsidP="009A1998" w:rsidRDefault="009A1998" w14:paraId="77163BE6" w14:textId="782B01F5">
      <w:pPr>
        <w:spacing w:after="0" w:line="240" w:lineRule="auto"/>
        <w:jc w:val="center"/>
        <w:rPr>
          <w:rFonts w:ascii="Verdana" w:hAnsi="Verdana"/>
          <w:sz w:val="18"/>
          <w:szCs w:val="18"/>
        </w:rPr>
      </w:pPr>
      <w:r w:rsidRPr="009A1998">
        <w:rPr>
          <w:rFonts w:ascii="Verdana" w:hAnsi="Verdana"/>
          <w:sz w:val="18"/>
          <w:szCs w:val="18"/>
        </w:rPr>
        <w:t>Imagen No. 20. Primera versión del Manual de Gestión del Conocimiento y la Innovación</w:t>
      </w:r>
    </w:p>
    <w:p w:rsidRPr="009A1998" w:rsidR="00AD2BDA" w:rsidP="009A1998" w:rsidRDefault="009A1998" w14:paraId="5A40F393" w14:textId="301C2351">
      <w:pPr>
        <w:spacing w:after="0" w:line="240" w:lineRule="auto"/>
        <w:jc w:val="center"/>
        <w:rPr>
          <w:rFonts w:ascii="Verdana" w:hAnsi="Verdana"/>
          <w:sz w:val="18"/>
          <w:szCs w:val="18"/>
        </w:rPr>
      </w:pPr>
      <w:r w:rsidRPr="009A1998">
        <w:rPr>
          <w:rFonts w:ascii="Verdana" w:hAnsi="Verdana"/>
          <w:noProof/>
          <w:sz w:val="18"/>
          <w:szCs w:val="18"/>
        </w:rPr>
        <w:drawing>
          <wp:inline distT="0" distB="0" distL="0" distR="0" wp14:anchorId="55E239F9" wp14:editId="1E3374D8">
            <wp:extent cx="1724025" cy="2266950"/>
            <wp:effectExtent l="0" t="0" r="9525" b="0"/>
            <wp:docPr id="1006841594"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724025" cy="2266950"/>
                    </a:xfrm>
                    <a:prstGeom prst="rect">
                      <a:avLst/>
                    </a:prstGeom>
                    <a:noFill/>
                    <a:ln>
                      <a:noFill/>
                    </a:ln>
                  </pic:spPr>
                </pic:pic>
              </a:graphicData>
            </a:graphic>
          </wp:inline>
        </w:drawing>
      </w:r>
      <w:r w:rsidRPr="009A1998">
        <w:rPr>
          <w:rFonts w:ascii="Verdana" w:hAnsi="Verdana"/>
          <w:noProof/>
          <w:sz w:val="18"/>
          <w:szCs w:val="18"/>
        </w:rPr>
        <w:drawing>
          <wp:inline distT="0" distB="0" distL="0" distR="0" wp14:anchorId="62D6FB2B" wp14:editId="34FDDAE1">
            <wp:extent cx="1743075" cy="2276475"/>
            <wp:effectExtent l="0" t="0" r="9525" b="9525"/>
            <wp:docPr id="315330408"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743075" cy="2276475"/>
                    </a:xfrm>
                    <a:prstGeom prst="rect">
                      <a:avLst/>
                    </a:prstGeom>
                    <a:noFill/>
                    <a:ln>
                      <a:noFill/>
                    </a:ln>
                  </pic:spPr>
                </pic:pic>
              </a:graphicData>
            </a:graphic>
          </wp:inline>
        </w:drawing>
      </w:r>
      <w:r w:rsidRPr="009A1998">
        <w:rPr>
          <w:rFonts w:ascii="Verdana" w:hAnsi="Verdana"/>
          <w:noProof/>
          <w:sz w:val="18"/>
          <w:szCs w:val="18"/>
        </w:rPr>
        <w:drawing>
          <wp:inline distT="0" distB="0" distL="0" distR="0" wp14:anchorId="6C6E882B" wp14:editId="7BEAEEAC">
            <wp:extent cx="1762125" cy="2286000"/>
            <wp:effectExtent l="0" t="0" r="9525" b="0"/>
            <wp:docPr id="90232865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762125" cy="2286000"/>
                    </a:xfrm>
                    <a:prstGeom prst="rect">
                      <a:avLst/>
                    </a:prstGeom>
                    <a:noFill/>
                    <a:ln>
                      <a:noFill/>
                    </a:ln>
                  </pic:spPr>
                </pic:pic>
              </a:graphicData>
            </a:graphic>
          </wp:inline>
        </w:drawing>
      </w:r>
    </w:p>
    <w:p w:rsidRPr="009A1998" w:rsidR="00AD2BDA" w:rsidP="009A1998" w:rsidRDefault="00AD2BDA" w14:paraId="41C7219C" w14:textId="51906769">
      <w:pPr>
        <w:spacing w:after="0" w:line="360" w:lineRule="auto"/>
        <w:jc w:val="center"/>
        <w:rPr>
          <w:rFonts w:ascii="Verdana" w:hAnsi="Verdana"/>
          <w:sz w:val="18"/>
          <w:szCs w:val="18"/>
        </w:rPr>
      </w:pPr>
      <w:r w:rsidRPr="009A1998">
        <w:rPr>
          <w:rFonts w:ascii="Verdana" w:hAnsi="Verdana"/>
          <w:sz w:val="18"/>
          <w:szCs w:val="18"/>
        </w:rPr>
        <w:t>Fuente: Capturas tomadas de la primera versión del Manual en el 2022.</w:t>
      </w:r>
    </w:p>
    <w:p w:rsidRPr="00AD2BDA" w:rsidR="00AD2BDA" w:rsidP="005358E1" w:rsidRDefault="00AD2BDA" w14:paraId="0F61315F" w14:textId="77777777">
      <w:pPr>
        <w:spacing w:after="0" w:line="360" w:lineRule="auto"/>
        <w:jc w:val="both"/>
        <w:rPr>
          <w:rFonts w:ascii="Verdana" w:hAnsi="Verdana"/>
          <w:sz w:val="24"/>
          <w:szCs w:val="24"/>
        </w:rPr>
      </w:pPr>
      <w:r w:rsidRPr="00AD2BDA">
        <w:rPr>
          <w:rFonts w:ascii="Verdana" w:hAnsi="Verdana"/>
          <w:sz w:val="24"/>
          <w:szCs w:val="24"/>
        </w:rPr>
        <w:t> </w:t>
      </w:r>
    </w:p>
    <w:p w:rsidRPr="009A1998" w:rsidR="00AD2BDA" w:rsidRDefault="00AD2BDA" w14:paraId="1EAFB8DE" w14:textId="6945C8FD">
      <w:pPr>
        <w:pStyle w:val="Prrafodelista"/>
        <w:numPr>
          <w:ilvl w:val="2"/>
          <w:numId w:val="95"/>
        </w:numPr>
        <w:spacing w:after="0" w:line="360" w:lineRule="auto"/>
        <w:jc w:val="both"/>
        <w:rPr>
          <w:rFonts w:ascii="Verdana" w:hAnsi="Verdana"/>
          <w:b/>
          <w:bCs/>
          <w:sz w:val="24"/>
          <w:szCs w:val="24"/>
        </w:rPr>
      </w:pPr>
      <w:r w:rsidRPr="009A1998">
        <w:rPr>
          <w:rFonts w:ascii="Verdana" w:hAnsi="Verdana"/>
          <w:b/>
          <w:bCs/>
          <w:sz w:val="24"/>
          <w:szCs w:val="24"/>
        </w:rPr>
        <w:t>Consolidación de herramientas y apropiación de la cultura innovadora </w:t>
      </w:r>
    </w:p>
    <w:p w:rsidRPr="00AD2BDA" w:rsidR="00AD2BDA" w:rsidP="005358E1" w:rsidRDefault="00AD2BDA" w14:paraId="5653EEB2" w14:textId="77777777">
      <w:pPr>
        <w:spacing w:after="0" w:line="360" w:lineRule="auto"/>
        <w:jc w:val="both"/>
        <w:rPr>
          <w:rFonts w:ascii="Verdana" w:hAnsi="Verdana"/>
          <w:sz w:val="24"/>
          <w:szCs w:val="24"/>
        </w:rPr>
      </w:pPr>
      <w:r w:rsidRPr="00AD2BDA">
        <w:rPr>
          <w:rFonts w:ascii="Verdana" w:hAnsi="Verdana"/>
          <w:sz w:val="24"/>
          <w:szCs w:val="24"/>
        </w:rPr>
        <w:t> </w:t>
      </w:r>
    </w:p>
    <w:p w:rsidRPr="00AD2BDA" w:rsidR="00AD2BDA" w:rsidP="005358E1" w:rsidRDefault="00AD2BDA" w14:paraId="6CF8F888" w14:textId="77777777">
      <w:pPr>
        <w:spacing w:after="0" w:line="360" w:lineRule="auto"/>
        <w:jc w:val="both"/>
        <w:rPr>
          <w:rFonts w:ascii="Verdana" w:hAnsi="Verdana"/>
          <w:sz w:val="24"/>
          <w:szCs w:val="24"/>
        </w:rPr>
      </w:pPr>
      <w:r w:rsidRPr="00AD2BDA">
        <w:rPr>
          <w:rFonts w:ascii="Verdana" w:hAnsi="Verdana"/>
          <w:sz w:val="24"/>
          <w:szCs w:val="24"/>
        </w:rPr>
        <w:t>Durante la vigencia 2023, el Ministerio de Minas y Energía orientó sus esfuerzos a consolidar las herramientas metodológicas y espacios diseñados en la fase inicial de implementación de la Política de Gestión del Conocimiento y la Innovación, promoviendo la apropiación de una cultura innovadora al interior de la entidad. </w:t>
      </w:r>
    </w:p>
    <w:p w:rsidRPr="00AD2BDA" w:rsidR="00AD2BDA" w:rsidP="005358E1" w:rsidRDefault="00AD2BDA" w14:paraId="26635964" w14:textId="77777777">
      <w:pPr>
        <w:spacing w:after="0" w:line="360" w:lineRule="auto"/>
        <w:jc w:val="both"/>
        <w:rPr>
          <w:rFonts w:ascii="Verdana" w:hAnsi="Verdana"/>
          <w:sz w:val="24"/>
          <w:szCs w:val="24"/>
        </w:rPr>
      </w:pPr>
      <w:r w:rsidRPr="00AD2BDA">
        <w:rPr>
          <w:rFonts w:ascii="Verdana" w:hAnsi="Verdana"/>
          <w:sz w:val="24"/>
          <w:szCs w:val="24"/>
        </w:rPr>
        <w:t> </w:t>
      </w:r>
    </w:p>
    <w:p w:rsidRPr="00AD2BDA" w:rsidR="00AD2BDA" w:rsidP="005358E1" w:rsidRDefault="28F12D9C" w14:paraId="4C691F07" w14:textId="2714286E">
      <w:pPr>
        <w:spacing w:after="0" w:line="360" w:lineRule="auto"/>
        <w:jc w:val="both"/>
        <w:rPr>
          <w:rFonts w:ascii="Verdana" w:hAnsi="Verdana"/>
          <w:sz w:val="24"/>
          <w:szCs w:val="24"/>
        </w:rPr>
      </w:pPr>
      <w:r w:rsidRPr="620A7E17">
        <w:rPr>
          <w:rFonts w:ascii="Verdana" w:hAnsi="Verdana"/>
          <w:sz w:val="24"/>
          <w:szCs w:val="24"/>
        </w:rPr>
        <w:t>La estrategia liderada desde la Subdirección de Talento Humano y la Secretar</w:t>
      </w:r>
      <w:r w:rsidRPr="620A7E17" w:rsidR="6DAE45C1">
        <w:rPr>
          <w:rFonts w:ascii="Verdana" w:hAnsi="Verdana"/>
          <w:sz w:val="24"/>
          <w:szCs w:val="24"/>
        </w:rPr>
        <w:t>í</w:t>
      </w:r>
      <w:r w:rsidRPr="620A7E17">
        <w:rPr>
          <w:rFonts w:ascii="Verdana" w:hAnsi="Verdana"/>
          <w:sz w:val="24"/>
          <w:szCs w:val="24"/>
        </w:rPr>
        <w:t>a</w:t>
      </w:r>
      <w:r w:rsidRPr="620A7E17" w:rsidR="4B42F103">
        <w:rPr>
          <w:rFonts w:ascii="Verdana" w:hAnsi="Verdana"/>
          <w:sz w:val="24"/>
          <w:szCs w:val="24"/>
        </w:rPr>
        <w:t xml:space="preserve"> </w:t>
      </w:r>
      <w:r w:rsidRPr="620A7E17">
        <w:rPr>
          <w:rFonts w:ascii="Verdana" w:hAnsi="Verdana"/>
          <w:sz w:val="24"/>
          <w:szCs w:val="24"/>
        </w:rPr>
        <w:t>General, buscó fortalecer capacidades institucionales, incentivar la participación de servidores y colaboradores, y posicionar la innovación como un proceso transversal enfocado en la generación de valor público. Bajo el mensaje institucional: </w:t>
      </w:r>
      <w:r w:rsidRPr="620A7E17">
        <w:rPr>
          <w:rFonts w:ascii="Verdana" w:hAnsi="Verdana"/>
          <w:i/>
          <w:iCs/>
          <w:sz w:val="24"/>
          <w:szCs w:val="24"/>
        </w:rPr>
        <w:t xml:space="preserve">“Innovar no es el resultado </w:t>
      </w:r>
      <w:r w:rsidRPr="620A7E17">
        <w:rPr>
          <w:rFonts w:ascii="Verdana" w:hAnsi="Verdana"/>
          <w:i/>
          <w:iCs/>
          <w:sz w:val="24"/>
          <w:szCs w:val="24"/>
        </w:rPr>
        <w:t>de una costosa investigación para el desarrollo de nuevas tecnologías; innovar es el proceso de generar valor en lo existente, es transformar”</w:t>
      </w:r>
      <w:r w:rsidRPr="620A7E17">
        <w:rPr>
          <w:rFonts w:ascii="Verdana" w:hAnsi="Verdana"/>
          <w:sz w:val="24"/>
          <w:szCs w:val="24"/>
        </w:rPr>
        <w:t>, se adelantaron acciones orientadas a sensibilizar y movilizar a los equipos de trabajo hacia prácticas colaborativas, creativas y de mejora continua. </w:t>
      </w:r>
    </w:p>
    <w:p w:rsidRPr="00AD2BDA" w:rsidR="00AD2BDA" w:rsidP="005358E1" w:rsidRDefault="00AD2BDA" w14:paraId="77D8373E" w14:textId="77777777">
      <w:pPr>
        <w:spacing w:after="0" w:line="360" w:lineRule="auto"/>
        <w:jc w:val="both"/>
        <w:rPr>
          <w:rFonts w:ascii="Verdana" w:hAnsi="Verdana"/>
          <w:sz w:val="24"/>
          <w:szCs w:val="24"/>
        </w:rPr>
      </w:pPr>
      <w:r w:rsidRPr="00AD2BDA">
        <w:rPr>
          <w:rFonts w:ascii="Verdana" w:hAnsi="Verdana"/>
          <w:sz w:val="24"/>
          <w:szCs w:val="24"/>
        </w:rPr>
        <w:t> </w:t>
      </w:r>
    </w:p>
    <w:p w:rsidRPr="00AD2BDA" w:rsidR="00AD2BDA" w:rsidP="620A7E17" w:rsidRDefault="28F12D9C" w14:paraId="23A96FE6" w14:textId="0DD47BB8">
      <w:pPr>
        <w:spacing w:after="0" w:line="360" w:lineRule="auto"/>
        <w:jc w:val="both"/>
        <w:rPr>
          <w:rFonts w:ascii="Verdana" w:hAnsi="Verdana"/>
          <w:sz w:val="24"/>
          <w:szCs w:val="24"/>
        </w:rPr>
      </w:pPr>
      <w:r w:rsidRPr="620A7E17">
        <w:rPr>
          <w:rFonts w:ascii="Verdana" w:hAnsi="Verdana"/>
          <w:b/>
          <w:bCs/>
          <w:sz w:val="24"/>
          <w:szCs w:val="24"/>
        </w:rPr>
        <w:t>Consolidación de la Caja de Herramientas de Gestión del Conocimiento e Innovación</w:t>
      </w:r>
      <w:r w:rsidRPr="620A7E17" w:rsidR="1DB2662F">
        <w:rPr>
          <w:rFonts w:ascii="Verdana" w:hAnsi="Verdana"/>
          <w:b/>
          <w:bCs/>
          <w:sz w:val="24"/>
          <w:szCs w:val="24"/>
        </w:rPr>
        <w:t>:</w:t>
      </w:r>
      <w:r w:rsidRPr="620A7E17" w:rsidR="1DB2662F">
        <w:rPr>
          <w:rFonts w:ascii="Verdana" w:hAnsi="Verdana"/>
          <w:sz w:val="24"/>
          <w:szCs w:val="24"/>
        </w:rPr>
        <w:t xml:space="preserve"> d</w:t>
      </w:r>
      <w:r w:rsidRPr="620A7E17">
        <w:rPr>
          <w:rFonts w:ascii="Verdana" w:hAnsi="Verdana"/>
          <w:sz w:val="24"/>
          <w:szCs w:val="24"/>
        </w:rPr>
        <w:t>urante esta vigencia se desarrolló y estructuró el contenido integral de la Caja de Herramientas de Gestión del Conocimiento e Innovación, consolidándola como un instrumento metodológico para orientar la apropiación institucional de la política. La herramienta integró: </w:t>
      </w:r>
    </w:p>
    <w:p w:rsidRPr="00AD2BDA" w:rsidR="00AD2BDA" w:rsidP="005358E1" w:rsidRDefault="00AD2BDA" w14:paraId="363692DD" w14:textId="77777777">
      <w:pPr>
        <w:spacing w:after="0" w:line="360" w:lineRule="auto"/>
        <w:jc w:val="both"/>
        <w:rPr>
          <w:rFonts w:ascii="Verdana" w:hAnsi="Verdana"/>
          <w:sz w:val="24"/>
          <w:szCs w:val="24"/>
        </w:rPr>
      </w:pPr>
      <w:r w:rsidRPr="00AD2BDA">
        <w:rPr>
          <w:rFonts w:ascii="Verdana" w:hAnsi="Verdana"/>
          <w:sz w:val="24"/>
          <w:szCs w:val="24"/>
        </w:rPr>
        <w:t> </w:t>
      </w:r>
    </w:p>
    <w:p w:rsidRPr="00AD2BDA" w:rsidR="00AD2BDA" w:rsidRDefault="00AD2BDA" w14:paraId="66ACF502" w14:textId="77777777">
      <w:pPr>
        <w:numPr>
          <w:ilvl w:val="0"/>
          <w:numId w:val="117"/>
        </w:numPr>
        <w:spacing w:after="0" w:line="360" w:lineRule="auto"/>
        <w:jc w:val="both"/>
        <w:rPr>
          <w:rFonts w:ascii="Verdana" w:hAnsi="Verdana"/>
          <w:sz w:val="24"/>
          <w:szCs w:val="24"/>
        </w:rPr>
      </w:pPr>
      <w:r w:rsidRPr="00AD2BDA">
        <w:rPr>
          <w:rFonts w:ascii="Verdana" w:hAnsi="Verdana"/>
          <w:sz w:val="24"/>
          <w:szCs w:val="24"/>
        </w:rPr>
        <w:t>El Manual de Gestión del Conocimiento y la Innovación. </w:t>
      </w:r>
    </w:p>
    <w:p w:rsidRPr="00AD2BDA" w:rsidR="00AD2BDA" w:rsidRDefault="00AD2BDA" w14:paraId="14404DEF" w14:textId="77777777">
      <w:pPr>
        <w:numPr>
          <w:ilvl w:val="0"/>
          <w:numId w:val="118"/>
        </w:numPr>
        <w:spacing w:after="0" w:line="360" w:lineRule="auto"/>
        <w:jc w:val="both"/>
        <w:rPr>
          <w:rFonts w:ascii="Verdana" w:hAnsi="Verdana"/>
          <w:sz w:val="24"/>
          <w:szCs w:val="24"/>
        </w:rPr>
      </w:pPr>
      <w:r w:rsidRPr="00AD2BDA">
        <w:rPr>
          <w:rFonts w:ascii="Verdana" w:hAnsi="Verdana"/>
          <w:sz w:val="24"/>
          <w:szCs w:val="24"/>
        </w:rPr>
        <w:t>Guías para acceder y utilizar Moodle y el Repositorio Digital. </w:t>
      </w:r>
    </w:p>
    <w:p w:rsidRPr="00AD2BDA" w:rsidR="00AD2BDA" w:rsidRDefault="00AD2BDA" w14:paraId="01FA7523" w14:textId="77777777">
      <w:pPr>
        <w:numPr>
          <w:ilvl w:val="0"/>
          <w:numId w:val="119"/>
        </w:numPr>
        <w:spacing w:after="0" w:line="360" w:lineRule="auto"/>
        <w:jc w:val="both"/>
        <w:rPr>
          <w:rFonts w:ascii="Verdana" w:hAnsi="Verdana"/>
          <w:sz w:val="24"/>
          <w:szCs w:val="24"/>
        </w:rPr>
      </w:pPr>
      <w:r w:rsidRPr="00AD2BDA">
        <w:rPr>
          <w:rFonts w:ascii="Verdana" w:hAnsi="Verdana"/>
          <w:sz w:val="24"/>
          <w:szCs w:val="24"/>
        </w:rPr>
        <w:t>Lineamientos para promover acciones innovadoras en el entorno laboral. </w:t>
      </w:r>
    </w:p>
    <w:p w:rsidRPr="00AD2BDA" w:rsidR="00AD2BDA" w:rsidRDefault="00AD2BDA" w14:paraId="006C72BF" w14:textId="77777777">
      <w:pPr>
        <w:numPr>
          <w:ilvl w:val="0"/>
          <w:numId w:val="120"/>
        </w:numPr>
        <w:spacing w:after="0" w:line="360" w:lineRule="auto"/>
        <w:jc w:val="both"/>
        <w:rPr>
          <w:rFonts w:ascii="Verdana" w:hAnsi="Verdana"/>
          <w:sz w:val="24"/>
          <w:szCs w:val="24"/>
        </w:rPr>
      </w:pPr>
      <w:r w:rsidRPr="00AD2BDA">
        <w:rPr>
          <w:rFonts w:ascii="Verdana" w:hAnsi="Verdana"/>
          <w:sz w:val="24"/>
          <w:szCs w:val="24"/>
        </w:rPr>
        <w:t>Recursos orientados a fortalecer la transferencia y apropiación del conocimiento. </w:t>
      </w:r>
    </w:p>
    <w:p w:rsidRPr="00AD2BDA" w:rsidR="00AD2BDA" w:rsidP="005358E1" w:rsidRDefault="00AD2BDA" w14:paraId="5B7AB140" w14:textId="77777777">
      <w:pPr>
        <w:spacing w:after="0" w:line="360" w:lineRule="auto"/>
        <w:jc w:val="both"/>
        <w:rPr>
          <w:rFonts w:ascii="Verdana" w:hAnsi="Verdana"/>
          <w:sz w:val="24"/>
          <w:szCs w:val="24"/>
        </w:rPr>
      </w:pPr>
      <w:r w:rsidRPr="00AD2BDA">
        <w:rPr>
          <w:rFonts w:ascii="Verdana" w:hAnsi="Verdana"/>
          <w:sz w:val="24"/>
          <w:szCs w:val="24"/>
        </w:rPr>
        <w:t> </w:t>
      </w:r>
    </w:p>
    <w:p w:rsidRPr="00AD2BDA" w:rsidR="00AD2BDA" w:rsidP="005358E1" w:rsidRDefault="00AD2BDA" w14:paraId="0CEEC701" w14:textId="77777777">
      <w:pPr>
        <w:spacing w:after="0" w:line="360" w:lineRule="auto"/>
        <w:jc w:val="both"/>
        <w:rPr>
          <w:rFonts w:ascii="Verdana" w:hAnsi="Verdana"/>
          <w:sz w:val="24"/>
          <w:szCs w:val="24"/>
        </w:rPr>
      </w:pPr>
      <w:r w:rsidRPr="00AD2BDA">
        <w:rPr>
          <w:rFonts w:ascii="Verdana" w:hAnsi="Verdana"/>
          <w:sz w:val="24"/>
          <w:szCs w:val="24"/>
        </w:rPr>
        <w:t>La Caja de Herramientas fue alojada en la sección de Gestión del Conocimiento e Innovación de la intranet institucional, facilitando el acceso y consulta por parte de servidores y colaboradores. </w:t>
      </w:r>
    </w:p>
    <w:p w:rsidR="00AD2BDA" w:rsidP="005358E1" w:rsidRDefault="00AD2BDA" w14:paraId="3F55212B" w14:textId="4527E822">
      <w:pPr>
        <w:spacing w:after="0" w:line="360" w:lineRule="auto"/>
        <w:jc w:val="both"/>
        <w:rPr>
          <w:rFonts w:ascii="Verdana" w:hAnsi="Verdana"/>
          <w:sz w:val="24"/>
          <w:szCs w:val="24"/>
        </w:rPr>
      </w:pPr>
    </w:p>
    <w:p w:rsidRPr="009A1998" w:rsidR="009A1998" w:rsidP="009A1998" w:rsidRDefault="009A1998" w14:paraId="2FA171DF" w14:textId="6A734462">
      <w:pPr>
        <w:spacing w:after="0" w:line="240" w:lineRule="auto"/>
        <w:jc w:val="center"/>
        <w:rPr>
          <w:rFonts w:ascii="Verdana" w:hAnsi="Verdana"/>
          <w:sz w:val="18"/>
          <w:szCs w:val="18"/>
        </w:rPr>
      </w:pPr>
      <w:r w:rsidRPr="009A1998">
        <w:rPr>
          <w:rFonts w:ascii="Verdana" w:hAnsi="Verdana"/>
          <w:sz w:val="18"/>
          <w:szCs w:val="18"/>
        </w:rPr>
        <w:t>Imagen No. 21. Caja de Herramientas, sección de Gestión del Conocimiento e Innovación</w:t>
      </w:r>
    </w:p>
    <w:p w:rsidRPr="009A1998" w:rsidR="009A1998" w:rsidP="009A1998" w:rsidRDefault="009A1998" w14:paraId="77E55BA8" w14:textId="7A2DA467">
      <w:pPr>
        <w:spacing w:after="0" w:line="240" w:lineRule="auto"/>
        <w:jc w:val="center"/>
        <w:rPr>
          <w:rFonts w:ascii="Verdana" w:hAnsi="Verdana"/>
          <w:sz w:val="18"/>
          <w:szCs w:val="18"/>
        </w:rPr>
      </w:pPr>
      <w:r w:rsidRPr="009A1998">
        <w:rPr>
          <w:rFonts w:ascii="Verdana" w:hAnsi="Verdana"/>
          <w:noProof/>
          <w:sz w:val="18"/>
          <w:szCs w:val="18"/>
        </w:rPr>
        <w:drawing>
          <wp:inline distT="0" distB="0" distL="0" distR="0" wp14:anchorId="76E671EC" wp14:editId="6C01EF75">
            <wp:extent cx="2657475" cy="1809750"/>
            <wp:effectExtent l="19050" t="19050" r="28575" b="19050"/>
            <wp:docPr id="1195949987"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57475" cy="1809750"/>
                    </a:xfrm>
                    <a:prstGeom prst="rect">
                      <a:avLst/>
                    </a:prstGeom>
                    <a:noFill/>
                    <a:ln>
                      <a:solidFill>
                        <a:schemeClr val="tx1"/>
                      </a:solidFill>
                    </a:ln>
                  </pic:spPr>
                </pic:pic>
              </a:graphicData>
            </a:graphic>
          </wp:inline>
        </w:drawing>
      </w:r>
      <w:r w:rsidRPr="009A1998">
        <w:rPr>
          <w:rFonts w:ascii="Verdana" w:hAnsi="Verdana"/>
          <w:noProof/>
          <w:sz w:val="18"/>
          <w:szCs w:val="18"/>
        </w:rPr>
        <w:drawing>
          <wp:inline distT="0" distB="0" distL="0" distR="0" wp14:anchorId="01AD73A2" wp14:editId="05846D40">
            <wp:extent cx="2590800" cy="1809750"/>
            <wp:effectExtent l="19050" t="19050" r="19050" b="19050"/>
            <wp:docPr id="1269429022"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590800" cy="1809750"/>
                    </a:xfrm>
                    <a:prstGeom prst="rect">
                      <a:avLst/>
                    </a:prstGeom>
                    <a:noFill/>
                    <a:ln>
                      <a:solidFill>
                        <a:schemeClr val="tx1"/>
                      </a:solidFill>
                    </a:ln>
                  </pic:spPr>
                </pic:pic>
              </a:graphicData>
            </a:graphic>
          </wp:inline>
        </w:drawing>
      </w:r>
    </w:p>
    <w:p w:rsidRPr="009A1998" w:rsidR="00AD2BDA" w:rsidP="009A1998" w:rsidRDefault="00AD2BDA" w14:paraId="7FCFF009" w14:textId="2578A391">
      <w:pPr>
        <w:spacing w:after="0" w:line="240" w:lineRule="auto"/>
        <w:jc w:val="center"/>
        <w:rPr>
          <w:rFonts w:ascii="Verdana" w:hAnsi="Verdana"/>
          <w:sz w:val="18"/>
          <w:szCs w:val="18"/>
        </w:rPr>
      </w:pPr>
      <w:r w:rsidRPr="009A1998">
        <w:rPr>
          <w:rFonts w:ascii="Verdana" w:hAnsi="Verdana"/>
          <w:sz w:val="18"/>
          <w:szCs w:val="18"/>
        </w:rPr>
        <w:t>Fuente: Captura tomada de la Página de la Intranet del Ministerio de Minas y Energía.</w:t>
      </w:r>
    </w:p>
    <w:p w:rsidRPr="00AD2BDA" w:rsidR="00AD2BDA" w:rsidP="005358E1" w:rsidRDefault="00AD2BDA" w14:paraId="673891DD" w14:textId="77777777">
      <w:pPr>
        <w:spacing w:after="0" w:line="360" w:lineRule="auto"/>
        <w:jc w:val="both"/>
        <w:rPr>
          <w:rFonts w:ascii="Verdana" w:hAnsi="Verdana"/>
          <w:sz w:val="24"/>
          <w:szCs w:val="24"/>
        </w:rPr>
      </w:pPr>
      <w:r w:rsidRPr="00AD2BDA">
        <w:rPr>
          <w:rFonts w:ascii="Verdana" w:hAnsi="Verdana"/>
          <w:sz w:val="24"/>
          <w:szCs w:val="24"/>
        </w:rPr>
        <w:t> </w:t>
      </w:r>
    </w:p>
    <w:p w:rsidRPr="00AD2BDA" w:rsidR="00AD2BDA" w:rsidP="620A7E17" w:rsidRDefault="28F12D9C" w14:paraId="6012F390" w14:textId="4430D245">
      <w:pPr>
        <w:spacing w:after="0" w:line="360" w:lineRule="auto"/>
        <w:jc w:val="both"/>
        <w:rPr>
          <w:rFonts w:ascii="Verdana" w:hAnsi="Verdana"/>
          <w:sz w:val="24"/>
          <w:szCs w:val="24"/>
        </w:rPr>
      </w:pPr>
      <w:r w:rsidRPr="620A7E17">
        <w:rPr>
          <w:rFonts w:ascii="Verdana" w:hAnsi="Verdana"/>
          <w:b/>
          <w:bCs/>
          <w:sz w:val="24"/>
          <w:szCs w:val="24"/>
        </w:rPr>
        <w:t>Desarrollo de retos de Gestión del Conocimiento e Innovación</w:t>
      </w:r>
      <w:r w:rsidRPr="620A7E17" w:rsidR="146E34BE">
        <w:rPr>
          <w:rFonts w:ascii="Verdana" w:hAnsi="Verdana"/>
          <w:b/>
          <w:bCs/>
          <w:sz w:val="24"/>
          <w:szCs w:val="24"/>
        </w:rPr>
        <w:t xml:space="preserve">: </w:t>
      </w:r>
      <w:r w:rsidRPr="620A7E17" w:rsidR="146E34BE">
        <w:rPr>
          <w:rFonts w:ascii="Verdana" w:hAnsi="Verdana"/>
          <w:sz w:val="24"/>
          <w:szCs w:val="24"/>
        </w:rPr>
        <w:t>d</w:t>
      </w:r>
      <w:r w:rsidRPr="620A7E17">
        <w:rPr>
          <w:rFonts w:ascii="Verdana" w:hAnsi="Verdana"/>
          <w:sz w:val="24"/>
          <w:szCs w:val="24"/>
        </w:rPr>
        <w:t>urante 2023, y en articulación con el aliado estratégico Quid Lab, se desarrollaron sesiones virtuales y presenciales orientadas al fortalecimiento de capacidades en innovación pública y construcción colaborativa de soluciones institucionales. En este marco se trabajó en la consolidación de proyectos de innovación institucional y en el desarrollo de dos retos estratégicos: </w:t>
      </w:r>
    </w:p>
    <w:p w:rsidRPr="00AD2BDA" w:rsidR="00AD2BDA" w:rsidP="005358E1" w:rsidRDefault="00AD2BDA" w14:paraId="5216D166" w14:textId="77777777">
      <w:pPr>
        <w:spacing w:after="0" w:line="360" w:lineRule="auto"/>
        <w:jc w:val="both"/>
        <w:rPr>
          <w:rFonts w:ascii="Verdana" w:hAnsi="Verdana"/>
          <w:sz w:val="24"/>
          <w:szCs w:val="24"/>
        </w:rPr>
      </w:pPr>
      <w:r w:rsidRPr="00AD2BDA">
        <w:rPr>
          <w:rFonts w:ascii="Verdana" w:hAnsi="Verdana"/>
          <w:sz w:val="24"/>
          <w:szCs w:val="24"/>
        </w:rPr>
        <w:t> </w:t>
      </w:r>
    </w:p>
    <w:p w:rsidRPr="00AD2BDA" w:rsidR="00AD2BDA" w:rsidRDefault="00AD2BDA" w14:paraId="506C1A15" w14:textId="77777777">
      <w:pPr>
        <w:numPr>
          <w:ilvl w:val="0"/>
          <w:numId w:val="122"/>
        </w:numPr>
        <w:spacing w:after="0" w:line="360" w:lineRule="auto"/>
        <w:jc w:val="both"/>
        <w:rPr>
          <w:rFonts w:ascii="Verdana" w:hAnsi="Verdana"/>
          <w:sz w:val="24"/>
          <w:szCs w:val="24"/>
        </w:rPr>
      </w:pPr>
      <w:r w:rsidRPr="00AD2BDA">
        <w:rPr>
          <w:rFonts w:ascii="Verdana" w:hAnsi="Verdana"/>
          <w:sz w:val="24"/>
          <w:szCs w:val="24"/>
        </w:rPr>
        <w:t>¿Cómo podríamos capturar y documentar el conocimiento tácito y explícito de los colaboradores de forma constante para evitar la fuga de conocimiento? </w:t>
      </w:r>
    </w:p>
    <w:p w:rsidRPr="00AD2BDA" w:rsidR="00AD2BDA" w:rsidRDefault="00AD2BDA" w14:paraId="5E318446" w14:textId="77777777">
      <w:pPr>
        <w:numPr>
          <w:ilvl w:val="0"/>
          <w:numId w:val="123"/>
        </w:numPr>
        <w:spacing w:after="0" w:line="360" w:lineRule="auto"/>
        <w:jc w:val="both"/>
        <w:rPr>
          <w:rFonts w:ascii="Verdana" w:hAnsi="Verdana"/>
          <w:sz w:val="24"/>
          <w:szCs w:val="24"/>
        </w:rPr>
      </w:pPr>
      <w:r w:rsidRPr="00AD2BDA">
        <w:rPr>
          <w:rFonts w:ascii="Verdana" w:hAnsi="Verdana"/>
          <w:sz w:val="24"/>
          <w:szCs w:val="24"/>
        </w:rPr>
        <w:t>¿Cómo podríamos articular y alinear las estrategias de las áreas del Ministerio para alcanzar los resultados esperados? </w:t>
      </w:r>
    </w:p>
    <w:p w:rsidR="009A1998" w:rsidP="005358E1" w:rsidRDefault="009A1998" w14:paraId="18CBD8EB" w14:textId="77777777">
      <w:pPr>
        <w:spacing w:after="0" w:line="360" w:lineRule="auto"/>
        <w:jc w:val="both"/>
        <w:rPr>
          <w:rFonts w:ascii="Verdana" w:hAnsi="Verdana"/>
          <w:sz w:val="24"/>
          <w:szCs w:val="24"/>
        </w:rPr>
      </w:pPr>
    </w:p>
    <w:p w:rsidRPr="00AD2BDA" w:rsidR="00AD2BDA" w:rsidP="005358E1" w:rsidRDefault="00AD2BDA" w14:paraId="2CAC59CE" w14:textId="5CCF53B9">
      <w:pPr>
        <w:spacing w:after="0" w:line="360" w:lineRule="auto"/>
        <w:jc w:val="both"/>
        <w:rPr>
          <w:rFonts w:ascii="Verdana" w:hAnsi="Verdana"/>
          <w:sz w:val="24"/>
          <w:szCs w:val="24"/>
        </w:rPr>
      </w:pPr>
      <w:r w:rsidRPr="00AD2BDA">
        <w:rPr>
          <w:rFonts w:ascii="Verdana" w:hAnsi="Verdana"/>
          <w:sz w:val="24"/>
          <w:szCs w:val="24"/>
        </w:rPr>
        <w:t>Estos ejercicios permitieron fortalecer metodologías de ideación, experimentación y construcción colectiva, promoviendo la participación de diferentes áreas de la entidad. </w:t>
      </w:r>
    </w:p>
    <w:p w:rsidR="009A1998" w:rsidP="005358E1" w:rsidRDefault="009A1998" w14:paraId="3A6AE740" w14:textId="77777777">
      <w:pPr>
        <w:spacing w:after="0" w:line="360" w:lineRule="auto"/>
        <w:jc w:val="both"/>
        <w:rPr>
          <w:rFonts w:ascii="Verdana" w:hAnsi="Verdana"/>
          <w:sz w:val="24"/>
          <w:szCs w:val="24"/>
        </w:rPr>
      </w:pPr>
    </w:p>
    <w:p w:rsidRPr="00294126" w:rsidR="009A1998" w:rsidP="00294126" w:rsidRDefault="009A1998" w14:paraId="1738EA70" w14:textId="32C32022">
      <w:pPr>
        <w:spacing w:after="0" w:line="240" w:lineRule="auto"/>
        <w:jc w:val="center"/>
        <w:rPr>
          <w:rFonts w:ascii="Verdana" w:hAnsi="Verdana"/>
          <w:sz w:val="18"/>
          <w:szCs w:val="18"/>
        </w:rPr>
      </w:pPr>
      <w:r w:rsidRPr="00294126">
        <w:rPr>
          <w:rFonts w:ascii="Verdana" w:hAnsi="Verdana"/>
          <w:sz w:val="18"/>
          <w:szCs w:val="18"/>
        </w:rPr>
        <w:t xml:space="preserve">Imagen No. 22. </w:t>
      </w:r>
      <w:r w:rsidRPr="00294126" w:rsidR="00294126">
        <w:rPr>
          <w:rFonts w:ascii="Verdana" w:hAnsi="Verdana"/>
          <w:sz w:val="18"/>
          <w:szCs w:val="18"/>
        </w:rPr>
        <w:t>metodologías de ideación, experimentación y construcción colectiva</w:t>
      </w:r>
    </w:p>
    <w:p w:rsidRPr="00294126" w:rsidR="009A1998" w:rsidP="00294126" w:rsidRDefault="009A1998" w14:paraId="7CB6DCE1" w14:textId="52C734A3">
      <w:pPr>
        <w:spacing w:after="0" w:line="240" w:lineRule="auto"/>
        <w:jc w:val="center"/>
        <w:rPr>
          <w:rFonts w:ascii="Verdana" w:hAnsi="Verdana"/>
          <w:sz w:val="18"/>
          <w:szCs w:val="18"/>
        </w:rPr>
      </w:pPr>
      <w:r w:rsidRPr="00294126">
        <w:rPr>
          <w:rFonts w:ascii="Verdana" w:hAnsi="Verdana"/>
          <w:noProof/>
          <w:sz w:val="18"/>
          <w:szCs w:val="18"/>
        </w:rPr>
        <w:drawing>
          <wp:inline distT="0" distB="0" distL="0" distR="0" wp14:anchorId="1E381AE8" wp14:editId="26A5C8A2">
            <wp:extent cx="2019300" cy="1514475"/>
            <wp:effectExtent l="19050" t="19050" r="19050" b="28575"/>
            <wp:docPr id="2000120375"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019300" cy="1514475"/>
                    </a:xfrm>
                    <a:prstGeom prst="rect">
                      <a:avLst/>
                    </a:prstGeom>
                    <a:noFill/>
                    <a:ln>
                      <a:solidFill>
                        <a:schemeClr val="tx1"/>
                      </a:solidFill>
                    </a:ln>
                  </pic:spPr>
                </pic:pic>
              </a:graphicData>
            </a:graphic>
          </wp:inline>
        </w:drawing>
      </w:r>
      <w:r w:rsidRPr="00294126">
        <w:rPr>
          <w:rFonts w:ascii="Verdana" w:hAnsi="Verdana"/>
          <w:noProof/>
          <w:sz w:val="18"/>
          <w:szCs w:val="18"/>
        </w:rPr>
        <w:drawing>
          <wp:inline distT="0" distB="0" distL="0" distR="0" wp14:anchorId="696D0B8C" wp14:editId="6D9252DA">
            <wp:extent cx="2047875" cy="1533525"/>
            <wp:effectExtent l="19050" t="19050" r="28575" b="28575"/>
            <wp:docPr id="550597670"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47875" cy="1533525"/>
                    </a:xfrm>
                    <a:prstGeom prst="rect">
                      <a:avLst/>
                    </a:prstGeom>
                    <a:noFill/>
                    <a:ln>
                      <a:solidFill>
                        <a:schemeClr val="tx1"/>
                      </a:solidFill>
                    </a:ln>
                  </pic:spPr>
                </pic:pic>
              </a:graphicData>
            </a:graphic>
          </wp:inline>
        </w:drawing>
      </w:r>
    </w:p>
    <w:p w:rsidRPr="00294126" w:rsidR="009A1998" w:rsidP="00294126" w:rsidRDefault="009A1998" w14:paraId="0E44A7D7" w14:textId="3F3B4308">
      <w:pPr>
        <w:spacing w:after="0" w:line="240" w:lineRule="auto"/>
        <w:jc w:val="center"/>
        <w:rPr>
          <w:rFonts w:ascii="Verdana" w:hAnsi="Verdana"/>
          <w:sz w:val="18"/>
          <w:szCs w:val="18"/>
        </w:rPr>
      </w:pPr>
      <w:r w:rsidRPr="00294126">
        <w:rPr>
          <w:rFonts w:ascii="Verdana" w:hAnsi="Verdana"/>
          <w:noProof/>
          <w:sz w:val="18"/>
          <w:szCs w:val="18"/>
        </w:rPr>
        <w:drawing>
          <wp:inline distT="0" distB="0" distL="0" distR="0" wp14:anchorId="1760EED3" wp14:editId="51300FDA">
            <wp:extent cx="3095625" cy="1751566"/>
            <wp:effectExtent l="19050" t="19050" r="9525" b="20320"/>
            <wp:docPr id="727837251"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103637" cy="1756100"/>
                    </a:xfrm>
                    <a:prstGeom prst="rect">
                      <a:avLst/>
                    </a:prstGeom>
                    <a:noFill/>
                    <a:ln>
                      <a:solidFill>
                        <a:schemeClr val="tx1"/>
                      </a:solidFill>
                    </a:ln>
                  </pic:spPr>
                </pic:pic>
              </a:graphicData>
            </a:graphic>
          </wp:inline>
        </w:drawing>
      </w:r>
    </w:p>
    <w:p w:rsidRPr="00294126" w:rsidR="00AD2BDA" w:rsidP="00294126" w:rsidRDefault="00AD2BDA" w14:paraId="744C9A7C" w14:textId="72B1BA76">
      <w:pPr>
        <w:spacing w:after="0" w:line="240" w:lineRule="auto"/>
        <w:jc w:val="center"/>
        <w:rPr>
          <w:rFonts w:ascii="Verdana" w:hAnsi="Verdana"/>
          <w:sz w:val="18"/>
          <w:szCs w:val="18"/>
        </w:rPr>
      </w:pPr>
      <w:r w:rsidRPr="00294126">
        <w:rPr>
          <w:rFonts w:ascii="Verdana" w:hAnsi="Verdana"/>
          <w:sz w:val="18"/>
          <w:szCs w:val="18"/>
        </w:rPr>
        <w:t>Fuente: Captura tomada de la bitácora de los Retos trabajados durante la vigencia 2023.</w:t>
      </w:r>
    </w:p>
    <w:p w:rsidRPr="00AD2BDA" w:rsidR="00AD2BDA" w:rsidP="005358E1" w:rsidRDefault="00AD2BDA" w14:paraId="39CF6DA0" w14:textId="77777777">
      <w:pPr>
        <w:spacing w:after="0" w:line="360" w:lineRule="auto"/>
        <w:jc w:val="both"/>
        <w:rPr>
          <w:rFonts w:ascii="Verdana" w:hAnsi="Verdana"/>
          <w:sz w:val="24"/>
          <w:szCs w:val="24"/>
        </w:rPr>
      </w:pPr>
      <w:r w:rsidRPr="00AD2BDA">
        <w:rPr>
          <w:rFonts w:ascii="Verdana" w:hAnsi="Verdana"/>
          <w:sz w:val="24"/>
          <w:szCs w:val="24"/>
        </w:rPr>
        <w:t> </w:t>
      </w:r>
    </w:p>
    <w:p w:rsidR="00AD2BDA" w:rsidP="620A7E17" w:rsidRDefault="28F12D9C" w14:paraId="18F82466" w14:textId="6AA74600">
      <w:pPr>
        <w:spacing w:after="0" w:line="360" w:lineRule="auto"/>
        <w:jc w:val="both"/>
        <w:rPr>
          <w:rFonts w:ascii="Verdana" w:hAnsi="Verdana"/>
          <w:sz w:val="24"/>
          <w:szCs w:val="24"/>
        </w:rPr>
      </w:pPr>
      <w:r w:rsidRPr="620A7E17">
        <w:rPr>
          <w:rFonts w:ascii="Verdana" w:hAnsi="Verdana"/>
          <w:b/>
          <w:bCs/>
          <w:sz w:val="24"/>
          <w:szCs w:val="24"/>
        </w:rPr>
        <w:t>Diseño e implementación inicial del Laboratorio Digital IluMinna</w:t>
      </w:r>
      <w:r w:rsidRPr="620A7E17" w:rsidR="7C6BBB2A">
        <w:rPr>
          <w:rFonts w:ascii="Verdana" w:hAnsi="Verdana"/>
          <w:b/>
          <w:bCs/>
          <w:sz w:val="24"/>
          <w:szCs w:val="24"/>
        </w:rPr>
        <w:t xml:space="preserve">: </w:t>
      </w:r>
      <w:r w:rsidRPr="620A7E17" w:rsidR="7C6BBB2A">
        <w:rPr>
          <w:rFonts w:ascii="Verdana" w:hAnsi="Verdana"/>
          <w:sz w:val="24"/>
          <w:szCs w:val="24"/>
        </w:rPr>
        <w:t>d</w:t>
      </w:r>
      <w:r w:rsidRPr="620A7E17">
        <w:rPr>
          <w:rFonts w:ascii="Verdana" w:hAnsi="Verdana"/>
          <w:sz w:val="24"/>
          <w:szCs w:val="24"/>
        </w:rPr>
        <w:t>urante la vigencia 2023 se adelantó el diseño conceptual y metodológico del Laboratorio Digital de Innovación del Ministerio de Minas y Energía, IluMinna. Este es un espacio diseñado para facilitar procesos de innovación institucional, brindando metodologías y herramientas para desarrollar iniciativas desde la identificación de necesidades y definición de retos hasta la construcción de soluciones con potencial de generar valor público. La estructuración adelantada durante esta vigencia permitió sentar las bases para la implementación y consolidación del laboratorio durante el año 2024. </w:t>
      </w:r>
    </w:p>
    <w:p w:rsidRPr="00AD2BDA" w:rsidR="00294126" w:rsidP="005358E1" w:rsidRDefault="00294126" w14:paraId="6D70638C" w14:textId="77777777">
      <w:pPr>
        <w:spacing w:after="0" w:line="360" w:lineRule="auto"/>
        <w:jc w:val="both"/>
        <w:rPr>
          <w:rFonts w:ascii="Verdana" w:hAnsi="Verdana"/>
          <w:sz w:val="24"/>
          <w:szCs w:val="24"/>
        </w:rPr>
      </w:pPr>
    </w:p>
    <w:p w:rsidRPr="00294126" w:rsidR="00AD2BDA" w:rsidP="00294126" w:rsidRDefault="00294126" w14:paraId="029911F5" w14:textId="403A38E5">
      <w:pPr>
        <w:spacing w:after="0" w:line="360" w:lineRule="auto"/>
        <w:jc w:val="center"/>
        <w:rPr>
          <w:rFonts w:ascii="Verdana" w:hAnsi="Verdana"/>
          <w:sz w:val="18"/>
          <w:szCs w:val="18"/>
        </w:rPr>
      </w:pPr>
      <w:r w:rsidRPr="00294126">
        <w:rPr>
          <w:rFonts w:ascii="Verdana" w:hAnsi="Verdana"/>
          <w:sz w:val="18"/>
          <w:szCs w:val="18"/>
        </w:rPr>
        <w:t>Imagen No. 23. IluMinna</w:t>
      </w:r>
    </w:p>
    <w:p w:rsidRPr="00294126" w:rsidR="00294126" w:rsidP="00294126" w:rsidRDefault="00294126" w14:paraId="0A847AAA" w14:textId="1A4EA081">
      <w:pPr>
        <w:spacing w:after="0" w:line="360" w:lineRule="auto"/>
        <w:jc w:val="center"/>
        <w:rPr>
          <w:rFonts w:ascii="Verdana" w:hAnsi="Verdana"/>
          <w:sz w:val="18"/>
          <w:szCs w:val="18"/>
        </w:rPr>
      </w:pPr>
      <w:r w:rsidRPr="00294126">
        <w:rPr>
          <w:noProof/>
          <w:sz w:val="18"/>
          <w:szCs w:val="18"/>
        </w:rPr>
        <w:drawing>
          <wp:inline distT="0" distB="0" distL="0" distR="0" wp14:anchorId="0F10DCFB" wp14:editId="496DF4A1">
            <wp:extent cx="5267325" cy="2943225"/>
            <wp:effectExtent l="0" t="0" r="9525" b="9525"/>
            <wp:docPr id="1599482586"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67325" cy="2943225"/>
                    </a:xfrm>
                    <a:prstGeom prst="rect">
                      <a:avLst/>
                    </a:prstGeom>
                    <a:noFill/>
                    <a:ln>
                      <a:noFill/>
                    </a:ln>
                  </pic:spPr>
                </pic:pic>
              </a:graphicData>
            </a:graphic>
          </wp:inline>
        </w:drawing>
      </w:r>
    </w:p>
    <w:p w:rsidRPr="00294126" w:rsidR="00AD2BDA" w:rsidP="00294126" w:rsidRDefault="00AD2BDA" w14:paraId="4552A09F" w14:textId="094C7319">
      <w:pPr>
        <w:spacing w:after="0" w:line="360" w:lineRule="auto"/>
        <w:jc w:val="center"/>
        <w:rPr>
          <w:rFonts w:ascii="Verdana" w:hAnsi="Verdana"/>
          <w:sz w:val="18"/>
          <w:szCs w:val="18"/>
        </w:rPr>
      </w:pPr>
      <w:r w:rsidRPr="00294126">
        <w:rPr>
          <w:rFonts w:ascii="Verdana" w:hAnsi="Verdana"/>
          <w:sz w:val="18"/>
          <w:szCs w:val="18"/>
        </w:rPr>
        <w:t>Fuente: Estrategia gráfica del Laboratorio Digital IluMinna.</w:t>
      </w:r>
    </w:p>
    <w:p w:rsidRPr="00AD2BDA" w:rsidR="00AD2BDA" w:rsidP="005358E1" w:rsidRDefault="00AD2BDA" w14:paraId="0DE8CB95" w14:textId="77777777">
      <w:pPr>
        <w:spacing w:after="0" w:line="360" w:lineRule="auto"/>
        <w:jc w:val="both"/>
        <w:rPr>
          <w:rFonts w:ascii="Verdana" w:hAnsi="Verdana"/>
          <w:sz w:val="24"/>
          <w:szCs w:val="24"/>
        </w:rPr>
      </w:pPr>
      <w:r w:rsidRPr="00AD2BDA">
        <w:rPr>
          <w:rFonts w:ascii="Verdana" w:hAnsi="Verdana"/>
          <w:sz w:val="24"/>
          <w:szCs w:val="24"/>
        </w:rPr>
        <w:t> </w:t>
      </w:r>
    </w:p>
    <w:p w:rsidRPr="00AD2BDA" w:rsidR="00AD2BDA" w:rsidP="620A7E17" w:rsidRDefault="28F12D9C" w14:paraId="0FAC1692" w14:textId="22610A72">
      <w:pPr>
        <w:spacing w:after="0" w:line="360" w:lineRule="auto"/>
        <w:jc w:val="both"/>
        <w:rPr>
          <w:rFonts w:ascii="Verdana" w:hAnsi="Verdana"/>
          <w:sz w:val="24"/>
          <w:szCs w:val="24"/>
        </w:rPr>
      </w:pPr>
      <w:r w:rsidRPr="620A7E17">
        <w:rPr>
          <w:rFonts w:ascii="Verdana" w:hAnsi="Verdana"/>
          <w:b/>
          <w:bCs/>
          <w:sz w:val="24"/>
          <w:szCs w:val="24"/>
        </w:rPr>
        <w:t>Estrategia de comunicación y apropiación</w:t>
      </w:r>
      <w:r w:rsidRPr="620A7E17" w:rsidR="0B708597">
        <w:rPr>
          <w:rFonts w:ascii="Verdana" w:hAnsi="Verdana"/>
          <w:b/>
          <w:bCs/>
          <w:sz w:val="24"/>
          <w:szCs w:val="24"/>
        </w:rPr>
        <w:t>:</w:t>
      </w:r>
      <w:r w:rsidRPr="620A7E17" w:rsidR="0B708597">
        <w:rPr>
          <w:rFonts w:ascii="Verdana" w:hAnsi="Verdana"/>
          <w:sz w:val="24"/>
          <w:szCs w:val="24"/>
        </w:rPr>
        <w:t xml:space="preserve"> c</w:t>
      </w:r>
      <w:r w:rsidRPr="620A7E17">
        <w:rPr>
          <w:rFonts w:ascii="Verdana" w:hAnsi="Verdana"/>
          <w:sz w:val="24"/>
          <w:szCs w:val="24"/>
        </w:rPr>
        <w:t>on el propósito de fortalecer la apropiación institucional de la Gestión del Conocimiento y la Innovación, durante 2023 se consolidó una estrategia de comunicación enfocada en generar contenidos dinámicos y cercanos para servidores y colaboradores. Entre las principales acciones desarrolladas se destacan: </w:t>
      </w:r>
    </w:p>
    <w:p w:rsidRPr="00AD2BDA" w:rsidR="00AD2BDA" w:rsidRDefault="00AD2BDA" w14:paraId="57EA96B6" w14:textId="77777777">
      <w:pPr>
        <w:numPr>
          <w:ilvl w:val="0"/>
          <w:numId w:val="126"/>
        </w:numPr>
        <w:spacing w:after="0" w:line="360" w:lineRule="auto"/>
        <w:jc w:val="both"/>
        <w:rPr>
          <w:rFonts w:ascii="Verdana" w:hAnsi="Verdana"/>
          <w:sz w:val="24"/>
          <w:szCs w:val="24"/>
        </w:rPr>
      </w:pPr>
      <w:r w:rsidRPr="00AD2BDA">
        <w:rPr>
          <w:rFonts w:ascii="Verdana" w:hAnsi="Verdana"/>
          <w:sz w:val="24"/>
          <w:szCs w:val="24"/>
        </w:rPr>
        <w:t>Creación de cápsulas de innovación para divulgar conceptos y herramientas institucionales. </w:t>
      </w:r>
    </w:p>
    <w:p w:rsidRPr="00AD2BDA" w:rsidR="00AD2BDA" w:rsidRDefault="00AD2BDA" w14:paraId="5DA49C62" w14:textId="77777777">
      <w:pPr>
        <w:numPr>
          <w:ilvl w:val="0"/>
          <w:numId w:val="127"/>
        </w:numPr>
        <w:spacing w:after="0" w:line="360" w:lineRule="auto"/>
        <w:jc w:val="both"/>
        <w:rPr>
          <w:rFonts w:ascii="Verdana" w:hAnsi="Verdana"/>
          <w:sz w:val="24"/>
          <w:szCs w:val="24"/>
        </w:rPr>
      </w:pPr>
      <w:r w:rsidRPr="00AD2BDA">
        <w:rPr>
          <w:rFonts w:ascii="Verdana" w:hAnsi="Verdana"/>
          <w:sz w:val="24"/>
          <w:szCs w:val="24"/>
        </w:rPr>
        <w:t>Diseño y difusión de boletines de Gestión del Conocimiento e Innovación. </w:t>
      </w:r>
    </w:p>
    <w:p w:rsidRPr="00AD2BDA" w:rsidR="00AD2BDA" w:rsidRDefault="00AD2BDA" w14:paraId="0F103465" w14:textId="77777777">
      <w:pPr>
        <w:numPr>
          <w:ilvl w:val="0"/>
          <w:numId w:val="128"/>
        </w:numPr>
        <w:spacing w:after="0" w:line="360" w:lineRule="auto"/>
        <w:jc w:val="both"/>
        <w:rPr>
          <w:rFonts w:ascii="Verdana" w:hAnsi="Verdana"/>
          <w:sz w:val="24"/>
          <w:szCs w:val="24"/>
        </w:rPr>
      </w:pPr>
      <w:r w:rsidRPr="00AD2BDA">
        <w:rPr>
          <w:rFonts w:ascii="Verdana" w:hAnsi="Verdana"/>
          <w:sz w:val="24"/>
          <w:szCs w:val="24"/>
        </w:rPr>
        <w:t>Desarrollo de espacios de socialización y fortalecimiento de habilidades. </w:t>
      </w:r>
    </w:p>
    <w:p w:rsidRPr="00AD2BDA" w:rsidR="00AD2BDA" w:rsidP="005358E1" w:rsidRDefault="00AD2BDA" w14:paraId="7BB6C388" w14:textId="77777777">
      <w:pPr>
        <w:spacing w:after="0" w:line="360" w:lineRule="auto"/>
        <w:jc w:val="both"/>
        <w:rPr>
          <w:rFonts w:ascii="Verdana" w:hAnsi="Verdana"/>
          <w:sz w:val="24"/>
          <w:szCs w:val="24"/>
        </w:rPr>
      </w:pPr>
      <w:r w:rsidRPr="00AD2BDA">
        <w:rPr>
          <w:rFonts w:ascii="Verdana" w:hAnsi="Verdana"/>
          <w:sz w:val="24"/>
          <w:szCs w:val="24"/>
        </w:rPr>
        <w:t> </w:t>
      </w:r>
    </w:p>
    <w:p w:rsidR="00AD2BDA" w:rsidP="005358E1" w:rsidRDefault="00AD2BDA" w14:paraId="2D782521" w14:textId="77777777">
      <w:pPr>
        <w:spacing w:after="0" w:line="360" w:lineRule="auto"/>
        <w:jc w:val="both"/>
        <w:rPr>
          <w:rFonts w:ascii="Verdana" w:hAnsi="Verdana"/>
          <w:sz w:val="24"/>
          <w:szCs w:val="24"/>
        </w:rPr>
      </w:pPr>
      <w:r w:rsidRPr="00AD2BDA">
        <w:rPr>
          <w:rFonts w:ascii="Verdana" w:hAnsi="Verdana"/>
          <w:sz w:val="24"/>
          <w:szCs w:val="24"/>
        </w:rPr>
        <w:t>Las cápsulas de innovación permitieron sensibilizar a los colaboradores sobre conceptos relacionados con innovación pública y apropiación de herramientas institucionales. </w:t>
      </w:r>
    </w:p>
    <w:p w:rsidR="006E0144" w:rsidP="005358E1" w:rsidRDefault="006E0144" w14:paraId="099E55B6" w14:textId="77777777">
      <w:pPr>
        <w:spacing w:after="0" w:line="360" w:lineRule="auto"/>
        <w:jc w:val="both"/>
        <w:rPr>
          <w:rFonts w:ascii="Verdana" w:hAnsi="Verdana"/>
          <w:sz w:val="24"/>
          <w:szCs w:val="24"/>
        </w:rPr>
      </w:pPr>
    </w:p>
    <w:p w:rsidRPr="006E0144" w:rsidR="006E0144" w:rsidP="006E0144" w:rsidRDefault="006E0144" w14:paraId="4271E4C2" w14:textId="635A3576">
      <w:pPr>
        <w:spacing w:after="0" w:line="240" w:lineRule="auto"/>
        <w:jc w:val="center"/>
        <w:rPr>
          <w:rFonts w:ascii="Verdana" w:hAnsi="Verdana"/>
          <w:sz w:val="18"/>
          <w:szCs w:val="18"/>
        </w:rPr>
      </w:pPr>
      <w:r w:rsidRPr="006E0144">
        <w:rPr>
          <w:rFonts w:ascii="Verdana" w:hAnsi="Verdana"/>
          <w:sz w:val="18"/>
          <w:szCs w:val="18"/>
        </w:rPr>
        <w:t>Imagen No. 24. Capsulas de Innovación</w:t>
      </w:r>
    </w:p>
    <w:p w:rsidRPr="006E0144" w:rsidR="00AD2BDA" w:rsidP="006E0144" w:rsidRDefault="006E0144" w14:paraId="75352C0A" w14:textId="4AD061AD">
      <w:pPr>
        <w:spacing w:after="0" w:line="240" w:lineRule="auto"/>
        <w:jc w:val="center"/>
        <w:rPr>
          <w:rFonts w:ascii="Verdana" w:hAnsi="Verdana"/>
          <w:sz w:val="18"/>
          <w:szCs w:val="18"/>
        </w:rPr>
      </w:pPr>
      <w:r w:rsidRPr="006E0144">
        <w:rPr>
          <w:rFonts w:ascii="Verdana" w:hAnsi="Verdana"/>
          <w:noProof/>
          <w:sz w:val="18"/>
          <w:szCs w:val="18"/>
        </w:rPr>
        <w:drawing>
          <wp:inline distT="0" distB="0" distL="0" distR="0" wp14:anchorId="564A739F" wp14:editId="5F3C9407">
            <wp:extent cx="2200275" cy="1638300"/>
            <wp:effectExtent l="0" t="0" r="9525" b="0"/>
            <wp:docPr id="1914732234" name="Imagen 57" descr="Insertando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Insertando imagen..."/>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200275" cy="1638300"/>
                    </a:xfrm>
                    <a:prstGeom prst="rect">
                      <a:avLst/>
                    </a:prstGeom>
                    <a:noFill/>
                    <a:ln>
                      <a:noFill/>
                    </a:ln>
                  </pic:spPr>
                </pic:pic>
              </a:graphicData>
            </a:graphic>
          </wp:inline>
        </w:drawing>
      </w:r>
      <w:r w:rsidRPr="006E0144">
        <w:rPr>
          <w:rFonts w:ascii="Verdana" w:hAnsi="Verdana"/>
          <w:noProof/>
          <w:sz w:val="18"/>
          <w:szCs w:val="18"/>
        </w:rPr>
        <w:drawing>
          <wp:inline distT="0" distB="0" distL="0" distR="0" wp14:anchorId="01427DBF" wp14:editId="294DC0DD">
            <wp:extent cx="2400300" cy="1676400"/>
            <wp:effectExtent l="0" t="0" r="0" b="0"/>
            <wp:docPr id="2125997597" name="Imagen 56" descr="Insertando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Insertando imagen..."/>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400300" cy="1676400"/>
                    </a:xfrm>
                    <a:prstGeom prst="rect">
                      <a:avLst/>
                    </a:prstGeom>
                    <a:noFill/>
                    <a:ln>
                      <a:noFill/>
                    </a:ln>
                  </pic:spPr>
                </pic:pic>
              </a:graphicData>
            </a:graphic>
          </wp:inline>
        </w:drawing>
      </w:r>
    </w:p>
    <w:p w:rsidRPr="006E0144" w:rsidR="00AD2BDA" w:rsidP="006E0144" w:rsidRDefault="00AD2BDA" w14:paraId="13E77FA9" w14:textId="37400902">
      <w:pPr>
        <w:spacing w:after="0" w:line="240" w:lineRule="auto"/>
        <w:jc w:val="center"/>
        <w:rPr>
          <w:rFonts w:ascii="Verdana" w:hAnsi="Verdana"/>
          <w:sz w:val="18"/>
          <w:szCs w:val="18"/>
        </w:rPr>
      </w:pPr>
    </w:p>
    <w:p w:rsidRPr="006E0144" w:rsidR="00AD2BDA" w:rsidP="006E0144" w:rsidRDefault="00AD2BDA" w14:paraId="33192BF8" w14:textId="2EA66AE5">
      <w:pPr>
        <w:spacing w:after="0" w:line="240" w:lineRule="auto"/>
        <w:jc w:val="center"/>
        <w:rPr>
          <w:rFonts w:ascii="Verdana" w:hAnsi="Verdana"/>
          <w:sz w:val="18"/>
          <w:szCs w:val="18"/>
        </w:rPr>
      </w:pPr>
      <w:r w:rsidRPr="006E0144">
        <w:rPr>
          <w:rFonts w:ascii="Verdana" w:hAnsi="Verdana"/>
          <w:sz w:val="18"/>
          <w:szCs w:val="18"/>
        </w:rPr>
        <w:t>Fuente: Elaboración propia recuperada del perfil de YouTube del Ministerio de Minas y Energía -</w:t>
      </w:r>
      <w:r w:rsidRPr="006E0144">
        <w:rPr>
          <w:rFonts w:ascii="Verdana" w:hAnsi="Verdana"/>
          <w:sz w:val="18"/>
          <w:szCs w:val="18"/>
          <w:u w:val="single"/>
        </w:rPr>
        <w:t> </w:t>
      </w:r>
      <w:hyperlink w:tgtFrame="_blank" w:history="1" r:id="rId62">
        <w:r w:rsidRPr="006E0144">
          <w:rPr>
            <w:rStyle w:val="Hipervnculo"/>
            <w:rFonts w:ascii="Verdana" w:hAnsi="Verdana"/>
            <w:sz w:val="18"/>
            <w:szCs w:val="18"/>
          </w:rPr>
          <w:t>Cápsulas de Innovación Minenergía</w:t>
        </w:r>
      </w:hyperlink>
    </w:p>
    <w:p w:rsidRPr="00AD2BDA" w:rsidR="00AD2BDA" w:rsidP="00AD2BDA" w:rsidRDefault="00AD2BDA" w14:paraId="67B89E0F" w14:textId="77777777">
      <w:pPr>
        <w:spacing w:after="0" w:line="360" w:lineRule="auto"/>
        <w:jc w:val="both"/>
        <w:rPr>
          <w:rFonts w:ascii="Verdana" w:hAnsi="Verdana"/>
          <w:sz w:val="24"/>
          <w:szCs w:val="24"/>
        </w:rPr>
      </w:pPr>
      <w:r w:rsidRPr="00AD2BDA">
        <w:rPr>
          <w:rFonts w:ascii="Verdana" w:hAnsi="Verdana"/>
          <w:sz w:val="24"/>
          <w:szCs w:val="24"/>
        </w:rPr>
        <w:t> </w:t>
      </w:r>
    </w:p>
    <w:p w:rsidRPr="00AD2BDA" w:rsidR="00AD2BDA" w:rsidP="620A7E17" w:rsidRDefault="28F12D9C" w14:paraId="44AFC517" w14:textId="0B97A996">
      <w:pPr>
        <w:spacing w:after="0" w:line="360" w:lineRule="auto"/>
        <w:jc w:val="both"/>
        <w:rPr>
          <w:rFonts w:ascii="Verdana" w:hAnsi="Verdana"/>
          <w:sz w:val="24"/>
          <w:szCs w:val="24"/>
        </w:rPr>
      </w:pPr>
      <w:r w:rsidRPr="620A7E17">
        <w:rPr>
          <w:rFonts w:ascii="Verdana" w:hAnsi="Verdana"/>
          <w:b/>
          <w:bCs/>
          <w:sz w:val="24"/>
          <w:szCs w:val="24"/>
        </w:rPr>
        <w:t>Espacios de socialización y fortalecimiento de habilidades</w:t>
      </w:r>
      <w:r w:rsidRPr="620A7E17" w:rsidR="339844A4">
        <w:rPr>
          <w:rFonts w:ascii="Verdana" w:hAnsi="Verdana"/>
          <w:b/>
          <w:bCs/>
          <w:sz w:val="24"/>
          <w:szCs w:val="24"/>
        </w:rPr>
        <w:t>:</w:t>
      </w:r>
      <w:r w:rsidRPr="620A7E17" w:rsidR="339844A4">
        <w:rPr>
          <w:rFonts w:ascii="Verdana" w:hAnsi="Verdana"/>
          <w:sz w:val="24"/>
          <w:szCs w:val="24"/>
        </w:rPr>
        <w:t xml:space="preserve"> d</w:t>
      </w:r>
      <w:r w:rsidRPr="620A7E17">
        <w:rPr>
          <w:rFonts w:ascii="Verdana" w:hAnsi="Verdana"/>
          <w:sz w:val="24"/>
          <w:szCs w:val="24"/>
        </w:rPr>
        <w:t>urante la vigencia se desarrollaron actividades denominadas “Pausas Creativas”, las cuales eran juegos de acertijos y dinámicas colaborativas orientadas al fortalecimiento de habilidades asociadas con creatividad, resolución de problemas y apropiación metodológica de la innovación. Estas actividades contribuyeron a generar espacios de participación, integración y aprendizaje experiencial para servidores y colaboradores. </w:t>
      </w:r>
    </w:p>
    <w:p w:rsidR="006E0144" w:rsidP="00AD2BDA" w:rsidRDefault="006E0144" w14:paraId="1EE0B758" w14:textId="77777777">
      <w:pPr>
        <w:spacing w:after="0" w:line="360" w:lineRule="auto"/>
        <w:jc w:val="both"/>
        <w:rPr>
          <w:rFonts w:ascii="Verdana" w:hAnsi="Verdana"/>
          <w:sz w:val="24"/>
          <w:szCs w:val="24"/>
        </w:rPr>
      </w:pPr>
    </w:p>
    <w:p w:rsidRPr="006E0144" w:rsidR="006E0144" w:rsidP="006E0144" w:rsidRDefault="006E0144" w14:paraId="5E534B02" w14:textId="6FE9DBEF">
      <w:pPr>
        <w:spacing w:after="0" w:line="240" w:lineRule="auto"/>
        <w:jc w:val="center"/>
        <w:rPr>
          <w:rFonts w:ascii="Verdana" w:hAnsi="Verdana"/>
          <w:sz w:val="18"/>
          <w:szCs w:val="18"/>
        </w:rPr>
      </w:pPr>
      <w:r w:rsidRPr="006E0144">
        <w:rPr>
          <w:rFonts w:ascii="Verdana" w:hAnsi="Verdana"/>
          <w:sz w:val="18"/>
          <w:szCs w:val="18"/>
        </w:rPr>
        <w:t>Imagen No. 25. Pausas Creativas</w:t>
      </w:r>
    </w:p>
    <w:p w:rsidRPr="006E0144" w:rsidR="006E0144" w:rsidP="006E0144" w:rsidRDefault="006E0144" w14:paraId="6C287598" w14:textId="68D042CE">
      <w:pPr>
        <w:spacing w:after="0" w:line="240" w:lineRule="auto"/>
        <w:jc w:val="both"/>
        <w:rPr>
          <w:rFonts w:ascii="Verdana" w:hAnsi="Verdana"/>
          <w:sz w:val="18"/>
          <w:szCs w:val="18"/>
        </w:rPr>
      </w:pPr>
      <w:r w:rsidRPr="006E0144">
        <w:rPr>
          <w:rFonts w:ascii="Verdana" w:hAnsi="Verdana"/>
          <w:noProof/>
          <w:sz w:val="18"/>
          <w:szCs w:val="18"/>
        </w:rPr>
        <w:drawing>
          <wp:inline distT="0" distB="0" distL="0" distR="0" wp14:anchorId="78952E69" wp14:editId="3174CC59">
            <wp:extent cx="1819275" cy="1209675"/>
            <wp:effectExtent l="0" t="0" r="9525" b="9525"/>
            <wp:docPr id="177576669"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819275" cy="1209675"/>
                    </a:xfrm>
                    <a:prstGeom prst="rect">
                      <a:avLst/>
                    </a:prstGeom>
                    <a:noFill/>
                    <a:ln>
                      <a:noFill/>
                    </a:ln>
                  </pic:spPr>
                </pic:pic>
              </a:graphicData>
            </a:graphic>
          </wp:inline>
        </w:drawing>
      </w:r>
      <w:r w:rsidRPr="006E0144">
        <w:rPr>
          <w:rFonts w:ascii="Verdana" w:hAnsi="Verdana"/>
          <w:sz w:val="18"/>
          <w:szCs w:val="18"/>
        </w:rPr>
        <w:t> </w:t>
      </w:r>
      <w:r w:rsidRPr="006E0144">
        <w:rPr>
          <w:rFonts w:ascii="Verdana" w:hAnsi="Verdana"/>
          <w:noProof/>
          <w:sz w:val="18"/>
          <w:szCs w:val="18"/>
        </w:rPr>
        <w:drawing>
          <wp:inline distT="0" distB="0" distL="0" distR="0" wp14:anchorId="0E225979" wp14:editId="03DAB861">
            <wp:extent cx="1781175" cy="1181100"/>
            <wp:effectExtent l="0" t="0" r="9525" b="0"/>
            <wp:docPr id="446554074"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781175" cy="1181100"/>
                    </a:xfrm>
                    <a:prstGeom prst="rect">
                      <a:avLst/>
                    </a:prstGeom>
                    <a:noFill/>
                    <a:ln>
                      <a:noFill/>
                    </a:ln>
                  </pic:spPr>
                </pic:pic>
              </a:graphicData>
            </a:graphic>
          </wp:inline>
        </w:drawing>
      </w:r>
      <w:r w:rsidRPr="006E0144">
        <w:rPr>
          <w:rFonts w:ascii="Verdana" w:hAnsi="Verdana"/>
          <w:sz w:val="18"/>
          <w:szCs w:val="18"/>
        </w:rPr>
        <w:t> </w:t>
      </w:r>
      <w:r w:rsidRPr="006E0144">
        <w:rPr>
          <w:rFonts w:ascii="Verdana" w:hAnsi="Verdana"/>
          <w:noProof/>
          <w:sz w:val="18"/>
          <w:szCs w:val="18"/>
        </w:rPr>
        <w:drawing>
          <wp:inline distT="0" distB="0" distL="0" distR="0" wp14:anchorId="56CF3D04" wp14:editId="240F9E4D">
            <wp:extent cx="1781175" cy="1190625"/>
            <wp:effectExtent l="0" t="0" r="9525" b="9525"/>
            <wp:docPr id="479269172"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781175" cy="1190625"/>
                    </a:xfrm>
                    <a:prstGeom prst="rect">
                      <a:avLst/>
                    </a:prstGeom>
                    <a:noFill/>
                    <a:ln>
                      <a:noFill/>
                    </a:ln>
                  </pic:spPr>
                </pic:pic>
              </a:graphicData>
            </a:graphic>
          </wp:inline>
        </w:drawing>
      </w:r>
    </w:p>
    <w:p w:rsidR="00AD2BDA" w:rsidP="006E0144" w:rsidRDefault="00AD2BDA" w14:paraId="066D535A" w14:textId="6B8ED8B5">
      <w:pPr>
        <w:spacing w:after="0" w:line="240" w:lineRule="auto"/>
        <w:jc w:val="center"/>
        <w:rPr>
          <w:rFonts w:ascii="Verdana" w:hAnsi="Verdana"/>
          <w:sz w:val="24"/>
          <w:szCs w:val="24"/>
        </w:rPr>
      </w:pPr>
      <w:r w:rsidRPr="006E0144">
        <w:rPr>
          <w:rFonts w:ascii="Verdana" w:hAnsi="Verdana"/>
          <w:sz w:val="18"/>
          <w:szCs w:val="18"/>
        </w:rPr>
        <w:t>Fuente: Fotografías tomadas de las pausas creativas realizadas.</w:t>
      </w:r>
    </w:p>
    <w:p w:rsidRPr="00AD2BDA" w:rsidR="006E0144" w:rsidP="005358E1" w:rsidRDefault="006E0144" w14:paraId="2EFA4F9A" w14:textId="77777777">
      <w:pPr>
        <w:spacing w:after="0" w:line="360" w:lineRule="auto"/>
        <w:jc w:val="both"/>
        <w:rPr>
          <w:rFonts w:ascii="Verdana" w:hAnsi="Verdana"/>
          <w:sz w:val="24"/>
          <w:szCs w:val="24"/>
        </w:rPr>
      </w:pPr>
    </w:p>
    <w:p w:rsidRPr="006E0144" w:rsidR="00AD2BDA" w:rsidRDefault="00AD2BDA" w14:paraId="2B23578C" w14:textId="0B5E11CB">
      <w:pPr>
        <w:pStyle w:val="Prrafodelista"/>
        <w:numPr>
          <w:ilvl w:val="2"/>
          <w:numId w:val="95"/>
        </w:numPr>
        <w:spacing w:after="0" w:line="360" w:lineRule="auto"/>
        <w:jc w:val="both"/>
        <w:rPr>
          <w:rFonts w:ascii="Verdana" w:hAnsi="Verdana"/>
          <w:b/>
          <w:bCs/>
          <w:sz w:val="24"/>
          <w:szCs w:val="24"/>
        </w:rPr>
      </w:pPr>
      <w:r w:rsidRPr="006E0144">
        <w:rPr>
          <w:rFonts w:ascii="Verdana" w:hAnsi="Verdana"/>
          <w:b/>
          <w:bCs/>
          <w:sz w:val="24"/>
          <w:szCs w:val="24"/>
        </w:rPr>
        <w:t>Implementación y expansión de estrategias de innovación </w:t>
      </w:r>
    </w:p>
    <w:p w:rsidRPr="00AD2BDA" w:rsidR="00AD2BDA" w:rsidP="005358E1" w:rsidRDefault="00AD2BDA" w14:paraId="05E26403" w14:textId="77777777">
      <w:pPr>
        <w:spacing w:after="0" w:line="360" w:lineRule="auto"/>
        <w:jc w:val="both"/>
        <w:rPr>
          <w:rFonts w:ascii="Verdana" w:hAnsi="Verdana"/>
          <w:sz w:val="24"/>
          <w:szCs w:val="24"/>
        </w:rPr>
      </w:pPr>
      <w:r w:rsidRPr="00AD2BDA">
        <w:rPr>
          <w:rFonts w:ascii="Verdana" w:hAnsi="Verdana"/>
          <w:sz w:val="24"/>
          <w:szCs w:val="24"/>
        </w:rPr>
        <w:t> </w:t>
      </w:r>
    </w:p>
    <w:p w:rsidRPr="00AD2BDA" w:rsidR="00AD2BDA" w:rsidP="005358E1" w:rsidRDefault="00AD2BDA" w14:paraId="59238BDF" w14:textId="77777777">
      <w:pPr>
        <w:spacing w:after="0" w:line="360" w:lineRule="auto"/>
        <w:jc w:val="both"/>
        <w:rPr>
          <w:rFonts w:ascii="Verdana" w:hAnsi="Verdana"/>
          <w:sz w:val="24"/>
          <w:szCs w:val="24"/>
        </w:rPr>
      </w:pPr>
      <w:r w:rsidRPr="00AD2BDA">
        <w:rPr>
          <w:rFonts w:ascii="Verdana" w:hAnsi="Verdana"/>
          <w:sz w:val="24"/>
          <w:szCs w:val="24"/>
        </w:rPr>
        <w:t xml:space="preserve">Durante la vigencia 2024, el Ministerio avanzó en la implementación y fortalecimiento de las iniciativas estructuradas en años anteriores, consolidando herramientas, metodologías y espacios orientados a </w:t>
      </w:r>
      <w:r w:rsidRPr="00AD2BDA">
        <w:rPr>
          <w:rFonts w:ascii="Verdana" w:hAnsi="Verdana"/>
          <w:sz w:val="24"/>
          <w:szCs w:val="24"/>
        </w:rPr>
        <w:t>fortalecer la innovación pública, la transferencia de conocimiento y la articulación institucional. </w:t>
      </w:r>
    </w:p>
    <w:p w:rsidRPr="00AD2BDA" w:rsidR="00AD2BDA" w:rsidP="005358E1" w:rsidRDefault="00AD2BDA" w14:paraId="43B9E079" w14:textId="77777777">
      <w:pPr>
        <w:spacing w:after="0" w:line="360" w:lineRule="auto"/>
        <w:jc w:val="both"/>
        <w:rPr>
          <w:rFonts w:ascii="Verdana" w:hAnsi="Verdana"/>
          <w:sz w:val="24"/>
          <w:szCs w:val="24"/>
        </w:rPr>
      </w:pPr>
      <w:r w:rsidRPr="00AD2BDA">
        <w:rPr>
          <w:rFonts w:ascii="Verdana" w:hAnsi="Verdana"/>
          <w:sz w:val="24"/>
          <w:szCs w:val="24"/>
        </w:rPr>
        <w:t> </w:t>
      </w:r>
    </w:p>
    <w:p w:rsidRPr="00AD2BDA" w:rsidR="00AD2BDA" w:rsidP="620A7E17" w:rsidRDefault="28F12D9C" w14:paraId="5A5E0C50" w14:textId="1A6D6D1F">
      <w:pPr>
        <w:spacing w:after="0" w:line="360" w:lineRule="auto"/>
        <w:jc w:val="both"/>
        <w:rPr>
          <w:rFonts w:ascii="Verdana" w:hAnsi="Verdana"/>
          <w:sz w:val="24"/>
          <w:szCs w:val="24"/>
        </w:rPr>
      </w:pPr>
      <w:r w:rsidRPr="620A7E17">
        <w:rPr>
          <w:rFonts w:ascii="Verdana" w:hAnsi="Verdana"/>
          <w:b/>
          <w:bCs/>
          <w:sz w:val="24"/>
          <w:szCs w:val="24"/>
        </w:rPr>
        <w:t>Actualización y fortalecimiento de la Caja de Herramientas</w:t>
      </w:r>
      <w:r w:rsidRPr="620A7E17" w:rsidR="6FAE513F">
        <w:rPr>
          <w:rFonts w:ascii="Verdana" w:hAnsi="Verdana"/>
          <w:b/>
          <w:bCs/>
          <w:sz w:val="24"/>
          <w:szCs w:val="24"/>
        </w:rPr>
        <w:t>:</w:t>
      </w:r>
      <w:r w:rsidRPr="620A7E17" w:rsidR="6FAE513F">
        <w:rPr>
          <w:rFonts w:ascii="Verdana" w:hAnsi="Verdana"/>
          <w:sz w:val="24"/>
          <w:szCs w:val="24"/>
        </w:rPr>
        <w:t xml:space="preserve"> d</w:t>
      </w:r>
      <w:r w:rsidRPr="620A7E17">
        <w:rPr>
          <w:rFonts w:ascii="Verdana" w:hAnsi="Verdana"/>
          <w:sz w:val="24"/>
          <w:szCs w:val="24"/>
        </w:rPr>
        <w:t>urante esta vigencia, la Caja de Herramientas de Gestión del Conocimiento e Innovación fue actualizada con nuevos recursos asociados al Laboratorio Digital IluMinna y formatos para documentar buenas prácticas y lecciones aprendidas:  </w:t>
      </w:r>
    </w:p>
    <w:p w:rsidRPr="00AD2BDA" w:rsidR="00AD2BDA" w:rsidP="005358E1" w:rsidRDefault="00AD2BDA" w14:paraId="650B48A1" w14:textId="77777777">
      <w:pPr>
        <w:spacing w:after="0" w:line="360" w:lineRule="auto"/>
        <w:jc w:val="both"/>
        <w:rPr>
          <w:rFonts w:ascii="Verdana" w:hAnsi="Verdana"/>
          <w:sz w:val="24"/>
          <w:szCs w:val="24"/>
        </w:rPr>
      </w:pPr>
      <w:r w:rsidRPr="00AD2BDA">
        <w:rPr>
          <w:rFonts w:ascii="Verdana" w:hAnsi="Verdana"/>
          <w:sz w:val="24"/>
          <w:szCs w:val="24"/>
        </w:rPr>
        <w:t> </w:t>
      </w:r>
    </w:p>
    <w:p w:rsidRPr="00AD2BDA" w:rsidR="00AD2BDA" w:rsidRDefault="00AD2BDA" w14:paraId="7CEE3415" w14:textId="77777777">
      <w:pPr>
        <w:numPr>
          <w:ilvl w:val="0"/>
          <w:numId w:val="131"/>
        </w:numPr>
        <w:spacing w:after="0" w:line="360" w:lineRule="auto"/>
        <w:jc w:val="both"/>
        <w:rPr>
          <w:rFonts w:ascii="Verdana" w:hAnsi="Verdana"/>
          <w:sz w:val="24"/>
          <w:szCs w:val="24"/>
        </w:rPr>
      </w:pPr>
      <w:r w:rsidRPr="00AD2BDA">
        <w:rPr>
          <w:rFonts w:ascii="Verdana" w:hAnsi="Verdana"/>
          <w:sz w:val="24"/>
          <w:szCs w:val="24"/>
        </w:rPr>
        <w:t>Guía para el uso del Laboratorio Digital IluMinna. </w:t>
      </w:r>
    </w:p>
    <w:p w:rsidRPr="00AD2BDA" w:rsidR="00AD2BDA" w:rsidRDefault="00AD2BDA" w14:paraId="59510389" w14:textId="77777777">
      <w:pPr>
        <w:numPr>
          <w:ilvl w:val="0"/>
          <w:numId w:val="132"/>
        </w:numPr>
        <w:spacing w:after="0" w:line="360" w:lineRule="auto"/>
        <w:jc w:val="both"/>
        <w:rPr>
          <w:rFonts w:ascii="Verdana" w:hAnsi="Verdana"/>
          <w:sz w:val="24"/>
          <w:szCs w:val="24"/>
        </w:rPr>
      </w:pPr>
      <w:r w:rsidRPr="00AD2BDA">
        <w:rPr>
          <w:rFonts w:ascii="Verdana" w:hAnsi="Verdana"/>
          <w:sz w:val="24"/>
          <w:szCs w:val="24"/>
        </w:rPr>
        <w:t>Actualización de imagen y contenido del Manual de Innovación. </w:t>
      </w:r>
    </w:p>
    <w:p w:rsidRPr="00AD2BDA" w:rsidR="00AD2BDA" w:rsidRDefault="00AD2BDA" w14:paraId="14018CFE" w14:textId="77777777">
      <w:pPr>
        <w:numPr>
          <w:ilvl w:val="0"/>
          <w:numId w:val="133"/>
        </w:numPr>
        <w:spacing w:after="0" w:line="360" w:lineRule="auto"/>
        <w:jc w:val="both"/>
        <w:rPr>
          <w:rFonts w:ascii="Verdana" w:hAnsi="Verdana"/>
          <w:sz w:val="24"/>
          <w:szCs w:val="24"/>
        </w:rPr>
      </w:pPr>
      <w:r w:rsidRPr="00AD2BDA">
        <w:rPr>
          <w:rFonts w:ascii="Verdana" w:hAnsi="Verdana"/>
          <w:sz w:val="24"/>
          <w:szCs w:val="24"/>
        </w:rPr>
        <w:t>Guía para acceder a la nueva versión de Moodle. </w:t>
      </w:r>
    </w:p>
    <w:p w:rsidR="00AD2BDA" w:rsidP="005358E1" w:rsidRDefault="00AD2BDA" w14:paraId="1A8AA72B" w14:textId="77777777">
      <w:pPr>
        <w:spacing w:after="0" w:line="360" w:lineRule="auto"/>
        <w:jc w:val="both"/>
        <w:rPr>
          <w:rFonts w:ascii="Verdana" w:hAnsi="Verdana"/>
          <w:sz w:val="24"/>
          <w:szCs w:val="24"/>
        </w:rPr>
      </w:pPr>
      <w:r w:rsidRPr="00AD2BDA">
        <w:rPr>
          <w:rFonts w:ascii="Verdana" w:hAnsi="Verdana"/>
          <w:sz w:val="24"/>
          <w:szCs w:val="24"/>
        </w:rPr>
        <w:t> </w:t>
      </w:r>
    </w:p>
    <w:p w:rsidRPr="006E0144" w:rsidR="006E0144" w:rsidP="006E0144" w:rsidRDefault="006E0144" w14:paraId="699EC649" w14:textId="44D7C578">
      <w:pPr>
        <w:spacing w:after="0" w:line="240" w:lineRule="auto"/>
        <w:jc w:val="center"/>
        <w:rPr>
          <w:rFonts w:ascii="Verdana" w:hAnsi="Verdana"/>
          <w:sz w:val="18"/>
          <w:szCs w:val="18"/>
        </w:rPr>
      </w:pPr>
      <w:r w:rsidRPr="006E0144">
        <w:rPr>
          <w:rFonts w:ascii="Verdana" w:hAnsi="Verdana"/>
          <w:sz w:val="18"/>
          <w:szCs w:val="18"/>
        </w:rPr>
        <w:t>Imagen No. 26. Caja de Herramientas de Gestión del Conocimiento e Innovación</w:t>
      </w:r>
    </w:p>
    <w:p w:rsidRPr="006E0144" w:rsidR="00AD2BDA" w:rsidP="006E0144" w:rsidRDefault="006E0144" w14:paraId="543BED9E" w14:textId="0DE5CF7F">
      <w:pPr>
        <w:spacing w:after="0" w:line="240" w:lineRule="auto"/>
        <w:jc w:val="center"/>
        <w:rPr>
          <w:rFonts w:ascii="Verdana" w:hAnsi="Verdana"/>
          <w:sz w:val="18"/>
          <w:szCs w:val="18"/>
        </w:rPr>
      </w:pPr>
      <w:r w:rsidRPr="006E0144">
        <w:rPr>
          <w:rFonts w:ascii="Verdana" w:hAnsi="Verdana"/>
          <w:noProof/>
          <w:sz w:val="18"/>
          <w:szCs w:val="18"/>
        </w:rPr>
        <w:drawing>
          <wp:inline distT="0" distB="0" distL="0" distR="0" wp14:anchorId="4C77D723" wp14:editId="7139F882">
            <wp:extent cx="1552575" cy="2876550"/>
            <wp:effectExtent l="0" t="0" r="9525" b="0"/>
            <wp:docPr id="894256001"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552575" cy="2876550"/>
                    </a:xfrm>
                    <a:prstGeom prst="rect">
                      <a:avLst/>
                    </a:prstGeom>
                    <a:noFill/>
                    <a:ln>
                      <a:noFill/>
                    </a:ln>
                  </pic:spPr>
                </pic:pic>
              </a:graphicData>
            </a:graphic>
          </wp:inline>
        </w:drawing>
      </w:r>
      <w:r w:rsidRPr="006E0144">
        <w:rPr>
          <w:rFonts w:ascii="Verdana" w:hAnsi="Verdana"/>
          <w:noProof/>
          <w:sz w:val="18"/>
          <w:szCs w:val="18"/>
        </w:rPr>
        <w:drawing>
          <wp:inline distT="0" distB="0" distL="0" distR="0" wp14:anchorId="2C854A8F" wp14:editId="5958DC23">
            <wp:extent cx="1428750" cy="2867025"/>
            <wp:effectExtent l="0" t="0" r="0" b="9525"/>
            <wp:docPr id="331552149"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428750" cy="2867025"/>
                    </a:xfrm>
                    <a:prstGeom prst="rect">
                      <a:avLst/>
                    </a:prstGeom>
                    <a:noFill/>
                    <a:ln>
                      <a:noFill/>
                    </a:ln>
                  </pic:spPr>
                </pic:pic>
              </a:graphicData>
            </a:graphic>
          </wp:inline>
        </w:drawing>
      </w:r>
      <w:r w:rsidRPr="006E0144">
        <w:rPr>
          <w:rFonts w:ascii="Verdana" w:hAnsi="Verdana"/>
          <w:noProof/>
          <w:sz w:val="18"/>
          <w:szCs w:val="18"/>
        </w:rPr>
        <w:drawing>
          <wp:inline distT="0" distB="0" distL="0" distR="0" wp14:anchorId="108A188F" wp14:editId="7EB52B68">
            <wp:extent cx="1990725" cy="2876550"/>
            <wp:effectExtent l="0" t="0" r="9525" b="0"/>
            <wp:docPr id="688574073"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990725" cy="2876550"/>
                    </a:xfrm>
                    <a:prstGeom prst="rect">
                      <a:avLst/>
                    </a:prstGeom>
                    <a:noFill/>
                    <a:ln>
                      <a:noFill/>
                    </a:ln>
                  </pic:spPr>
                </pic:pic>
              </a:graphicData>
            </a:graphic>
          </wp:inline>
        </w:drawing>
      </w:r>
    </w:p>
    <w:p w:rsidR="00AD2BDA" w:rsidP="006E0144" w:rsidRDefault="00AD2BDA" w14:paraId="1A17ADCD" w14:textId="3B7D10A7">
      <w:pPr>
        <w:spacing w:after="0" w:line="240" w:lineRule="auto"/>
        <w:jc w:val="center"/>
        <w:rPr>
          <w:rFonts w:ascii="Verdana" w:hAnsi="Verdana"/>
          <w:sz w:val="18"/>
          <w:szCs w:val="18"/>
        </w:rPr>
      </w:pPr>
      <w:r w:rsidRPr="006E0144">
        <w:rPr>
          <w:rFonts w:ascii="Verdana" w:hAnsi="Verdana"/>
          <w:sz w:val="18"/>
          <w:szCs w:val="18"/>
        </w:rPr>
        <w:t>Fuente: Capturas de las nuevas herramientas diseñadas para la vigencia 2024.</w:t>
      </w:r>
    </w:p>
    <w:p w:rsidR="006E0144" w:rsidP="006E0144" w:rsidRDefault="006E0144" w14:paraId="7255B7B3" w14:textId="77777777">
      <w:pPr>
        <w:spacing w:after="0" w:line="240" w:lineRule="auto"/>
        <w:jc w:val="center"/>
        <w:rPr>
          <w:rFonts w:ascii="Verdana" w:hAnsi="Verdana"/>
          <w:sz w:val="18"/>
          <w:szCs w:val="18"/>
        </w:rPr>
      </w:pPr>
    </w:p>
    <w:p w:rsidRPr="006E0144" w:rsidR="006E0144" w:rsidP="005358E1" w:rsidRDefault="006E0144" w14:paraId="10A2E2B9" w14:textId="77777777">
      <w:pPr>
        <w:spacing w:after="0" w:line="360" w:lineRule="auto"/>
        <w:jc w:val="center"/>
        <w:rPr>
          <w:rFonts w:ascii="Verdana" w:hAnsi="Verdana"/>
          <w:sz w:val="18"/>
          <w:szCs w:val="18"/>
        </w:rPr>
      </w:pPr>
    </w:p>
    <w:p w:rsidRPr="00AD2BDA" w:rsidR="00AD2BDA" w:rsidP="620A7E17" w:rsidRDefault="28F12D9C" w14:paraId="110EB97F" w14:textId="49A4772E">
      <w:pPr>
        <w:spacing w:after="0" w:line="360" w:lineRule="auto"/>
        <w:jc w:val="both"/>
        <w:rPr>
          <w:rFonts w:ascii="Verdana" w:hAnsi="Verdana"/>
          <w:sz w:val="24"/>
          <w:szCs w:val="24"/>
        </w:rPr>
      </w:pPr>
      <w:r w:rsidRPr="620A7E17">
        <w:rPr>
          <w:rFonts w:ascii="Verdana" w:hAnsi="Verdana"/>
          <w:b/>
          <w:bCs/>
          <w:sz w:val="24"/>
          <w:szCs w:val="24"/>
        </w:rPr>
        <w:t>Implementación del proyecto de innovación Solaris</w:t>
      </w:r>
      <w:r w:rsidRPr="620A7E17" w:rsidR="1FA2382C">
        <w:rPr>
          <w:rFonts w:ascii="Verdana" w:hAnsi="Verdana"/>
          <w:b/>
          <w:bCs/>
          <w:sz w:val="24"/>
          <w:szCs w:val="24"/>
        </w:rPr>
        <w:t>:</w:t>
      </w:r>
      <w:r w:rsidRPr="620A7E17" w:rsidR="1FA2382C">
        <w:rPr>
          <w:rFonts w:ascii="Verdana" w:hAnsi="Verdana"/>
          <w:sz w:val="24"/>
          <w:szCs w:val="24"/>
        </w:rPr>
        <w:t xml:space="preserve"> e</w:t>
      </w:r>
      <w:r w:rsidRPr="620A7E17">
        <w:rPr>
          <w:rFonts w:ascii="Verdana" w:hAnsi="Verdana"/>
          <w:sz w:val="24"/>
          <w:szCs w:val="24"/>
        </w:rPr>
        <w:t xml:space="preserve">l proyecto de innovación Solaris avanzó hacia su fase de implementación y difusión institucional. Con el apoyo del equipo de Relacionamiento con el Ciudadano y Comunicaciones, se adelantaron acciones orientadas a </w:t>
      </w:r>
      <w:r w:rsidRPr="620A7E17">
        <w:rPr>
          <w:rFonts w:ascii="Verdana" w:hAnsi="Verdana"/>
          <w:sz w:val="24"/>
          <w:szCs w:val="24"/>
        </w:rPr>
        <w:t>fortalecer capacidades institucionales para el relacionamiento con los territorios y la prestación del servicio. Entre las principales acciones desarrolladas se destacan: </w:t>
      </w:r>
    </w:p>
    <w:p w:rsidRPr="00AD2BDA" w:rsidR="00AD2BDA" w:rsidP="005358E1" w:rsidRDefault="00AD2BDA" w14:paraId="7CEEF15C" w14:textId="77777777">
      <w:pPr>
        <w:spacing w:after="0" w:line="360" w:lineRule="auto"/>
        <w:jc w:val="both"/>
        <w:rPr>
          <w:rFonts w:ascii="Verdana" w:hAnsi="Verdana"/>
          <w:sz w:val="24"/>
          <w:szCs w:val="24"/>
        </w:rPr>
      </w:pPr>
      <w:r w:rsidRPr="00AD2BDA">
        <w:rPr>
          <w:rFonts w:ascii="Verdana" w:hAnsi="Verdana"/>
          <w:sz w:val="24"/>
          <w:szCs w:val="24"/>
        </w:rPr>
        <w:t> </w:t>
      </w:r>
    </w:p>
    <w:p w:rsidR="006E0144" w:rsidRDefault="00AD2BDA" w14:paraId="36539A40" w14:textId="77777777">
      <w:pPr>
        <w:numPr>
          <w:ilvl w:val="0"/>
          <w:numId w:val="163"/>
        </w:numPr>
        <w:spacing w:after="0" w:line="360" w:lineRule="auto"/>
        <w:jc w:val="both"/>
        <w:rPr>
          <w:rFonts w:ascii="Verdana" w:hAnsi="Verdana"/>
          <w:sz w:val="24"/>
          <w:szCs w:val="24"/>
        </w:rPr>
      </w:pPr>
      <w:r w:rsidRPr="00AD2BDA">
        <w:rPr>
          <w:rFonts w:ascii="Verdana" w:hAnsi="Verdana"/>
          <w:sz w:val="24"/>
          <w:szCs w:val="24"/>
        </w:rPr>
        <w:t>Entrega inicial del Kit Solaris a áreas estratégicas de la entidad.  </w:t>
      </w:r>
    </w:p>
    <w:p w:rsidRPr="00AD2BDA" w:rsidR="00AD2BDA" w:rsidP="620A7E17" w:rsidRDefault="28F12D9C" w14:paraId="03B0F9F2" w14:textId="054392ED">
      <w:pPr>
        <w:numPr>
          <w:ilvl w:val="0"/>
          <w:numId w:val="163"/>
        </w:numPr>
        <w:spacing w:after="0" w:line="360" w:lineRule="auto"/>
        <w:jc w:val="both"/>
        <w:rPr>
          <w:rFonts w:ascii="Verdana" w:hAnsi="Verdana"/>
          <w:sz w:val="24"/>
          <w:szCs w:val="24"/>
        </w:rPr>
      </w:pPr>
      <w:r w:rsidRPr="620A7E17">
        <w:rPr>
          <w:rFonts w:ascii="Verdana" w:hAnsi="Verdana"/>
          <w:sz w:val="24"/>
          <w:szCs w:val="24"/>
        </w:rPr>
        <w:t>Diseño e implementación del curso virtual “Embajadores Solaris” en Moodle, compuesto por ocho módulos de aprendizaje. </w:t>
      </w:r>
    </w:p>
    <w:p w:rsidRPr="00AD2BDA" w:rsidR="00AD2BDA" w:rsidP="620A7E17" w:rsidRDefault="28F12D9C" w14:paraId="3E87F5E3" w14:textId="08546F6D">
      <w:pPr>
        <w:numPr>
          <w:ilvl w:val="0"/>
          <w:numId w:val="163"/>
        </w:numPr>
        <w:spacing w:after="0" w:line="360" w:lineRule="auto"/>
        <w:jc w:val="both"/>
        <w:rPr>
          <w:rFonts w:ascii="Verdana" w:hAnsi="Verdana"/>
          <w:sz w:val="24"/>
          <w:szCs w:val="24"/>
        </w:rPr>
      </w:pPr>
      <w:r w:rsidRPr="620A7E17">
        <w:rPr>
          <w:rFonts w:ascii="Verdana" w:hAnsi="Verdana"/>
          <w:sz w:val="24"/>
          <w:szCs w:val="24"/>
        </w:rPr>
        <w:t>Desarrollo de la estrategia de difusión “Premier Solaris”, mediante un cortometraje institucional orientado a socializar el proceso de implementación y resultados del proyecto. </w:t>
      </w:r>
    </w:p>
    <w:p w:rsidRPr="00AD2BDA" w:rsidR="00AD2BDA" w:rsidP="005358E1" w:rsidRDefault="00AD2BDA" w14:paraId="72505FB7" w14:textId="55EA059A">
      <w:pPr>
        <w:spacing w:after="0" w:line="360" w:lineRule="auto"/>
        <w:jc w:val="both"/>
        <w:rPr>
          <w:rFonts w:ascii="Verdana" w:hAnsi="Verdana"/>
          <w:sz w:val="24"/>
          <w:szCs w:val="24"/>
        </w:rPr>
      </w:pPr>
      <w:r w:rsidRPr="00AD2BDA">
        <w:rPr>
          <w:rFonts w:ascii="Verdana" w:hAnsi="Verdana"/>
          <w:sz w:val="24"/>
          <w:szCs w:val="24"/>
        </w:rPr>
        <w:t>   </w:t>
      </w:r>
    </w:p>
    <w:p w:rsidRPr="00AD2BDA" w:rsidR="00AD2BDA" w:rsidP="620A7E17" w:rsidRDefault="28F12D9C" w14:paraId="6C467375" w14:textId="544D0452">
      <w:pPr>
        <w:spacing w:after="0" w:line="360" w:lineRule="auto"/>
        <w:jc w:val="both"/>
        <w:rPr>
          <w:rFonts w:ascii="Verdana" w:hAnsi="Verdana"/>
          <w:sz w:val="24"/>
          <w:szCs w:val="24"/>
        </w:rPr>
      </w:pPr>
      <w:r w:rsidRPr="620A7E17">
        <w:rPr>
          <w:rFonts w:ascii="Verdana" w:hAnsi="Verdana"/>
          <w:b/>
          <w:bCs/>
          <w:sz w:val="24"/>
          <w:szCs w:val="24"/>
        </w:rPr>
        <w:t>Consolidación del Laboratorio Digital IluMinna </w:t>
      </w:r>
      <w:r w:rsidRPr="620A7E17" w:rsidR="1C5740A1">
        <w:rPr>
          <w:rFonts w:ascii="Verdana" w:hAnsi="Verdana"/>
          <w:b/>
          <w:bCs/>
          <w:sz w:val="24"/>
          <w:szCs w:val="24"/>
        </w:rPr>
        <w:t>:</w:t>
      </w:r>
      <w:r w:rsidRPr="620A7E17" w:rsidR="1C5740A1">
        <w:rPr>
          <w:rFonts w:ascii="Verdana" w:hAnsi="Verdana"/>
          <w:sz w:val="24"/>
          <w:szCs w:val="24"/>
        </w:rPr>
        <w:t xml:space="preserve"> </w:t>
      </w:r>
      <w:r w:rsidRPr="620A7E17">
        <w:rPr>
          <w:rFonts w:ascii="Verdana" w:hAnsi="Verdana"/>
          <w:sz w:val="24"/>
          <w:szCs w:val="24"/>
        </w:rPr>
        <w:t>la implementación del Laboratorio Digital IluMinna </w:t>
      </w:r>
      <w:r w:rsidRPr="620A7E17" w:rsidR="5067625C">
        <w:rPr>
          <w:rFonts w:ascii="Verdana" w:hAnsi="Verdana"/>
          <w:sz w:val="24"/>
          <w:szCs w:val="24"/>
        </w:rPr>
        <w:t xml:space="preserve"> se estableció </w:t>
      </w:r>
      <w:r w:rsidRPr="620A7E17">
        <w:rPr>
          <w:rFonts w:ascii="Verdana" w:hAnsi="Verdana"/>
          <w:sz w:val="24"/>
          <w:szCs w:val="24"/>
        </w:rPr>
        <w:t>como herramienta institucional para dinamizar procesos de innovación pública. El laboratorio permitió a los equipos de trabajo acceder de manera autoguiada a metodologías, herramientas y rutas para desarrollar procesos de innovación institucional. </w:t>
      </w:r>
    </w:p>
    <w:p w:rsidRPr="00AD2BDA" w:rsidR="00AD2BDA" w:rsidP="005358E1" w:rsidRDefault="00AD2BDA" w14:paraId="65C84AD5" w14:textId="77777777">
      <w:pPr>
        <w:spacing w:after="0" w:line="360" w:lineRule="auto"/>
        <w:jc w:val="both"/>
        <w:rPr>
          <w:rFonts w:ascii="Verdana" w:hAnsi="Verdana"/>
          <w:sz w:val="24"/>
          <w:szCs w:val="24"/>
        </w:rPr>
      </w:pPr>
      <w:r w:rsidRPr="00AD2BDA">
        <w:rPr>
          <w:rFonts w:ascii="Verdana" w:hAnsi="Verdana"/>
          <w:sz w:val="24"/>
          <w:szCs w:val="24"/>
        </w:rPr>
        <w:t>  </w:t>
      </w:r>
    </w:p>
    <w:p w:rsidRPr="00AD2BDA" w:rsidR="00AD2BDA" w:rsidP="620A7E17" w:rsidRDefault="28F12D9C" w14:paraId="71D125E3" w14:textId="7DA3C1C1">
      <w:pPr>
        <w:spacing w:after="0" w:line="360" w:lineRule="auto"/>
        <w:jc w:val="both"/>
        <w:rPr>
          <w:rFonts w:ascii="Verdana" w:hAnsi="Verdana"/>
          <w:sz w:val="24"/>
          <w:szCs w:val="24"/>
        </w:rPr>
      </w:pPr>
      <w:r w:rsidRPr="620A7E17">
        <w:rPr>
          <w:rFonts w:ascii="Verdana" w:hAnsi="Verdana"/>
          <w:b/>
          <w:bCs/>
          <w:sz w:val="24"/>
          <w:szCs w:val="24"/>
        </w:rPr>
        <w:t>Laboratorio de Innovación de la Energía del Cambio en territorio</w:t>
      </w:r>
      <w:r w:rsidRPr="620A7E17" w:rsidR="78351F56">
        <w:rPr>
          <w:rFonts w:ascii="Verdana" w:hAnsi="Verdana"/>
          <w:b/>
          <w:bCs/>
          <w:sz w:val="24"/>
          <w:szCs w:val="24"/>
        </w:rPr>
        <w:t xml:space="preserve">: </w:t>
      </w:r>
      <w:r w:rsidRPr="620A7E17" w:rsidR="78351F56">
        <w:rPr>
          <w:rFonts w:ascii="Verdana" w:hAnsi="Verdana"/>
          <w:sz w:val="24"/>
          <w:szCs w:val="24"/>
        </w:rPr>
        <w:t>c</w:t>
      </w:r>
      <w:r w:rsidRPr="620A7E17">
        <w:rPr>
          <w:rFonts w:ascii="Verdana" w:hAnsi="Verdana"/>
          <w:sz w:val="24"/>
          <w:szCs w:val="24"/>
        </w:rPr>
        <w:t>omo resultado de la consolidación de IluMinna, durante esta vigencia se desarrolló el Laboratorio de Innovación de la Energía del Cambio en territorio, llevando metodologías de innovación a comunidades y escenarios académicos. La estrategia se implementó en: </w:t>
      </w:r>
    </w:p>
    <w:p w:rsidRPr="00AD2BDA" w:rsidR="00AD2BDA" w:rsidP="005358E1" w:rsidRDefault="00AD2BDA" w14:paraId="7FA75D63" w14:textId="77777777">
      <w:pPr>
        <w:spacing w:after="0" w:line="360" w:lineRule="auto"/>
        <w:jc w:val="both"/>
        <w:rPr>
          <w:rFonts w:ascii="Verdana" w:hAnsi="Verdana"/>
          <w:sz w:val="24"/>
          <w:szCs w:val="24"/>
        </w:rPr>
      </w:pPr>
      <w:r w:rsidRPr="00AD2BDA">
        <w:rPr>
          <w:rFonts w:ascii="Verdana" w:hAnsi="Verdana"/>
          <w:sz w:val="24"/>
          <w:szCs w:val="24"/>
        </w:rPr>
        <w:t> </w:t>
      </w:r>
    </w:p>
    <w:p w:rsidRPr="00AD2BDA" w:rsidR="00AD2BDA" w:rsidRDefault="00AD2BDA" w14:paraId="52B69CC5" w14:textId="77777777">
      <w:pPr>
        <w:numPr>
          <w:ilvl w:val="0"/>
          <w:numId w:val="138"/>
        </w:numPr>
        <w:spacing w:after="0" w:line="360" w:lineRule="auto"/>
        <w:jc w:val="both"/>
        <w:rPr>
          <w:rFonts w:ascii="Verdana" w:hAnsi="Verdana"/>
          <w:sz w:val="24"/>
          <w:szCs w:val="24"/>
        </w:rPr>
      </w:pPr>
      <w:r w:rsidRPr="00AD2BDA">
        <w:rPr>
          <w:rFonts w:ascii="Verdana" w:hAnsi="Verdana"/>
          <w:sz w:val="24"/>
          <w:szCs w:val="24"/>
        </w:rPr>
        <w:t>Buriticá, con familias mineras del territorio. </w:t>
      </w:r>
    </w:p>
    <w:p w:rsidRPr="00AD2BDA" w:rsidR="00AD2BDA" w:rsidRDefault="00AD2BDA" w14:paraId="42A90A82" w14:textId="77777777">
      <w:pPr>
        <w:numPr>
          <w:ilvl w:val="0"/>
          <w:numId w:val="139"/>
        </w:numPr>
        <w:spacing w:after="0" w:line="360" w:lineRule="auto"/>
        <w:jc w:val="both"/>
        <w:rPr>
          <w:rFonts w:ascii="Verdana" w:hAnsi="Verdana"/>
          <w:sz w:val="24"/>
          <w:szCs w:val="24"/>
        </w:rPr>
      </w:pPr>
      <w:r w:rsidRPr="00AD2BDA">
        <w:rPr>
          <w:rFonts w:ascii="Verdana" w:hAnsi="Verdana"/>
          <w:sz w:val="24"/>
          <w:szCs w:val="24"/>
        </w:rPr>
        <w:t>Universidad del Norte en Barranquilla. </w:t>
      </w:r>
    </w:p>
    <w:p w:rsidRPr="00AD2BDA" w:rsidR="00AD2BDA" w:rsidRDefault="00AD2BDA" w14:paraId="6A04E801" w14:textId="77777777">
      <w:pPr>
        <w:numPr>
          <w:ilvl w:val="0"/>
          <w:numId w:val="140"/>
        </w:numPr>
        <w:spacing w:after="0" w:line="360" w:lineRule="auto"/>
        <w:jc w:val="both"/>
        <w:rPr>
          <w:rFonts w:ascii="Verdana" w:hAnsi="Verdana"/>
          <w:sz w:val="24"/>
          <w:szCs w:val="24"/>
        </w:rPr>
      </w:pPr>
      <w:r w:rsidRPr="00AD2BDA">
        <w:rPr>
          <w:rFonts w:ascii="Verdana" w:hAnsi="Verdana"/>
          <w:sz w:val="24"/>
          <w:szCs w:val="24"/>
        </w:rPr>
        <w:t>Universidad del Valle en Cali. </w:t>
      </w:r>
    </w:p>
    <w:p w:rsidR="006E0144" w:rsidP="005358E1" w:rsidRDefault="006E0144" w14:paraId="440653F0" w14:textId="77777777">
      <w:pPr>
        <w:spacing w:after="0" w:line="360" w:lineRule="auto"/>
        <w:jc w:val="both"/>
        <w:rPr>
          <w:rFonts w:ascii="Verdana" w:hAnsi="Verdana"/>
          <w:sz w:val="24"/>
          <w:szCs w:val="24"/>
        </w:rPr>
      </w:pPr>
    </w:p>
    <w:p w:rsidRPr="00AD2BDA" w:rsidR="00AD2BDA" w:rsidP="005358E1" w:rsidRDefault="00AD2BDA" w14:paraId="594552D7" w14:textId="65608CCC">
      <w:pPr>
        <w:spacing w:after="0" w:line="360" w:lineRule="auto"/>
        <w:jc w:val="both"/>
        <w:rPr>
          <w:rFonts w:ascii="Verdana" w:hAnsi="Verdana"/>
          <w:sz w:val="24"/>
          <w:szCs w:val="24"/>
        </w:rPr>
      </w:pPr>
      <w:r w:rsidRPr="00AD2BDA">
        <w:rPr>
          <w:rFonts w:ascii="Verdana" w:hAnsi="Verdana"/>
          <w:sz w:val="24"/>
          <w:szCs w:val="24"/>
        </w:rPr>
        <w:t xml:space="preserve">Estas experiencias permitieron acercar herramientas de innovación pública a ciudadanía y estudiantes mediante ejercicios prácticos de </w:t>
      </w:r>
      <w:r w:rsidRPr="00AD2BDA">
        <w:rPr>
          <w:rFonts w:ascii="Verdana" w:hAnsi="Verdana"/>
          <w:sz w:val="24"/>
          <w:szCs w:val="24"/>
        </w:rPr>
        <w:t>solución de retos territoriales con las mismas comunidades, quienes vivieron un proceso de Innovación real, con la metodología consolidada en el Laboratorio Digital del Ministerio. </w:t>
      </w:r>
    </w:p>
    <w:p w:rsidRPr="00AD2BDA" w:rsidR="00AD2BDA" w:rsidP="005358E1" w:rsidRDefault="00AD2BDA" w14:paraId="21635E2E" w14:textId="41CEF242">
      <w:pPr>
        <w:spacing w:after="0" w:line="360" w:lineRule="auto"/>
        <w:jc w:val="both"/>
        <w:rPr>
          <w:rFonts w:ascii="Verdana" w:hAnsi="Verdana"/>
          <w:sz w:val="24"/>
          <w:szCs w:val="24"/>
        </w:rPr>
      </w:pPr>
      <w:r w:rsidRPr="00AD2BDA">
        <w:rPr>
          <w:rFonts w:ascii="Verdana" w:hAnsi="Verdana"/>
          <w:sz w:val="24"/>
          <w:szCs w:val="24"/>
        </w:rPr>
        <w:t>   </w:t>
      </w:r>
    </w:p>
    <w:p w:rsidRPr="00AD2BDA" w:rsidR="00AD2BDA" w:rsidP="620A7E17" w:rsidRDefault="28F12D9C" w14:paraId="66CACB20" w14:textId="71BEF27C">
      <w:pPr>
        <w:spacing w:after="0" w:line="360" w:lineRule="auto"/>
        <w:jc w:val="both"/>
        <w:rPr>
          <w:rFonts w:ascii="Verdana" w:hAnsi="Verdana"/>
          <w:sz w:val="24"/>
          <w:szCs w:val="24"/>
        </w:rPr>
      </w:pPr>
      <w:r w:rsidRPr="620A7E17">
        <w:rPr>
          <w:rFonts w:ascii="Verdana" w:hAnsi="Verdana"/>
          <w:b/>
          <w:bCs/>
          <w:sz w:val="24"/>
          <w:szCs w:val="24"/>
        </w:rPr>
        <w:t>Fortalecimiento de Moodle y nuevas herramientas digitales</w:t>
      </w:r>
      <w:r w:rsidRPr="620A7E17" w:rsidR="1695A269">
        <w:rPr>
          <w:rFonts w:ascii="Verdana" w:hAnsi="Verdana"/>
          <w:b/>
          <w:bCs/>
          <w:sz w:val="24"/>
          <w:szCs w:val="24"/>
        </w:rPr>
        <w:t>:</w:t>
      </w:r>
      <w:r w:rsidRPr="620A7E17" w:rsidR="1695A269">
        <w:rPr>
          <w:rFonts w:ascii="Verdana" w:hAnsi="Verdana"/>
          <w:sz w:val="24"/>
          <w:szCs w:val="24"/>
        </w:rPr>
        <w:t xml:space="preserve"> d</w:t>
      </w:r>
      <w:r w:rsidRPr="620A7E17">
        <w:rPr>
          <w:rFonts w:ascii="Verdana" w:hAnsi="Verdana"/>
          <w:sz w:val="24"/>
          <w:szCs w:val="24"/>
        </w:rPr>
        <w:t>esde esta vigencia se fortaleció la actualización permanente de la plataforma Moodle, así como la versión de su servidor, brindando acompañamiento técnico y metodológico a las diferentes áreas interesadas en diseñar y publicar cursos institucionales. Para ese año la plataforma contaba con siete cursos nuevos publicados, entre ellos el curso Embajadores Solaris.  </w:t>
      </w:r>
    </w:p>
    <w:p w:rsidRPr="00AD2BDA" w:rsidR="00AD2BDA" w:rsidP="005358E1" w:rsidRDefault="00AD2BDA" w14:paraId="0CDF7AA5" w14:textId="77777777">
      <w:pPr>
        <w:spacing w:after="0" w:line="360" w:lineRule="auto"/>
        <w:jc w:val="both"/>
        <w:rPr>
          <w:rFonts w:ascii="Verdana" w:hAnsi="Verdana"/>
          <w:sz w:val="24"/>
          <w:szCs w:val="24"/>
        </w:rPr>
      </w:pPr>
      <w:r w:rsidRPr="00AD2BDA">
        <w:rPr>
          <w:rFonts w:ascii="Verdana" w:hAnsi="Verdana"/>
          <w:sz w:val="24"/>
          <w:szCs w:val="24"/>
        </w:rPr>
        <w:t> </w:t>
      </w:r>
    </w:p>
    <w:p w:rsidRPr="00AD2BDA" w:rsidR="00AD2BDA" w:rsidP="620A7E17" w:rsidRDefault="28F12D9C" w14:paraId="7A59215E" w14:textId="58746E2E">
      <w:pPr>
        <w:spacing w:after="0" w:line="360" w:lineRule="auto"/>
        <w:jc w:val="both"/>
        <w:rPr>
          <w:rFonts w:ascii="Verdana" w:hAnsi="Verdana"/>
          <w:sz w:val="24"/>
          <w:szCs w:val="24"/>
        </w:rPr>
      </w:pPr>
      <w:r w:rsidRPr="620A7E17">
        <w:rPr>
          <w:rFonts w:ascii="Verdana" w:hAnsi="Verdana"/>
          <w:b/>
          <w:bCs/>
          <w:sz w:val="24"/>
          <w:szCs w:val="24"/>
        </w:rPr>
        <w:t>Nueva sección web de Gestión del Conocimiento e Innovación</w:t>
      </w:r>
      <w:r w:rsidRPr="620A7E17" w:rsidR="3930BFC3">
        <w:rPr>
          <w:rFonts w:ascii="Verdana" w:hAnsi="Verdana"/>
          <w:b/>
          <w:bCs/>
          <w:sz w:val="24"/>
          <w:szCs w:val="24"/>
        </w:rPr>
        <w:t>:</w:t>
      </w:r>
      <w:r w:rsidRPr="620A7E17" w:rsidR="3930BFC3">
        <w:rPr>
          <w:rFonts w:ascii="Verdana" w:hAnsi="Verdana"/>
          <w:sz w:val="24"/>
          <w:szCs w:val="24"/>
        </w:rPr>
        <w:t xml:space="preserve"> s</w:t>
      </w:r>
      <w:r w:rsidRPr="620A7E17">
        <w:rPr>
          <w:rFonts w:ascii="Verdana" w:hAnsi="Verdana"/>
          <w:sz w:val="24"/>
          <w:szCs w:val="24"/>
        </w:rPr>
        <w:t>e diseñó y desplegó la nueva sección web de Gestión del Conocimiento e Innovación en la página principal del Ministerio, consolidando un espacio institucional para centralizar herramientas, contenidos y estrategias relacionadas con la política. </w:t>
      </w:r>
    </w:p>
    <w:p w:rsidRPr="00AD2BDA" w:rsidR="00AD2BDA" w:rsidP="005358E1" w:rsidRDefault="28F12D9C" w14:paraId="1BF89344" w14:textId="2BBE07CA">
      <w:pPr>
        <w:spacing w:after="0" w:line="360" w:lineRule="auto"/>
        <w:jc w:val="both"/>
      </w:pPr>
      <w:r w:rsidRPr="620A7E17">
        <w:rPr>
          <w:rFonts w:ascii="Verdana" w:hAnsi="Verdana"/>
          <w:sz w:val="24"/>
          <w:szCs w:val="24"/>
        </w:rPr>
        <w:t> </w:t>
      </w:r>
    </w:p>
    <w:p w:rsidRPr="00AD2BDA" w:rsidR="00AD2BDA" w:rsidP="005358E1" w:rsidRDefault="28F12D9C" w14:paraId="0D556B89" w14:textId="1E3945F5">
      <w:pPr>
        <w:spacing w:after="0" w:line="360" w:lineRule="auto"/>
        <w:jc w:val="both"/>
        <w:rPr>
          <w:rFonts w:ascii="Verdana" w:hAnsi="Verdana"/>
          <w:sz w:val="24"/>
          <w:szCs w:val="24"/>
        </w:rPr>
      </w:pPr>
      <w:r w:rsidRPr="620A7E17">
        <w:rPr>
          <w:rFonts w:ascii="Verdana" w:hAnsi="Verdana"/>
          <w:b/>
          <w:bCs/>
          <w:sz w:val="24"/>
          <w:szCs w:val="24"/>
        </w:rPr>
        <w:t>Conceptualización del coworking innovador</w:t>
      </w:r>
      <w:r w:rsidRPr="620A7E17" w:rsidR="1C140DED">
        <w:rPr>
          <w:rFonts w:ascii="Verdana" w:hAnsi="Verdana"/>
          <w:b/>
          <w:bCs/>
          <w:sz w:val="24"/>
          <w:szCs w:val="24"/>
        </w:rPr>
        <w:t>:</w:t>
      </w:r>
      <w:r w:rsidRPr="620A7E17" w:rsidR="1C140DED">
        <w:rPr>
          <w:rFonts w:ascii="Verdana" w:hAnsi="Verdana"/>
          <w:sz w:val="24"/>
          <w:szCs w:val="24"/>
        </w:rPr>
        <w:t xml:space="preserve"> c</w:t>
      </w:r>
      <w:r w:rsidRPr="620A7E17">
        <w:rPr>
          <w:rFonts w:ascii="Verdana" w:hAnsi="Verdana"/>
          <w:sz w:val="24"/>
          <w:szCs w:val="24"/>
        </w:rPr>
        <w:t>omo parte de la estrategia de cultura innovadora, se conceptualizó el coworking innovador del Ministerio como un espacio orientado a facilitar el intercambio de ideas, el trabajo colaborativo y la construcción conjunta de soluciones institucionales. En este espacio también se implementaron cajas denominadas “antiestrés”, las cuales contenían juegos didácticos y herramientas de destreza y dinámicas de lógica, orientadas a fortalecer habilidades asociadas a la creatividad, la resolución de problemas, el pensamiento estratégico y la innovación. </w:t>
      </w:r>
    </w:p>
    <w:p w:rsidRPr="00AD2BDA" w:rsidR="00AD2BDA" w:rsidP="005358E1" w:rsidRDefault="00AD2BDA" w14:paraId="449B564C" w14:textId="1E0187B5">
      <w:pPr>
        <w:spacing w:after="0" w:line="360" w:lineRule="auto"/>
        <w:jc w:val="both"/>
        <w:rPr>
          <w:rFonts w:ascii="Verdana" w:hAnsi="Verdana"/>
          <w:sz w:val="24"/>
          <w:szCs w:val="24"/>
        </w:rPr>
      </w:pPr>
      <w:r w:rsidRPr="00AD2BDA">
        <w:rPr>
          <w:rFonts w:ascii="Verdana" w:hAnsi="Verdana"/>
          <w:sz w:val="24"/>
          <w:szCs w:val="24"/>
        </w:rPr>
        <w:t>  </w:t>
      </w:r>
    </w:p>
    <w:p w:rsidRPr="00AD2BDA" w:rsidR="00AD2BDA" w:rsidP="620A7E17" w:rsidRDefault="28F12D9C" w14:paraId="7058F179" w14:textId="3B842318">
      <w:pPr>
        <w:spacing w:after="0" w:line="360" w:lineRule="auto"/>
        <w:jc w:val="both"/>
        <w:rPr>
          <w:rFonts w:ascii="Verdana" w:hAnsi="Verdana"/>
          <w:sz w:val="24"/>
          <w:szCs w:val="24"/>
        </w:rPr>
      </w:pPr>
      <w:r w:rsidRPr="620A7E17">
        <w:rPr>
          <w:rFonts w:ascii="Verdana" w:hAnsi="Verdana"/>
          <w:b/>
          <w:bCs/>
          <w:sz w:val="24"/>
          <w:szCs w:val="24"/>
        </w:rPr>
        <w:t>Rinc</w:t>
      </w:r>
      <w:r w:rsidRPr="620A7E17" w:rsidR="28562C7C">
        <w:rPr>
          <w:rFonts w:ascii="Verdana" w:hAnsi="Verdana"/>
          <w:b/>
          <w:bCs/>
          <w:sz w:val="24"/>
          <w:szCs w:val="24"/>
        </w:rPr>
        <w:t>ó</w:t>
      </w:r>
      <w:r w:rsidRPr="620A7E17">
        <w:rPr>
          <w:rFonts w:ascii="Verdana" w:hAnsi="Verdana"/>
          <w:b/>
          <w:bCs/>
          <w:sz w:val="24"/>
          <w:szCs w:val="24"/>
        </w:rPr>
        <w:t>n del conocimiento</w:t>
      </w:r>
      <w:r w:rsidRPr="620A7E17" w:rsidR="0A72DBBE">
        <w:rPr>
          <w:rFonts w:ascii="Verdana" w:hAnsi="Verdana"/>
          <w:b/>
          <w:bCs/>
          <w:sz w:val="24"/>
          <w:szCs w:val="24"/>
        </w:rPr>
        <w:t>:</w:t>
      </w:r>
      <w:r w:rsidRPr="620A7E17" w:rsidR="0A72DBBE">
        <w:rPr>
          <w:rFonts w:ascii="Verdana" w:hAnsi="Verdana"/>
          <w:sz w:val="24"/>
          <w:szCs w:val="24"/>
        </w:rPr>
        <w:t xml:space="preserve"> d</w:t>
      </w:r>
      <w:r w:rsidRPr="620A7E17">
        <w:rPr>
          <w:rFonts w:ascii="Verdana" w:hAnsi="Verdana"/>
          <w:sz w:val="24"/>
          <w:szCs w:val="24"/>
        </w:rPr>
        <w:t xml:space="preserve">urante el cuatrienio se consolidó el Rincón del Conocimiento como un espacio institucional orientado al fortalecimiento de la cultura de gestión del conocimiento y la innovación </w:t>
      </w:r>
      <w:r w:rsidRPr="620A7E17">
        <w:rPr>
          <w:rFonts w:ascii="Verdana" w:hAnsi="Verdana"/>
          <w:sz w:val="24"/>
          <w:szCs w:val="24"/>
        </w:rPr>
        <w:t>dentro de la entidad. Esta iniciativa permitió generar encuentros participativos y dinámicos para promover la apropiación, intercambio y transferencia de saberes entre servidores y colaboradores, mediante actividades pedagógicas, experienciales y temáticas relacionadas con buenas prácticas, lecciones aprendidas, innovación y fortalecimiento institucional. El espacio se posicionó como una estrategia de integración y aprendizaje colectivo, fomentando la colaboración entre dependencias y contribuyendo a la generación de entornos propicios para compartir experiencias, visibilizar capacidades y fortalecer la memoria institucional. </w:t>
      </w:r>
    </w:p>
    <w:p w:rsidRPr="00AD2BDA" w:rsidR="00AD2BDA" w:rsidP="005358E1" w:rsidRDefault="00AD2BDA" w14:paraId="1F34AD70" w14:textId="77777777">
      <w:pPr>
        <w:spacing w:after="0" w:line="360" w:lineRule="auto"/>
        <w:jc w:val="both"/>
        <w:rPr>
          <w:rFonts w:ascii="Verdana" w:hAnsi="Verdana"/>
          <w:sz w:val="24"/>
          <w:szCs w:val="24"/>
        </w:rPr>
      </w:pPr>
      <w:r w:rsidRPr="00AD2BDA">
        <w:rPr>
          <w:rFonts w:ascii="Verdana" w:hAnsi="Verdana"/>
          <w:sz w:val="24"/>
          <w:szCs w:val="24"/>
        </w:rPr>
        <w:t> </w:t>
      </w:r>
    </w:p>
    <w:p w:rsidRPr="00AD2BDA" w:rsidR="00AD2BDA" w:rsidP="620A7E17" w:rsidRDefault="28F12D9C" w14:paraId="19FC7ABD" w14:textId="39753193">
      <w:pPr>
        <w:spacing w:after="0" w:line="360" w:lineRule="auto"/>
        <w:jc w:val="both"/>
        <w:rPr>
          <w:rFonts w:ascii="Verdana" w:hAnsi="Verdana"/>
          <w:sz w:val="24"/>
          <w:szCs w:val="24"/>
        </w:rPr>
      </w:pPr>
      <w:r w:rsidRPr="620A7E17">
        <w:rPr>
          <w:rFonts w:ascii="Verdana" w:hAnsi="Verdana"/>
          <w:b/>
          <w:bCs/>
          <w:sz w:val="24"/>
          <w:szCs w:val="24"/>
        </w:rPr>
        <w:t>Universidad MinEnergía</w:t>
      </w:r>
      <w:r w:rsidRPr="620A7E17" w:rsidR="2EC34F77">
        <w:rPr>
          <w:rFonts w:ascii="Verdana" w:hAnsi="Verdana"/>
          <w:b/>
          <w:bCs/>
          <w:sz w:val="24"/>
          <w:szCs w:val="24"/>
        </w:rPr>
        <w:t>:</w:t>
      </w:r>
      <w:r w:rsidRPr="620A7E17" w:rsidR="2EC34F77">
        <w:rPr>
          <w:rFonts w:ascii="Verdana" w:hAnsi="Verdana"/>
          <w:sz w:val="24"/>
          <w:szCs w:val="24"/>
        </w:rPr>
        <w:t xml:space="preserve"> d</w:t>
      </w:r>
      <w:r w:rsidRPr="620A7E17">
        <w:rPr>
          <w:rFonts w:ascii="Verdana" w:hAnsi="Verdana"/>
          <w:sz w:val="24"/>
          <w:szCs w:val="24"/>
        </w:rPr>
        <w:t>urante el cuatrienio se fortaleció la Universidad MinEnergía como una estrategia institucional para ampliar el acceso a procesos de formación, actualización y transferencia de conocimiento. A través de cursos, charlas, talleres y espacios de aprendizaje, esta iniciativa permitió desarrollar capacidades técnicas, administrativas y transversales, promoviendo el mejoramiento continuo, la apropiación de saberes estratégicos y el fortalecimiento del talento humano vinculado a la entidad. En total, entre 2024, 2025 y 2026 se capacitaron 10.710 personas, consolidando la Universidad MinEnergía como un mecanismo clave para impulsar el aprendizaje institucional y contribuir al cumplimiento de los objetivos del sector minero-energético. </w:t>
      </w:r>
    </w:p>
    <w:p w:rsidRPr="00AD2BDA" w:rsidR="00AD2BDA" w:rsidP="005358E1" w:rsidRDefault="00AD2BDA" w14:paraId="05FD74B0" w14:textId="77777777">
      <w:pPr>
        <w:spacing w:after="0" w:line="360" w:lineRule="auto"/>
        <w:jc w:val="both"/>
        <w:rPr>
          <w:rFonts w:ascii="Verdana" w:hAnsi="Verdana"/>
          <w:sz w:val="24"/>
          <w:szCs w:val="24"/>
        </w:rPr>
      </w:pPr>
      <w:r w:rsidRPr="00AD2BDA">
        <w:rPr>
          <w:rFonts w:ascii="Verdana" w:hAnsi="Verdana"/>
          <w:sz w:val="24"/>
          <w:szCs w:val="24"/>
        </w:rPr>
        <w:t> </w:t>
      </w:r>
    </w:p>
    <w:p w:rsidRPr="00AD2BDA" w:rsidR="00AD2BDA" w:rsidP="620A7E17" w:rsidRDefault="28F12D9C" w14:paraId="2DDFDFDC" w14:textId="61599874">
      <w:pPr>
        <w:spacing w:after="0" w:line="360" w:lineRule="auto"/>
        <w:jc w:val="both"/>
        <w:rPr>
          <w:rFonts w:ascii="Verdana" w:hAnsi="Verdana"/>
          <w:sz w:val="24"/>
          <w:szCs w:val="24"/>
        </w:rPr>
      </w:pPr>
      <w:r w:rsidRPr="620A7E17">
        <w:rPr>
          <w:rFonts w:ascii="Verdana" w:hAnsi="Verdana"/>
          <w:b/>
          <w:bCs/>
          <w:sz w:val="24"/>
          <w:szCs w:val="24"/>
        </w:rPr>
        <w:t>Fortalecimiento del procedimiento GESCO + I:</w:t>
      </w:r>
      <w:r w:rsidRPr="620A7E17" w:rsidR="24FAAAA4">
        <w:rPr>
          <w:rFonts w:ascii="Verdana" w:hAnsi="Verdana"/>
          <w:sz w:val="24"/>
          <w:szCs w:val="24"/>
        </w:rPr>
        <w:t xml:space="preserve"> d</w:t>
      </w:r>
      <w:r w:rsidRPr="620A7E17">
        <w:rPr>
          <w:rFonts w:ascii="Verdana" w:hAnsi="Verdana"/>
          <w:sz w:val="24"/>
          <w:szCs w:val="24"/>
        </w:rPr>
        <w:t>urante esta vigencia se adelantó la construcción y actualización del procedimiento de Gestión del Conocimiento e Innovación, con el propósito de fortalecer su alineación con el Sistema Integrado de Gestión y consolidar los lineamientos institucionales del proceso. Este ejercicio permitió establecer las bases metodológicas y técnicas para su posterior ajuste, validación y consolidación dentro del sistema institucional durante la vigencia 2025. </w:t>
      </w:r>
    </w:p>
    <w:p w:rsidRPr="00AD2BDA" w:rsidR="00AD2BDA" w:rsidP="005358E1" w:rsidRDefault="00AD2BDA" w14:paraId="009BD4C4" w14:textId="77777777">
      <w:pPr>
        <w:spacing w:after="0" w:line="360" w:lineRule="auto"/>
        <w:jc w:val="both"/>
        <w:rPr>
          <w:rFonts w:ascii="Verdana" w:hAnsi="Verdana"/>
          <w:sz w:val="24"/>
          <w:szCs w:val="24"/>
        </w:rPr>
      </w:pPr>
      <w:r w:rsidRPr="00AD2BDA">
        <w:rPr>
          <w:rFonts w:ascii="Verdana" w:hAnsi="Verdana"/>
          <w:sz w:val="24"/>
          <w:szCs w:val="24"/>
        </w:rPr>
        <w:t> </w:t>
      </w:r>
    </w:p>
    <w:p w:rsidRPr="006E0144" w:rsidR="00AD2BDA" w:rsidRDefault="00AD2BDA" w14:paraId="753E0E82" w14:textId="66720E3D">
      <w:pPr>
        <w:pStyle w:val="Prrafodelista"/>
        <w:numPr>
          <w:ilvl w:val="2"/>
          <w:numId w:val="95"/>
        </w:numPr>
        <w:spacing w:after="0" w:line="360" w:lineRule="auto"/>
        <w:jc w:val="both"/>
        <w:rPr>
          <w:rFonts w:ascii="Verdana" w:hAnsi="Verdana"/>
          <w:b/>
          <w:bCs/>
          <w:sz w:val="24"/>
          <w:szCs w:val="24"/>
        </w:rPr>
      </w:pPr>
      <w:r w:rsidRPr="006E0144">
        <w:rPr>
          <w:rFonts w:ascii="Verdana" w:hAnsi="Verdana"/>
          <w:b/>
          <w:bCs/>
          <w:sz w:val="24"/>
          <w:szCs w:val="24"/>
        </w:rPr>
        <w:t>Sostenibilidad y mejora continua de la estrategia de innovación </w:t>
      </w:r>
    </w:p>
    <w:p w:rsidRPr="00AD2BDA" w:rsidR="00AD2BDA" w:rsidP="005358E1" w:rsidRDefault="00AD2BDA" w14:paraId="68BF90FA" w14:textId="77777777">
      <w:pPr>
        <w:spacing w:after="0" w:line="360" w:lineRule="auto"/>
        <w:jc w:val="both"/>
        <w:rPr>
          <w:rFonts w:ascii="Verdana" w:hAnsi="Verdana"/>
          <w:sz w:val="24"/>
          <w:szCs w:val="24"/>
        </w:rPr>
      </w:pPr>
      <w:r w:rsidRPr="00AD2BDA">
        <w:rPr>
          <w:rFonts w:ascii="Verdana" w:hAnsi="Verdana"/>
          <w:sz w:val="24"/>
          <w:szCs w:val="24"/>
        </w:rPr>
        <w:t> </w:t>
      </w:r>
    </w:p>
    <w:p w:rsidRPr="00AD2BDA" w:rsidR="00AD2BDA" w:rsidP="005358E1" w:rsidRDefault="00AD2BDA" w14:paraId="1829C706" w14:textId="77777777">
      <w:pPr>
        <w:spacing w:after="0" w:line="360" w:lineRule="auto"/>
        <w:jc w:val="both"/>
        <w:rPr>
          <w:rFonts w:ascii="Verdana" w:hAnsi="Verdana"/>
          <w:sz w:val="24"/>
          <w:szCs w:val="24"/>
        </w:rPr>
      </w:pPr>
      <w:r w:rsidRPr="00AD2BDA">
        <w:rPr>
          <w:rFonts w:ascii="Verdana" w:hAnsi="Verdana"/>
          <w:sz w:val="24"/>
          <w:szCs w:val="24"/>
        </w:rPr>
        <w:t>Durante la vigencia 2025, el Ministerio de Minas y Energía continuó fortaleciendo las acciones orientadas a consolidar la cultura de innovación y gestión del conocimiento, promoviendo la mejora continua de herramientas, procesos y estrategias institucionales. </w:t>
      </w:r>
    </w:p>
    <w:p w:rsidR="006E0144" w:rsidP="005358E1" w:rsidRDefault="006E0144" w14:paraId="315EFB4F" w14:textId="77777777">
      <w:pPr>
        <w:spacing w:after="0" w:line="360" w:lineRule="auto"/>
        <w:jc w:val="both"/>
        <w:rPr>
          <w:rFonts w:ascii="Verdana" w:hAnsi="Verdana"/>
          <w:sz w:val="24"/>
          <w:szCs w:val="24"/>
        </w:rPr>
      </w:pPr>
    </w:p>
    <w:p w:rsidR="00AD2BDA" w:rsidP="005358E1" w:rsidRDefault="00AD2BDA" w14:paraId="15C502DB" w14:textId="4455F9DA">
      <w:pPr>
        <w:spacing w:after="0" w:line="360" w:lineRule="auto"/>
        <w:jc w:val="both"/>
        <w:rPr>
          <w:rFonts w:ascii="Verdana" w:hAnsi="Verdana"/>
          <w:sz w:val="24"/>
          <w:szCs w:val="24"/>
        </w:rPr>
      </w:pPr>
      <w:r w:rsidRPr="00AD2BDA">
        <w:rPr>
          <w:rFonts w:ascii="Verdana" w:hAnsi="Verdana"/>
          <w:sz w:val="24"/>
          <w:szCs w:val="24"/>
        </w:rPr>
        <w:t>La gestión adelantada durante esta vigencia estuvo enfocada en fortalecer la articulación entre áreas, ampliar el alcance de las estrategias de innovación, consolidar herramientas metodológicas y afianzar mecanismos de sostenibilidad para el proceso de Gestión del Conocimiento e Innovación al interior de la entidad. </w:t>
      </w:r>
    </w:p>
    <w:p w:rsidRPr="00AD2BDA" w:rsidR="006E0144" w:rsidP="005358E1" w:rsidRDefault="006E0144" w14:paraId="44638B15" w14:textId="77777777">
      <w:pPr>
        <w:spacing w:after="0" w:line="360" w:lineRule="auto"/>
        <w:jc w:val="both"/>
        <w:rPr>
          <w:rFonts w:ascii="Verdana" w:hAnsi="Verdana"/>
          <w:sz w:val="24"/>
          <w:szCs w:val="24"/>
        </w:rPr>
      </w:pPr>
    </w:p>
    <w:p w:rsidR="00AD2BDA" w:rsidP="620A7E17" w:rsidRDefault="28F12D9C" w14:paraId="446CCEB8" w14:textId="5568E308">
      <w:pPr>
        <w:spacing w:after="0" w:line="360" w:lineRule="auto"/>
        <w:jc w:val="both"/>
        <w:rPr>
          <w:rFonts w:ascii="Verdana" w:hAnsi="Verdana"/>
          <w:sz w:val="24"/>
          <w:szCs w:val="24"/>
        </w:rPr>
      </w:pPr>
      <w:r w:rsidRPr="620A7E17">
        <w:rPr>
          <w:rFonts w:ascii="Verdana" w:hAnsi="Verdana"/>
          <w:b/>
          <w:bCs/>
          <w:sz w:val="24"/>
          <w:szCs w:val="24"/>
        </w:rPr>
        <w:t>Nuevos retos de innovación institucional</w:t>
      </w:r>
      <w:r w:rsidRPr="620A7E17" w:rsidR="36E3FC81">
        <w:rPr>
          <w:rFonts w:ascii="Verdana" w:hAnsi="Verdana"/>
          <w:b/>
          <w:bCs/>
          <w:sz w:val="24"/>
          <w:szCs w:val="24"/>
        </w:rPr>
        <w:t>:</w:t>
      </w:r>
      <w:r w:rsidRPr="620A7E17" w:rsidR="36E3FC81">
        <w:rPr>
          <w:rFonts w:ascii="Verdana" w:hAnsi="Verdana"/>
          <w:sz w:val="24"/>
          <w:szCs w:val="24"/>
        </w:rPr>
        <w:t xml:space="preserve"> d</w:t>
      </w:r>
      <w:r w:rsidRPr="620A7E17">
        <w:rPr>
          <w:rFonts w:ascii="Verdana" w:hAnsi="Verdana"/>
          <w:sz w:val="24"/>
          <w:szCs w:val="24"/>
        </w:rPr>
        <w:t>urante esta vigencia se estructuraron nuevos retos de innovación orientados a fortalecer la cultura innovadora y promover el desarrollo de soluciones colaborativas frente a necesidades institucionales identificadas por las diferentes áreas del Ministerio. </w:t>
      </w:r>
    </w:p>
    <w:p w:rsidRPr="00AD2BDA" w:rsidR="006E0144" w:rsidP="005358E1" w:rsidRDefault="006E0144" w14:paraId="684E85C0" w14:textId="77777777">
      <w:pPr>
        <w:spacing w:after="0" w:line="360" w:lineRule="auto"/>
        <w:jc w:val="both"/>
        <w:rPr>
          <w:rFonts w:ascii="Verdana" w:hAnsi="Verdana"/>
          <w:sz w:val="24"/>
          <w:szCs w:val="24"/>
        </w:rPr>
      </w:pPr>
    </w:p>
    <w:p w:rsidRPr="00AD2BDA" w:rsidR="00AD2BDA" w:rsidP="005358E1" w:rsidRDefault="00AD2BDA" w14:paraId="1D433499" w14:textId="77777777">
      <w:pPr>
        <w:spacing w:after="0" w:line="360" w:lineRule="auto"/>
        <w:jc w:val="both"/>
        <w:rPr>
          <w:rFonts w:ascii="Verdana" w:hAnsi="Verdana"/>
          <w:sz w:val="24"/>
          <w:szCs w:val="24"/>
        </w:rPr>
      </w:pPr>
      <w:r w:rsidRPr="00AD2BDA">
        <w:rPr>
          <w:rFonts w:ascii="Verdana" w:hAnsi="Verdana"/>
          <w:sz w:val="24"/>
          <w:szCs w:val="24"/>
        </w:rPr>
        <w:t>Los retos trabajados fueron: </w:t>
      </w:r>
    </w:p>
    <w:p w:rsidRPr="00AD2BDA" w:rsidR="00AD2BDA" w:rsidRDefault="00AD2BDA" w14:paraId="36459D8F" w14:textId="77777777">
      <w:pPr>
        <w:numPr>
          <w:ilvl w:val="0"/>
          <w:numId w:val="148"/>
        </w:numPr>
        <w:spacing w:after="0" w:line="360" w:lineRule="auto"/>
        <w:jc w:val="both"/>
        <w:rPr>
          <w:rFonts w:ascii="Verdana" w:hAnsi="Verdana"/>
          <w:sz w:val="24"/>
          <w:szCs w:val="24"/>
        </w:rPr>
      </w:pPr>
      <w:r w:rsidRPr="00AD2BDA">
        <w:rPr>
          <w:rFonts w:ascii="Verdana" w:hAnsi="Verdana"/>
          <w:sz w:val="24"/>
          <w:szCs w:val="24"/>
        </w:rPr>
        <w:t>¿Cómo hacer que la información entre áreas esté centralizada, accesible e integrada para optimizar la comunicación dentro de la entidad?  </w:t>
      </w:r>
    </w:p>
    <w:p w:rsidRPr="00AD2BDA" w:rsidR="00AD2BDA" w:rsidRDefault="00AD2BDA" w14:paraId="27BA57D5" w14:textId="77777777">
      <w:pPr>
        <w:numPr>
          <w:ilvl w:val="0"/>
          <w:numId w:val="149"/>
        </w:numPr>
        <w:spacing w:after="0" w:line="360" w:lineRule="auto"/>
        <w:jc w:val="both"/>
        <w:rPr>
          <w:rFonts w:ascii="Verdana" w:hAnsi="Verdana"/>
          <w:sz w:val="24"/>
          <w:szCs w:val="24"/>
        </w:rPr>
      </w:pPr>
      <w:r w:rsidRPr="00AD2BDA">
        <w:rPr>
          <w:rFonts w:ascii="Verdana" w:hAnsi="Verdana"/>
          <w:sz w:val="24"/>
          <w:szCs w:val="24"/>
        </w:rPr>
        <w:t>¿Cómo hacer que la asignación de puestos de trabajo en el Ministerio sea flexible, autogestionable y organizada?  </w:t>
      </w:r>
    </w:p>
    <w:p w:rsidRPr="00AD2BDA" w:rsidR="00AD2BDA" w:rsidP="620A7E17" w:rsidRDefault="28F12D9C" w14:paraId="4105A94B" w14:textId="549418D5">
      <w:pPr>
        <w:numPr>
          <w:ilvl w:val="0"/>
          <w:numId w:val="150"/>
        </w:numPr>
        <w:spacing w:after="0" w:line="360" w:lineRule="auto"/>
        <w:jc w:val="both"/>
        <w:rPr>
          <w:rFonts w:ascii="Verdana" w:hAnsi="Verdana"/>
          <w:sz w:val="24"/>
          <w:szCs w:val="24"/>
        </w:rPr>
      </w:pPr>
      <w:r w:rsidRPr="620A7E17">
        <w:rPr>
          <w:rFonts w:ascii="Verdana" w:hAnsi="Verdana"/>
          <w:sz w:val="24"/>
          <w:szCs w:val="24"/>
        </w:rPr>
        <w:t>¿Cómo fortalecer la estrategia de sostenibilidad del Ministerio mediante iniciativas innovadoras de impacto transversal?   </w:t>
      </w:r>
    </w:p>
    <w:p w:rsidRPr="00AD2BDA" w:rsidR="00AD2BDA" w:rsidRDefault="00AD2BDA" w14:paraId="113C7A5D" w14:textId="77777777">
      <w:pPr>
        <w:numPr>
          <w:ilvl w:val="0"/>
          <w:numId w:val="151"/>
        </w:numPr>
        <w:spacing w:after="0" w:line="360" w:lineRule="auto"/>
        <w:jc w:val="both"/>
        <w:rPr>
          <w:rFonts w:ascii="Verdana" w:hAnsi="Verdana"/>
          <w:sz w:val="24"/>
          <w:szCs w:val="24"/>
        </w:rPr>
      </w:pPr>
      <w:r w:rsidRPr="00AD2BDA">
        <w:rPr>
          <w:rFonts w:ascii="Verdana" w:hAnsi="Verdana"/>
          <w:sz w:val="24"/>
          <w:szCs w:val="24"/>
        </w:rPr>
        <w:t>Planeación y estructura del primer reto de innovación abierta institucional </w:t>
      </w:r>
    </w:p>
    <w:p w:rsidRPr="00AD2BDA" w:rsidR="00AD2BDA" w:rsidP="005358E1" w:rsidRDefault="00AD2BDA" w14:paraId="582F0CA3" w14:textId="77777777">
      <w:pPr>
        <w:spacing w:after="0" w:line="360" w:lineRule="auto"/>
        <w:jc w:val="both"/>
        <w:rPr>
          <w:rFonts w:ascii="Verdana" w:hAnsi="Verdana"/>
          <w:sz w:val="24"/>
          <w:szCs w:val="24"/>
        </w:rPr>
      </w:pPr>
      <w:r w:rsidRPr="00AD2BDA">
        <w:rPr>
          <w:rFonts w:ascii="Verdana" w:hAnsi="Verdana"/>
          <w:sz w:val="24"/>
          <w:szCs w:val="24"/>
        </w:rPr>
        <w:t> </w:t>
      </w:r>
    </w:p>
    <w:p w:rsidRPr="00AD2BDA" w:rsidR="00AD2BDA" w:rsidP="005358E1" w:rsidRDefault="00AD2BDA" w14:paraId="2004B4AA" w14:textId="77777777">
      <w:pPr>
        <w:spacing w:after="0" w:line="360" w:lineRule="auto"/>
        <w:jc w:val="both"/>
        <w:rPr>
          <w:rFonts w:ascii="Verdana" w:hAnsi="Verdana"/>
          <w:sz w:val="24"/>
          <w:szCs w:val="24"/>
        </w:rPr>
      </w:pPr>
      <w:r w:rsidRPr="00AD2BDA">
        <w:rPr>
          <w:rFonts w:ascii="Verdana" w:hAnsi="Verdana"/>
          <w:sz w:val="24"/>
          <w:szCs w:val="24"/>
        </w:rPr>
        <w:t>Durante 2025 se consolidó el diseño, estructura y seguimiento del primer gran reto de innovación abierta institucional denominado “Energías Limpias para la Cocción Doméstica en Colombia”. El proceso incluyó: </w:t>
      </w:r>
    </w:p>
    <w:p w:rsidRPr="00F7534A" w:rsidR="00AD2BDA" w:rsidRDefault="00AD2BDA" w14:paraId="0DEF1D2D" w14:textId="5958C38D">
      <w:pPr>
        <w:pStyle w:val="Prrafodelista"/>
        <w:numPr>
          <w:ilvl w:val="0"/>
          <w:numId w:val="164"/>
        </w:numPr>
        <w:spacing w:after="0" w:line="360" w:lineRule="auto"/>
        <w:jc w:val="both"/>
        <w:rPr>
          <w:rFonts w:ascii="Verdana" w:hAnsi="Verdana"/>
          <w:sz w:val="24"/>
          <w:szCs w:val="24"/>
        </w:rPr>
      </w:pPr>
      <w:r w:rsidRPr="00F7534A">
        <w:rPr>
          <w:rFonts w:ascii="Verdana" w:hAnsi="Verdana"/>
          <w:sz w:val="24"/>
          <w:szCs w:val="24"/>
        </w:rPr>
        <w:t>Definición del alcance y cronograma.  </w:t>
      </w:r>
    </w:p>
    <w:p w:rsidRPr="00AD2BDA" w:rsidR="00AD2BDA" w:rsidRDefault="00AD2BDA" w14:paraId="293EFA87" w14:textId="77777777">
      <w:pPr>
        <w:numPr>
          <w:ilvl w:val="0"/>
          <w:numId w:val="164"/>
        </w:numPr>
        <w:spacing w:after="0" w:line="360" w:lineRule="auto"/>
        <w:jc w:val="both"/>
        <w:rPr>
          <w:rFonts w:ascii="Verdana" w:hAnsi="Verdana"/>
          <w:sz w:val="24"/>
          <w:szCs w:val="24"/>
        </w:rPr>
      </w:pPr>
      <w:r w:rsidRPr="00AD2BDA">
        <w:rPr>
          <w:rFonts w:ascii="Verdana" w:hAnsi="Verdana"/>
          <w:sz w:val="24"/>
          <w:szCs w:val="24"/>
        </w:rPr>
        <w:t>Construcción de términos de referencia.  </w:t>
      </w:r>
    </w:p>
    <w:p w:rsidRPr="00AD2BDA" w:rsidR="00AD2BDA" w:rsidRDefault="00AD2BDA" w14:paraId="701DC2D7" w14:textId="77777777">
      <w:pPr>
        <w:numPr>
          <w:ilvl w:val="0"/>
          <w:numId w:val="164"/>
        </w:numPr>
        <w:spacing w:after="0" w:line="360" w:lineRule="auto"/>
        <w:jc w:val="both"/>
        <w:rPr>
          <w:rFonts w:ascii="Verdana" w:hAnsi="Verdana"/>
          <w:sz w:val="24"/>
          <w:szCs w:val="24"/>
        </w:rPr>
      </w:pPr>
      <w:r w:rsidRPr="00AD2BDA">
        <w:rPr>
          <w:rFonts w:ascii="Verdana" w:hAnsi="Verdana"/>
          <w:sz w:val="24"/>
          <w:szCs w:val="24"/>
        </w:rPr>
        <w:t>Desarrollo colaborativo de la convocatoria.  </w:t>
      </w:r>
    </w:p>
    <w:p w:rsidRPr="00AD2BDA" w:rsidR="00AD2BDA" w:rsidRDefault="00AD2BDA" w14:paraId="40C89BFB" w14:textId="77777777">
      <w:pPr>
        <w:numPr>
          <w:ilvl w:val="0"/>
          <w:numId w:val="164"/>
        </w:numPr>
        <w:spacing w:after="0" w:line="360" w:lineRule="auto"/>
        <w:jc w:val="both"/>
        <w:rPr>
          <w:rFonts w:ascii="Verdana" w:hAnsi="Verdana"/>
          <w:sz w:val="24"/>
          <w:szCs w:val="24"/>
        </w:rPr>
      </w:pPr>
      <w:r w:rsidRPr="00AD2BDA">
        <w:rPr>
          <w:rFonts w:ascii="Verdana" w:hAnsi="Verdana"/>
          <w:sz w:val="24"/>
          <w:szCs w:val="24"/>
        </w:rPr>
        <w:t>Diseño de piezas promocionales, mockups y landing page.  </w:t>
      </w:r>
    </w:p>
    <w:p w:rsidRPr="00AD2BDA" w:rsidR="00AD2BDA" w:rsidP="005358E1" w:rsidRDefault="00AD2BDA" w14:paraId="695D466F" w14:textId="5A1BB80B">
      <w:pPr>
        <w:spacing w:after="0" w:line="360" w:lineRule="auto"/>
        <w:jc w:val="both"/>
        <w:rPr>
          <w:rFonts w:ascii="Verdana" w:hAnsi="Verdana"/>
          <w:sz w:val="24"/>
          <w:szCs w:val="24"/>
        </w:rPr>
      </w:pPr>
      <w:r w:rsidRPr="00AD2BDA">
        <w:rPr>
          <w:rFonts w:ascii="Verdana" w:hAnsi="Verdana"/>
          <w:sz w:val="24"/>
          <w:szCs w:val="24"/>
        </w:rPr>
        <w:t>  </w:t>
      </w:r>
    </w:p>
    <w:p w:rsidRPr="00AD2BDA" w:rsidR="006E0144" w:rsidP="620A7E17" w:rsidRDefault="28F12D9C" w14:paraId="45934932" w14:textId="0866A409">
      <w:pPr>
        <w:spacing w:after="0" w:line="360" w:lineRule="auto"/>
        <w:jc w:val="both"/>
      </w:pPr>
      <w:r w:rsidRPr="620A7E17">
        <w:rPr>
          <w:rFonts w:ascii="Verdana" w:hAnsi="Verdana"/>
          <w:b/>
          <w:bCs/>
          <w:sz w:val="24"/>
          <w:szCs w:val="24"/>
        </w:rPr>
        <w:t>Actualización de herramientas metodológicas</w:t>
      </w:r>
      <w:r w:rsidRPr="620A7E17" w:rsidR="3C9744CC">
        <w:rPr>
          <w:rFonts w:ascii="Verdana" w:hAnsi="Verdana"/>
          <w:b/>
          <w:bCs/>
          <w:sz w:val="24"/>
          <w:szCs w:val="24"/>
        </w:rPr>
        <w:t>:</w:t>
      </w:r>
      <w:r w:rsidRPr="620A7E17" w:rsidR="3C9744CC">
        <w:rPr>
          <w:rFonts w:ascii="Verdana" w:hAnsi="Verdana"/>
          <w:sz w:val="24"/>
          <w:szCs w:val="24"/>
        </w:rPr>
        <w:t xml:space="preserve"> d</w:t>
      </w:r>
      <w:r w:rsidRPr="620A7E17">
        <w:rPr>
          <w:rFonts w:ascii="Verdana" w:hAnsi="Verdana"/>
          <w:sz w:val="24"/>
          <w:szCs w:val="24"/>
        </w:rPr>
        <w:t>urante la vigencia 2025 se fortaleció la Caja de Herramientas de Gestión del Conocimiento e Innovación mediante la incorporación y actualización de nuevos recursos metodológicos orientados a facilitar la apropiación institucional de las herramientas y procesos asociados a GESCO + I. Entre las herramientas desarrolladas se destacan: </w:t>
      </w:r>
    </w:p>
    <w:p w:rsidR="620A7E17" w:rsidP="620A7E17" w:rsidRDefault="620A7E17" w14:paraId="73E05B8B" w14:textId="4A21EF57">
      <w:pPr>
        <w:spacing w:after="0" w:line="360" w:lineRule="auto"/>
        <w:jc w:val="both"/>
        <w:rPr>
          <w:rFonts w:ascii="Verdana" w:hAnsi="Verdana"/>
          <w:sz w:val="24"/>
          <w:szCs w:val="24"/>
        </w:rPr>
      </w:pPr>
    </w:p>
    <w:p w:rsidRPr="00AD2BDA" w:rsidR="00AD2BDA" w:rsidRDefault="00AD2BDA" w14:paraId="02C2A3F6" w14:textId="77777777">
      <w:pPr>
        <w:numPr>
          <w:ilvl w:val="0"/>
          <w:numId w:val="165"/>
        </w:numPr>
        <w:spacing w:after="0" w:line="360" w:lineRule="auto"/>
        <w:jc w:val="both"/>
        <w:rPr>
          <w:rFonts w:ascii="Verdana" w:hAnsi="Verdana"/>
          <w:sz w:val="24"/>
          <w:szCs w:val="24"/>
        </w:rPr>
      </w:pPr>
      <w:r w:rsidRPr="00AD2BDA">
        <w:rPr>
          <w:rFonts w:ascii="Verdana" w:hAnsi="Verdana"/>
          <w:sz w:val="24"/>
          <w:szCs w:val="24"/>
        </w:rPr>
        <w:t>La guía para el uso del Laboratorio Digital IluMinna.  </w:t>
      </w:r>
    </w:p>
    <w:p w:rsidRPr="00AD2BDA" w:rsidR="00AD2BDA" w:rsidRDefault="00AD2BDA" w14:paraId="0018BD48" w14:textId="77777777">
      <w:pPr>
        <w:numPr>
          <w:ilvl w:val="0"/>
          <w:numId w:val="165"/>
        </w:numPr>
        <w:spacing w:after="0" w:line="360" w:lineRule="auto"/>
        <w:jc w:val="both"/>
        <w:rPr>
          <w:rFonts w:ascii="Verdana" w:hAnsi="Verdana"/>
          <w:sz w:val="24"/>
          <w:szCs w:val="24"/>
        </w:rPr>
      </w:pPr>
      <w:r w:rsidRPr="00AD2BDA">
        <w:rPr>
          <w:rFonts w:ascii="Verdana" w:hAnsi="Verdana"/>
          <w:sz w:val="24"/>
          <w:szCs w:val="24"/>
        </w:rPr>
        <w:t>La guía para cargue de contenidos en Moodle.  </w:t>
      </w:r>
    </w:p>
    <w:p w:rsidRPr="00AD2BDA" w:rsidR="00AD2BDA" w:rsidRDefault="00AD2BDA" w14:paraId="50222D61" w14:textId="77777777">
      <w:pPr>
        <w:numPr>
          <w:ilvl w:val="0"/>
          <w:numId w:val="165"/>
        </w:numPr>
        <w:spacing w:after="0" w:line="360" w:lineRule="auto"/>
        <w:jc w:val="both"/>
        <w:rPr>
          <w:rFonts w:ascii="Verdana" w:hAnsi="Verdana"/>
          <w:sz w:val="24"/>
          <w:szCs w:val="24"/>
        </w:rPr>
      </w:pPr>
      <w:r w:rsidRPr="00AD2BDA">
        <w:rPr>
          <w:rFonts w:ascii="Verdana" w:hAnsi="Verdana"/>
          <w:sz w:val="24"/>
          <w:szCs w:val="24"/>
        </w:rPr>
        <w:t>El manual de contenidos para el diseño y estructuración de cursos virtuales.  </w:t>
      </w:r>
    </w:p>
    <w:p w:rsidR="00AD2BDA" w:rsidRDefault="00AD2BDA" w14:paraId="4A33B1E2" w14:textId="77777777">
      <w:pPr>
        <w:numPr>
          <w:ilvl w:val="0"/>
          <w:numId w:val="165"/>
        </w:numPr>
        <w:spacing w:after="0" w:line="360" w:lineRule="auto"/>
        <w:jc w:val="both"/>
        <w:rPr>
          <w:rFonts w:ascii="Verdana" w:hAnsi="Verdana"/>
          <w:sz w:val="24"/>
          <w:szCs w:val="24"/>
        </w:rPr>
      </w:pPr>
      <w:r w:rsidRPr="00AD2BDA">
        <w:rPr>
          <w:rFonts w:ascii="Verdana" w:hAnsi="Verdana"/>
          <w:sz w:val="24"/>
          <w:szCs w:val="24"/>
        </w:rPr>
        <w:t>El ABC de la Innovación, diseñado como una herramienta práctica para fortalecer la comprensión y apropiación de conceptos básicos relacionados con innovación pública y gestión del conocimiento. </w:t>
      </w:r>
    </w:p>
    <w:p w:rsidRPr="00AD2BDA" w:rsidR="00F7534A" w:rsidP="005358E1" w:rsidRDefault="00F7534A" w14:paraId="1EDD443D" w14:textId="77777777">
      <w:pPr>
        <w:spacing w:after="0" w:line="360" w:lineRule="auto"/>
        <w:ind w:left="1080"/>
        <w:jc w:val="both"/>
        <w:rPr>
          <w:rFonts w:ascii="Verdana" w:hAnsi="Verdana"/>
          <w:sz w:val="24"/>
          <w:szCs w:val="24"/>
        </w:rPr>
      </w:pPr>
    </w:p>
    <w:p w:rsidRPr="00AD2BDA" w:rsidR="00AD2BDA" w:rsidP="620A7E17" w:rsidRDefault="28F12D9C" w14:paraId="0113A91C" w14:textId="44D4827B">
      <w:pPr>
        <w:spacing w:after="0" w:line="360" w:lineRule="auto"/>
        <w:jc w:val="both"/>
        <w:rPr>
          <w:rFonts w:ascii="Verdana" w:hAnsi="Verdana"/>
          <w:sz w:val="24"/>
          <w:szCs w:val="24"/>
        </w:rPr>
      </w:pPr>
      <w:r w:rsidRPr="620A7E17">
        <w:rPr>
          <w:rFonts w:ascii="Verdana" w:hAnsi="Verdana"/>
          <w:b/>
          <w:bCs/>
          <w:sz w:val="24"/>
          <w:szCs w:val="24"/>
        </w:rPr>
        <w:t>Fortalecimiento de la articulación institucional</w:t>
      </w:r>
      <w:r w:rsidRPr="620A7E17" w:rsidR="6DF098B5">
        <w:rPr>
          <w:rFonts w:ascii="Verdana" w:hAnsi="Verdana"/>
          <w:b/>
          <w:bCs/>
          <w:sz w:val="24"/>
          <w:szCs w:val="24"/>
        </w:rPr>
        <w:t>:</w:t>
      </w:r>
      <w:r w:rsidRPr="620A7E17" w:rsidR="6DF098B5">
        <w:rPr>
          <w:rFonts w:ascii="Verdana" w:hAnsi="Verdana"/>
          <w:sz w:val="24"/>
          <w:szCs w:val="24"/>
        </w:rPr>
        <w:t xml:space="preserve"> s</w:t>
      </w:r>
      <w:r w:rsidRPr="620A7E17">
        <w:rPr>
          <w:rFonts w:ascii="Verdana" w:hAnsi="Verdana"/>
          <w:sz w:val="24"/>
          <w:szCs w:val="24"/>
        </w:rPr>
        <w:t xml:space="preserve">e desarrollaron espacios de articulación con diferentes áreas del Ministerio con el propósito de socializar avances, compartir herramientas, intercambiar </w:t>
      </w:r>
      <w:r w:rsidRPr="620A7E17">
        <w:rPr>
          <w:rFonts w:ascii="Verdana" w:hAnsi="Verdana"/>
          <w:sz w:val="24"/>
          <w:szCs w:val="24"/>
        </w:rPr>
        <w:t>buenas prácticas y fortalecer la implementación transversal de la Gestión del Conocimiento e Innovación. Como parte de esta estrategia, se realizó el Café de Innovación, un espacio de encuentro con servidores y contratistas para presentar las acciones, avances y herramientas vigentes en materia de innovación y gestión del conocimiento. </w:t>
      </w:r>
    </w:p>
    <w:p w:rsidRPr="00AD2BDA" w:rsidR="00AD2BDA" w:rsidP="005358E1" w:rsidRDefault="00AD2BDA" w14:paraId="6A4B4733" w14:textId="77777777">
      <w:pPr>
        <w:spacing w:after="0" w:line="360" w:lineRule="auto"/>
        <w:jc w:val="both"/>
        <w:rPr>
          <w:rFonts w:ascii="Verdana" w:hAnsi="Verdana"/>
          <w:sz w:val="24"/>
          <w:szCs w:val="24"/>
        </w:rPr>
      </w:pPr>
      <w:r w:rsidRPr="00AD2BDA">
        <w:rPr>
          <w:rFonts w:ascii="Verdana" w:hAnsi="Verdana"/>
          <w:sz w:val="24"/>
          <w:szCs w:val="24"/>
        </w:rPr>
        <w:t> </w:t>
      </w:r>
    </w:p>
    <w:p w:rsidRPr="00AD2BDA" w:rsidR="00AD2BDA" w:rsidP="620A7E17" w:rsidRDefault="28F12D9C" w14:paraId="0041BBB5" w14:textId="6C80DACA">
      <w:pPr>
        <w:spacing w:after="0" w:line="360" w:lineRule="auto"/>
        <w:jc w:val="both"/>
        <w:rPr>
          <w:rFonts w:ascii="Verdana" w:hAnsi="Verdana"/>
          <w:sz w:val="24"/>
          <w:szCs w:val="24"/>
        </w:rPr>
      </w:pPr>
      <w:r w:rsidRPr="620A7E17">
        <w:rPr>
          <w:rFonts w:ascii="Verdana" w:hAnsi="Verdana"/>
          <w:b/>
          <w:bCs/>
          <w:sz w:val="24"/>
          <w:szCs w:val="24"/>
        </w:rPr>
        <w:t>Alianzas interinstitucionales para la innovación y el impacto territorial</w:t>
      </w:r>
      <w:r w:rsidRPr="620A7E17" w:rsidR="7BC9C7DE">
        <w:rPr>
          <w:rFonts w:ascii="Verdana" w:hAnsi="Verdana"/>
          <w:b/>
          <w:bCs/>
          <w:sz w:val="24"/>
          <w:szCs w:val="24"/>
        </w:rPr>
        <w:t>:</w:t>
      </w:r>
      <w:r w:rsidRPr="620A7E17" w:rsidR="7BC9C7DE">
        <w:rPr>
          <w:rFonts w:ascii="Verdana" w:hAnsi="Verdana"/>
          <w:sz w:val="24"/>
          <w:szCs w:val="24"/>
        </w:rPr>
        <w:t xml:space="preserve"> c</w:t>
      </w:r>
      <w:r w:rsidRPr="620A7E17">
        <w:rPr>
          <w:rFonts w:ascii="Verdana" w:hAnsi="Verdana"/>
          <w:sz w:val="24"/>
          <w:szCs w:val="24"/>
        </w:rPr>
        <w:t>on el propósito de ampliar el alcance de las estrategias de innovación y transferencia de conocimiento, durante esta vigencia se consolidaron alianzas estratégicas con actores públicos y privados, entre ellos: </w:t>
      </w:r>
    </w:p>
    <w:p w:rsidRPr="00AD2BDA" w:rsidR="00AD2BDA" w:rsidRDefault="00AD2BDA" w14:paraId="74CAC3BA" w14:textId="77777777">
      <w:pPr>
        <w:numPr>
          <w:ilvl w:val="0"/>
          <w:numId w:val="166"/>
        </w:numPr>
        <w:spacing w:after="0" w:line="360" w:lineRule="auto"/>
        <w:jc w:val="both"/>
        <w:rPr>
          <w:rFonts w:ascii="Verdana" w:hAnsi="Verdana"/>
          <w:sz w:val="24"/>
          <w:szCs w:val="24"/>
        </w:rPr>
      </w:pPr>
      <w:r w:rsidRPr="00AD2BDA">
        <w:rPr>
          <w:rFonts w:ascii="Verdana" w:hAnsi="Verdana"/>
          <w:sz w:val="24"/>
          <w:szCs w:val="24"/>
        </w:rPr>
        <w:t>ESSA Santander.  </w:t>
      </w:r>
    </w:p>
    <w:p w:rsidRPr="00AD2BDA" w:rsidR="00AD2BDA" w:rsidRDefault="00AD2BDA" w14:paraId="21C3A086" w14:textId="77777777">
      <w:pPr>
        <w:numPr>
          <w:ilvl w:val="0"/>
          <w:numId w:val="166"/>
        </w:numPr>
        <w:spacing w:after="0" w:line="360" w:lineRule="auto"/>
        <w:jc w:val="both"/>
        <w:rPr>
          <w:rFonts w:ascii="Verdana" w:hAnsi="Verdana"/>
          <w:sz w:val="24"/>
          <w:szCs w:val="24"/>
        </w:rPr>
      </w:pPr>
      <w:r w:rsidRPr="00AD2BDA">
        <w:rPr>
          <w:rFonts w:ascii="Verdana" w:hAnsi="Verdana"/>
          <w:sz w:val="24"/>
          <w:szCs w:val="24"/>
        </w:rPr>
        <w:t>CIE La Guajira – ECONOVA ECOPETROL.  </w:t>
      </w:r>
    </w:p>
    <w:p w:rsidRPr="00AD2BDA" w:rsidR="00AD2BDA" w:rsidRDefault="00AD2BDA" w14:paraId="68F1F065" w14:textId="77777777">
      <w:pPr>
        <w:numPr>
          <w:ilvl w:val="0"/>
          <w:numId w:val="166"/>
        </w:numPr>
        <w:spacing w:after="0" w:line="360" w:lineRule="auto"/>
        <w:jc w:val="both"/>
        <w:rPr>
          <w:rFonts w:ascii="Verdana" w:hAnsi="Verdana"/>
          <w:sz w:val="24"/>
          <w:szCs w:val="24"/>
        </w:rPr>
      </w:pPr>
      <w:r w:rsidRPr="00AD2BDA">
        <w:rPr>
          <w:rFonts w:ascii="Verdana" w:hAnsi="Verdana"/>
          <w:sz w:val="24"/>
          <w:szCs w:val="24"/>
        </w:rPr>
        <w:t>Secretaría de Educación de Bucaramanga.  </w:t>
      </w:r>
    </w:p>
    <w:p w:rsidRPr="00AD2BDA" w:rsidR="00AD2BDA" w:rsidRDefault="00AD2BDA" w14:paraId="24A049FB" w14:textId="77777777">
      <w:pPr>
        <w:numPr>
          <w:ilvl w:val="0"/>
          <w:numId w:val="166"/>
        </w:numPr>
        <w:spacing w:after="0" w:line="360" w:lineRule="auto"/>
        <w:jc w:val="both"/>
        <w:rPr>
          <w:rFonts w:ascii="Verdana" w:hAnsi="Verdana"/>
          <w:sz w:val="24"/>
          <w:szCs w:val="24"/>
        </w:rPr>
      </w:pPr>
      <w:r w:rsidRPr="00AD2BDA">
        <w:rPr>
          <w:rFonts w:ascii="Verdana" w:hAnsi="Verdana"/>
          <w:sz w:val="24"/>
          <w:szCs w:val="24"/>
        </w:rPr>
        <w:t>Secretaría de Educación de Cali. </w:t>
      </w:r>
    </w:p>
    <w:p w:rsidR="00F7534A" w:rsidP="005358E1" w:rsidRDefault="00F7534A" w14:paraId="24A912FA" w14:textId="77777777">
      <w:pPr>
        <w:spacing w:after="0" w:line="360" w:lineRule="auto"/>
        <w:jc w:val="both"/>
        <w:rPr>
          <w:rFonts w:ascii="Verdana" w:hAnsi="Verdana"/>
          <w:sz w:val="24"/>
          <w:szCs w:val="24"/>
        </w:rPr>
      </w:pPr>
    </w:p>
    <w:p w:rsidRPr="00AD2BDA" w:rsidR="00AD2BDA" w:rsidP="005358E1" w:rsidRDefault="00AD2BDA" w14:paraId="3442DC41" w14:textId="0B8912F6">
      <w:pPr>
        <w:spacing w:after="0" w:line="360" w:lineRule="auto"/>
        <w:jc w:val="both"/>
        <w:rPr>
          <w:rFonts w:ascii="Verdana" w:hAnsi="Verdana"/>
          <w:sz w:val="24"/>
          <w:szCs w:val="24"/>
        </w:rPr>
      </w:pPr>
      <w:r w:rsidRPr="00AD2BDA">
        <w:rPr>
          <w:rFonts w:ascii="Verdana" w:hAnsi="Verdana"/>
          <w:sz w:val="24"/>
          <w:szCs w:val="24"/>
        </w:rPr>
        <w:t>Estas articulaciones permitieron proyectar el desarrollo de talleres, hackathones y rutas de innovación en territorio, orientadas al fortalecimiento de capacidades locales, la identificación de problemáticas relevantes y la promoción de la participación ciudadana en procesos de innovación pública. </w:t>
      </w:r>
    </w:p>
    <w:p w:rsidRPr="00AD2BDA" w:rsidR="00AD2BDA" w:rsidP="005358E1" w:rsidRDefault="00AD2BDA" w14:paraId="04087AB1" w14:textId="77777777">
      <w:pPr>
        <w:spacing w:after="0" w:line="360" w:lineRule="auto"/>
        <w:jc w:val="both"/>
        <w:rPr>
          <w:rFonts w:ascii="Verdana" w:hAnsi="Verdana"/>
          <w:sz w:val="24"/>
          <w:szCs w:val="24"/>
        </w:rPr>
      </w:pPr>
      <w:r w:rsidRPr="00AD2BDA">
        <w:rPr>
          <w:rFonts w:ascii="Verdana" w:hAnsi="Verdana"/>
          <w:sz w:val="24"/>
          <w:szCs w:val="24"/>
        </w:rPr>
        <w:t>   </w:t>
      </w:r>
    </w:p>
    <w:p w:rsidR="00AD2BDA" w:rsidP="620A7E17" w:rsidRDefault="28F12D9C" w14:paraId="3AEE01BF" w14:textId="059BA1FD">
      <w:pPr>
        <w:spacing w:after="0" w:line="360" w:lineRule="auto"/>
        <w:jc w:val="both"/>
        <w:rPr>
          <w:rFonts w:ascii="Verdana" w:hAnsi="Verdana"/>
          <w:sz w:val="24"/>
          <w:szCs w:val="24"/>
        </w:rPr>
      </w:pPr>
      <w:r w:rsidRPr="620A7E17">
        <w:rPr>
          <w:rFonts w:ascii="Verdana" w:hAnsi="Verdana"/>
          <w:b/>
          <w:bCs/>
          <w:sz w:val="24"/>
          <w:szCs w:val="24"/>
        </w:rPr>
        <w:t>Herramientas para la gestión del conocimiento</w:t>
      </w:r>
      <w:r w:rsidRPr="620A7E17" w:rsidR="6E93A20E">
        <w:rPr>
          <w:rFonts w:ascii="Verdana" w:hAnsi="Verdana"/>
          <w:b/>
          <w:bCs/>
          <w:sz w:val="24"/>
          <w:szCs w:val="24"/>
        </w:rPr>
        <w:t>:</w:t>
      </w:r>
      <w:r w:rsidRPr="620A7E17" w:rsidR="6E93A20E">
        <w:rPr>
          <w:rFonts w:ascii="Verdana" w:hAnsi="Verdana"/>
          <w:sz w:val="24"/>
          <w:szCs w:val="24"/>
        </w:rPr>
        <w:t xml:space="preserve"> d</w:t>
      </w:r>
      <w:r w:rsidRPr="620A7E17">
        <w:rPr>
          <w:rFonts w:ascii="Verdana" w:hAnsi="Verdana"/>
          <w:sz w:val="24"/>
          <w:szCs w:val="24"/>
        </w:rPr>
        <w:t xml:space="preserve">urante el cuatrienio se llevó a cabo la actualización y fortalecimiento del repositorio institucional de conocimiento, migrando de una plataforma alojada en un dominio privado a una solución desarrollada internamente denominada La Mina del Conocimiento, diseñada conforme a las necesidades y dinámicas propias de la entidad. Esta transformación permitió consolidar un entorno más seguro, accesible y alineado con los procesos institucionales para la preservación, consulta y circulación del conocimiento. De manera </w:t>
      </w:r>
      <w:r w:rsidRPr="620A7E17">
        <w:rPr>
          <w:rFonts w:ascii="Verdana" w:hAnsi="Verdana"/>
          <w:sz w:val="24"/>
          <w:szCs w:val="24"/>
        </w:rPr>
        <w:t>complementaria, se avanzó en el desarrollo de una herramienta orientada a la visualización del conocimiento tácito y explícito de la entidad, concebida para identificar, relacionar y representar los saberes estratégicos generados por las diferentes dependencias y servidores, fortaleciendo así la gestión del conocimiento, la transferencia de experiencias y la toma de decisiones basada en capacidades institucionales. </w:t>
      </w:r>
    </w:p>
    <w:p w:rsidRPr="00AD2BDA" w:rsidR="00F7534A" w:rsidP="005358E1" w:rsidRDefault="00F7534A" w14:paraId="3EC02A6A" w14:textId="77777777">
      <w:pPr>
        <w:spacing w:after="0" w:line="360" w:lineRule="auto"/>
        <w:jc w:val="both"/>
        <w:rPr>
          <w:rFonts w:ascii="Verdana" w:hAnsi="Verdana"/>
          <w:sz w:val="24"/>
          <w:szCs w:val="24"/>
        </w:rPr>
      </w:pPr>
    </w:p>
    <w:p w:rsidRPr="00AD2BDA" w:rsidR="00AD2BDA" w:rsidP="388B252D" w:rsidRDefault="00AD2BDA" w14:paraId="5D2A15F0" w14:textId="7C293503">
      <w:pPr>
        <w:numPr>
          <w:ilvl w:val="0"/>
          <w:numId w:val="156"/>
        </w:numPr>
        <w:spacing w:after="0" w:line="360" w:lineRule="auto"/>
        <w:ind w:left="0"/>
        <w:jc w:val="both"/>
      </w:pPr>
      <w:r w:rsidRPr="388B252D">
        <w:rPr>
          <w:rFonts w:ascii="Verdana" w:hAnsi="Verdana"/>
          <w:sz w:val="24"/>
          <w:szCs w:val="24"/>
        </w:rPr>
        <w:t>Hackathón “Desafío Inteligente”</w:t>
      </w:r>
      <w:r w:rsidRPr="388B252D" w:rsidR="4ACB0F69">
        <w:rPr>
          <w:rFonts w:ascii="Verdana" w:hAnsi="Verdana"/>
          <w:b/>
          <w:bCs/>
          <w:sz w:val="24"/>
          <w:szCs w:val="24"/>
        </w:rPr>
        <w:t>:</w:t>
      </w:r>
      <w:r w:rsidRPr="388B252D" w:rsidR="4ACB0F69">
        <w:rPr>
          <w:rFonts w:ascii="Verdana" w:hAnsi="Verdana"/>
          <w:sz w:val="24"/>
          <w:szCs w:val="24"/>
        </w:rPr>
        <w:t xml:space="preserve"> d</w:t>
      </w:r>
      <w:r w:rsidRPr="388B252D" w:rsidR="28F12D9C">
        <w:rPr>
          <w:rFonts w:ascii="Verdana" w:hAnsi="Verdana"/>
          <w:sz w:val="24"/>
          <w:szCs w:val="24"/>
        </w:rPr>
        <w:t>urante la vigencia 2025 se diseñó, estructuró y desarrolló la hackathón “Desafío Inteligente”, una iniciativa orientada a promover la participación y construcción colaborativa de soluciones innovadoras frente a retos estratégicos del sector minero-energético. La estrategia convocó a profesores, estudiantes, emprendedores, representantes del sector privado, sociedad civil y otros actores del ecosistema de innovación, fomentando espacios de co-creación e intercambio de conocimiento alrededor de temáticas como:</w:t>
      </w:r>
    </w:p>
    <w:p w:rsidRPr="00AD2BDA" w:rsidR="00AD2BDA" w:rsidP="005358E1" w:rsidRDefault="00AD2BDA" w14:paraId="5928DE3A" w14:textId="44B813A3">
      <w:pPr>
        <w:spacing w:after="0" w:line="360" w:lineRule="auto"/>
        <w:jc w:val="both"/>
        <w:rPr>
          <w:rFonts w:ascii="Verdana" w:hAnsi="Verdana"/>
          <w:sz w:val="24"/>
          <w:szCs w:val="24"/>
        </w:rPr>
      </w:pPr>
      <w:r w:rsidRPr="388B252D">
        <w:rPr>
          <w:rFonts w:ascii="Verdana" w:hAnsi="Verdana"/>
          <w:sz w:val="24"/>
          <w:szCs w:val="24"/>
        </w:rPr>
        <w:t> </w:t>
      </w:r>
    </w:p>
    <w:p w:rsidRPr="00AD2BDA" w:rsidR="00AD2BDA" w:rsidRDefault="00AD2BDA" w14:paraId="0FE24358" w14:textId="77777777">
      <w:pPr>
        <w:numPr>
          <w:ilvl w:val="0"/>
          <w:numId w:val="167"/>
        </w:numPr>
        <w:spacing w:after="0" w:line="360" w:lineRule="auto"/>
        <w:jc w:val="both"/>
        <w:rPr>
          <w:rFonts w:ascii="Verdana" w:hAnsi="Verdana"/>
          <w:sz w:val="24"/>
          <w:szCs w:val="24"/>
        </w:rPr>
      </w:pPr>
      <w:r w:rsidRPr="00AD2BDA">
        <w:rPr>
          <w:rFonts w:ascii="Verdana" w:hAnsi="Verdana"/>
          <w:sz w:val="24"/>
          <w:szCs w:val="24"/>
        </w:rPr>
        <w:t>Optimización energética.  </w:t>
      </w:r>
    </w:p>
    <w:p w:rsidRPr="00AD2BDA" w:rsidR="00AD2BDA" w:rsidRDefault="00AD2BDA" w14:paraId="763E4C80" w14:textId="77777777">
      <w:pPr>
        <w:numPr>
          <w:ilvl w:val="0"/>
          <w:numId w:val="167"/>
        </w:numPr>
        <w:spacing w:after="0" w:line="360" w:lineRule="auto"/>
        <w:jc w:val="both"/>
        <w:rPr>
          <w:rFonts w:ascii="Verdana" w:hAnsi="Verdana"/>
          <w:sz w:val="24"/>
          <w:szCs w:val="24"/>
        </w:rPr>
      </w:pPr>
      <w:r w:rsidRPr="00AD2BDA">
        <w:rPr>
          <w:rFonts w:ascii="Verdana" w:hAnsi="Verdana"/>
          <w:sz w:val="24"/>
          <w:szCs w:val="24"/>
        </w:rPr>
        <w:t>Transición energética.  </w:t>
      </w:r>
    </w:p>
    <w:p w:rsidRPr="00AD2BDA" w:rsidR="00AD2BDA" w:rsidRDefault="00AD2BDA" w14:paraId="4F09B9EB" w14:textId="77777777">
      <w:pPr>
        <w:numPr>
          <w:ilvl w:val="0"/>
          <w:numId w:val="167"/>
        </w:numPr>
        <w:spacing w:after="0" w:line="360" w:lineRule="auto"/>
        <w:jc w:val="both"/>
        <w:rPr>
          <w:rFonts w:ascii="Verdana" w:hAnsi="Verdana"/>
          <w:sz w:val="24"/>
          <w:szCs w:val="24"/>
        </w:rPr>
      </w:pPr>
      <w:r w:rsidRPr="00AD2BDA">
        <w:rPr>
          <w:rFonts w:ascii="Verdana" w:hAnsi="Verdana"/>
          <w:sz w:val="24"/>
          <w:szCs w:val="24"/>
        </w:rPr>
        <w:t>Analítica de datos.  </w:t>
      </w:r>
    </w:p>
    <w:p w:rsidRPr="00AD2BDA" w:rsidR="00AD2BDA" w:rsidRDefault="00AD2BDA" w14:paraId="432E4A1B" w14:textId="77777777">
      <w:pPr>
        <w:numPr>
          <w:ilvl w:val="0"/>
          <w:numId w:val="167"/>
        </w:numPr>
        <w:spacing w:after="0" w:line="360" w:lineRule="auto"/>
        <w:jc w:val="both"/>
        <w:rPr>
          <w:rFonts w:ascii="Verdana" w:hAnsi="Verdana"/>
          <w:sz w:val="24"/>
          <w:szCs w:val="24"/>
        </w:rPr>
      </w:pPr>
      <w:r w:rsidRPr="00AD2BDA">
        <w:rPr>
          <w:rFonts w:ascii="Verdana" w:hAnsi="Verdana"/>
          <w:sz w:val="24"/>
          <w:szCs w:val="24"/>
        </w:rPr>
        <w:t>Smart grids.  </w:t>
      </w:r>
    </w:p>
    <w:p w:rsidRPr="00AD2BDA" w:rsidR="00AD2BDA" w:rsidRDefault="00AD2BDA" w14:paraId="61DDD090" w14:textId="77777777">
      <w:pPr>
        <w:numPr>
          <w:ilvl w:val="0"/>
          <w:numId w:val="167"/>
        </w:numPr>
        <w:spacing w:after="0" w:line="360" w:lineRule="auto"/>
        <w:jc w:val="both"/>
        <w:rPr>
          <w:rFonts w:ascii="Verdana" w:hAnsi="Verdana"/>
          <w:sz w:val="24"/>
          <w:szCs w:val="24"/>
        </w:rPr>
      </w:pPr>
      <w:r w:rsidRPr="00AD2BDA">
        <w:rPr>
          <w:rFonts w:ascii="Verdana" w:hAnsi="Verdana"/>
          <w:sz w:val="24"/>
          <w:szCs w:val="24"/>
        </w:rPr>
        <w:t>Inteligencia artificial.  </w:t>
      </w:r>
    </w:p>
    <w:p w:rsidRPr="00AD2BDA" w:rsidR="00AD2BDA" w:rsidRDefault="00AD2BDA" w14:paraId="15970D97" w14:textId="77777777">
      <w:pPr>
        <w:numPr>
          <w:ilvl w:val="0"/>
          <w:numId w:val="167"/>
        </w:numPr>
        <w:spacing w:after="0" w:line="360" w:lineRule="auto"/>
        <w:jc w:val="both"/>
        <w:rPr>
          <w:rFonts w:ascii="Verdana" w:hAnsi="Verdana"/>
          <w:sz w:val="24"/>
          <w:szCs w:val="24"/>
        </w:rPr>
      </w:pPr>
      <w:r w:rsidRPr="00AD2BDA">
        <w:rPr>
          <w:rFonts w:ascii="Verdana" w:hAnsi="Verdana"/>
          <w:sz w:val="24"/>
          <w:szCs w:val="24"/>
        </w:rPr>
        <w:t>Sostenibilidad.  </w:t>
      </w:r>
    </w:p>
    <w:p w:rsidR="00F7534A" w:rsidP="005358E1" w:rsidRDefault="00F7534A" w14:paraId="2E946390" w14:textId="77777777">
      <w:pPr>
        <w:spacing w:after="0" w:line="360" w:lineRule="auto"/>
        <w:jc w:val="both"/>
        <w:rPr>
          <w:rFonts w:ascii="Verdana" w:hAnsi="Verdana"/>
          <w:sz w:val="24"/>
          <w:szCs w:val="24"/>
        </w:rPr>
      </w:pPr>
    </w:p>
    <w:p w:rsidRPr="00AD2BDA" w:rsidR="00AD2BDA" w:rsidP="005358E1" w:rsidRDefault="00AD2BDA" w14:paraId="5EF11532" w14:textId="026D1A3E">
      <w:pPr>
        <w:spacing w:after="0" w:line="360" w:lineRule="auto"/>
        <w:jc w:val="both"/>
        <w:rPr>
          <w:rFonts w:ascii="Verdana" w:hAnsi="Verdana"/>
          <w:sz w:val="24"/>
          <w:szCs w:val="24"/>
        </w:rPr>
      </w:pPr>
      <w:r w:rsidRPr="00AD2BDA">
        <w:rPr>
          <w:rFonts w:ascii="Verdana" w:hAnsi="Verdana"/>
          <w:sz w:val="24"/>
          <w:szCs w:val="24"/>
        </w:rPr>
        <w:t>Como parte del proceso, se adelantó la construcción metodológica de la hackathón, la definición de retos, la articulación de actores estratégicos y el desarrollo del evento, fortaleciendo la innovación abierta y la participación multisectorial en la generación de soluciones con potencial de impacto para el sector y el territorio. </w:t>
      </w:r>
    </w:p>
    <w:p w:rsidRPr="00AD2BDA" w:rsidR="00AD2BDA" w:rsidP="005358E1" w:rsidRDefault="00AD2BDA" w14:paraId="33C32580" w14:textId="62DE08D9">
      <w:pPr>
        <w:spacing w:after="0" w:line="360" w:lineRule="auto"/>
        <w:jc w:val="both"/>
      </w:pPr>
      <w:r w:rsidRPr="00AD2BDA">
        <w:rPr>
          <w:rFonts w:ascii="Verdana" w:hAnsi="Verdana"/>
          <w:sz w:val="24"/>
          <w:szCs w:val="24"/>
        </w:rPr>
        <w:t>  </w:t>
      </w:r>
    </w:p>
    <w:p w:rsidRPr="00AD2BDA" w:rsidR="00AD2BDA" w:rsidP="68BB9A0E" w:rsidRDefault="00AD2BDA" w14:paraId="56A8CB8D" w14:textId="6BAC354F">
      <w:pPr>
        <w:spacing w:after="0" w:line="360" w:lineRule="auto"/>
        <w:jc w:val="both"/>
        <w:rPr>
          <w:rFonts w:ascii="Verdana" w:hAnsi="Verdana"/>
          <w:sz w:val="24"/>
          <w:szCs w:val="24"/>
        </w:rPr>
      </w:pPr>
      <w:r w:rsidRPr="68BB9A0E">
        <w:rPr>
          <w:rFonts w:ascii="Verdana" w:hAnsi="Verdana"/>
          <w:b/>
          <w:sz w:val="24"/>
          <w:szCs w:val="24"/>
        </w:rPr>
        <w:t>Consolidación del procedimiento GESCO + I</w:t>
      </w:r>
      <w:r w:rsidRPr="388B252D" w:rsidR="2C2A4192">
        <w:rPr>
          <w:rFonts w:ascii="Verdana" w:hAnsi="Verdana"/>
          <w:b/>
          <w:bCs/>
          <w:sz w:val="24"/>
          <w:szCs w:val="24"/>
        </w:rPr>
        <w:t xml:space="preserve">: </w:t>
      </w:r>
      <w:r w:rsidRPr="388B252D" w:rsidR="2C2A4192">
        <w:rPr>
          <w:rFonts w:ascii="Verdana" w:hAnsi="Verdana"/>
          <w:sz w:val="24"/>
          <w:szCs w:val="24"/>
        </w:rPr>
        <w:t>d</w:t>
      </w:r>
      <w:r w:rsidRPr="388B252D">
        <w:rPr>
          <w:rFonts w:ascii="Verdana" w:hAnsi="Verdana"/>
          <w:sz w:val="24"/>
          <w:szCs w:val="24"/>
        </w:rPr>
        <w:t>urante</w:t>
      </w:r>
      <w:r w:rsidRPr="00AD2BDA">
        <w:rPr>
          <w:rFonts w:ascii="Verdana" w:hAnsi="Verdana"/>
          <w:sz w:val="24"/>
          <w:szCs w:val="24"/>
        </w:rPr>
        <w:t xml:space="preserve"> el 2025 continuó el proceso de actualización y fortalecimiento del procedimiento de Gestión del Conocimiento e Innovación, mediante talleres y sesiones orientadas a garantizar su alineación con los objetivos institucionales y el Sistema Integrado de Gestión. </w:t>
      </w:r>
    </w:p>
    <w:p w:rsidR="00F7534A" w:rsidP="005358E1" w:rsidRDefault="00F7534A" w14:paraId="52B913E1" w14:textId="77777777">
      <w:pPr>
        <w:spacing w:after="0" w:line="360" w:lineRule="auto"/>
        <w:jc w:val="both"/>
        <w:rPr>
          <w:rFonts w:ascii="Verdana" w:hAnsi="Verdana"/>
          <w:sz w:val="24"/>
          <w:szCs w:val="24"/>
        </w:rPr>
      </w:pPr>
    </w:p>
    <w:p w:rsidRPr="00AD2BDA" w:rsidR="00AD2BDA" w:rsidP="005358E1" w:rsidRDefault="00AD2BDA" w14:paraId="2495B9D7" w14:textId="6689E23C">
      <w:pPr>
        <w:spacing w:after="0" w:line="360" w:lineRule="auto"/>
        <w:jc w:val="both"/>
      </w:pPr>
      <w:r w:rsidRPr="00AD2BDA">
        <w:rPr>
          <w:rFonts w:ascii="Verdana" w:hAnsi="Verdana"/>
          <w:sz w:val="24"/>
          <w:szCs w:val="24"/>
        </w:rPr>
        <w:t>Como resultado de este proceso, se adelantó la actualización y verificación del procedimiento construido durante la vigencia 2024, fortaleciendo aspectos relacionados con: </w:t>
      </w:r>
    </w:p>
    <w:p w:rsidR="68BB9A0E" w:rsidP="68BB9A0E" w:rsidRDefault="68BB9A0E" w14:paraId="0323CC9C" w14:textId="0D134BF2">
      <w:pPr>
        <w:spacing w:after="0" w:line="360" w:lineRule="auto"/>
        <w:jc w:val="both"/>
        <w:rPr>
          <w:rFonts w:ascii="Verdana" w:hAnsi="Verdana"/>
          <w:sz w:val="24"/>
          <w:szCs w:val="24"/>
        </w:rPr>
      </w:pPr>
    </w:p>
    <w:p w:rsidRPr="00AD2BDA" w:rsidR="00AD2BDA" w:rsidRDefault="00AD2BDA" w14:paraId="1F0729E0" w14:textId="77777777">
      <w:pPr>
        <w:numPr>
          <w:ilvl w:val="0"/>
          <w:numId w:val="168"/>
        </w:numPr>
        <w:spacing w:after="0" w:line="360" w:lineRule="auto"/>
        <w:jc w:val="both"/>
        <w:rPr>
          <w:rFonts w:ascii="Verdana" w:hAnsi="Verdana"/>
          <w:sz w:val="24"/>
          <w:szCs w:val="24"/>
        </w:rPr>
      </w:pPr>
      <w:r w:rsidRPr="00AD2BDA">
        <w:rPr>
          <w:rFonts w:ascii="Verdana" w:hAnsi="Verdana"/>
          <w:sz w:val="24"/>
          <w:szCs w:val="24"/>
        </w:rPr>
        <w:t>Objetivos del proceso.  </w:t>
      </w:r>
    </w:p>
    <w:p w:rsidRPr="00AD2BDA" w:rsidR="00AD2BDA" w:rsidRDefault="00AD2BDA" w14:paraId="70DE35C3" w14:textId="77777777">
      <w:pPr>
        <w:numPr>
          <w:ilvl w:val="0"/>
          <w:numId w:val="168"/>
        </w:numPr>
        <w:spacing w:after="0" w:line="360" w:lineRule="auto"/>
        <w:jc w:val="both"/>
        <w:rPr>
          <w:rFonts w:ascii="Verdana" w:hAnsi="Verdana"/>
          <w:sz w:val="24"/>
          <w:szCs w:val="24"/>
        </w:rPr>
      </w:pPr>
      <w:r w:rsidRPr="00AD2BDA">
        <w:rPr>
          <w:rFonts w:ascii="Verdana" w:hAnsi="Verdana"/>
          <w:sz w:val="24"/>
          <w:szCs w:val="24"/>
        </w:rPr>
        <w:t>Articulación institucional.  </w:t>
      </w:r>
    </w:p>
    <w:p w:rsidRPr="00AD2BDA" w:rsidR="00AD2BDA" w:rsidRDefault="00AD2BDA" w14:paraId="17C16D4F" w14:textId="77777777">
      <w:pPr>
        <w:numPr>
          <w:ilvl w:val="0"/>
          <w:numId w:val="168"/>
        </w:numPr>
        <w:spacing w:after="0" w:line="360" w:lineRule="auto"/>
        <w:jc w:val="both"/>
        <w:rPr>
          <w:rFonts w:ascii="Verdana" w:hAnsi="Verdana"/>
          <w:sz w:val="24"/>
          <w:szCs w:val="24"/>
        </w:rPr>
      </w:pPr>
      <w:r w:rsidRPr="00AD2BDA">
        <w:rPr>
          <w:rFonts w:ascii="Verdana" w:hAnsi="Verdana"/>
          <w:sz w:val="24"/>
          <w:szCs w:val="24"/>
        </w:rPr>
        <w:t>Gestión de riesgos.  </w:t>
      </w:r>
    </w:p>
    <w:p w:rsidRPr="00AD2BDA" w:rsidR="00AD2BDA" w:rsidRDefault="00AD2BDA" w14:paraId="728B1FBA" w14:textId="77777777">
      <w:pPr>
        <w:numPr>
          <w:ilvl w:val="0"/>
          <w:numId w:val="168"/>
        </w:numPr>
        <w:spacing w:after="0" w:line="360" w:lineRule="auto"/>
        <w:jc w:val="both"/>
        <w:rPr>
          <w:rFonts w:ascii="Verdana" w:hAnsi="Verdana"/>
          <w:sz w:val="24"/>
          <w:szCs w:val="24"/>
        </w:rPr>
      </w:pPr>
      <w:r w:rsidRPr="00AD2BDA">
        <w:rPr>
          <w:rFonts w:ascii="Verdana" w:hAnsi="Verdana"/>
          <w:sz w:val="24"/>
          <w:szCs w:val="24"/>
        </w:rPr>
        <w:t>Alineación con el Programa de Gestión del Conocimiento, la Innovación y la Información.  </w:t>
      </w:r>
    </w:p>
    <w:p w:rsidR="00F7534A" w:rsidP="005358E1" w:rsidRDefault="00F7534A" w14:paraId="270CA647" w14:textId="77777777">
      <w:pPr>
        <w:spacing w:after="0" w:line="360" w:lineRule="auto"/>
        <w:jc w:val="both"/>
        <w:rPr>
          <w:rFonts w:ascii="Verdana" w:hAnsi="Verdana"/>
          <w:sz w:val="24"/>
          <w:szCs w:val="24"/>
        </w:rPr>
      </w:pPr>
    </w:p>
    <w:p w:rsidRPr="00AD2BDA" w:rsidR="00AD2BDA" w:rsidP="005358E1" w:rsidRDefault="00AD2BDA" w14:paraId="5E4D0CF8" w14:textId="53560BB9">
      <w:pPr>
        <w:spacing w:after="0" w:line="360" w:lineRule="auto"/>
        <w:jc w:val="both"/>
        <w:rPr>
          <w:rFonts w:ascii="Verdana" w:hAnsi="Verdana"/>
          <w:sz w:val="24"/>
          <w:szCs w:val="24"/>
        </w:rPr>
      </w:pPr>
      <w:r w:rsidRPr="00AD2BDA">
        <w:rPr>
          <w:rFonts w:ascii="Verdana" w:hAnsi="Verdana"/>
          <w:sz w:val="24"/>
          <w:szCs w:val="24"/>
        </w:rPr>
        <w:t>Finalmente, durante esta vigencia el procedimiento fue consolidado y formalizado dentro del sistema integrado de gestión, fortaleciendo la sostenibilidad y trazabilidad del proceso de Gestión del Conocimiento e Innovación en la entidad. </w:t>
      </w:r>
    </w:p>
    <w:p w:rsidRPr="00AD2BDA" w:rsidR="00AD2BDA" w:rsidP="005358E1" w:rsidRDefault="00AD2BDA" w14:paraId="4CF75D3C" w14:textId="77777777">
      <w:pPr>
        <w:spacing w:after="0" w:line="360" w:lineRule="auto"/>
        <w:jc w:val="both"/>
        <w:rPr>
          <w:rFonts w:ascii="Verdana" w:hAnsi="Verdana"/>
          <w:sz w:val="24"/>
          <w:szCs w:val="24"/>
        </w:rPr>
      </w:pPr>
      <w:r w:rsidRPr="00AD2BDA">
        <w:rPr>
          <w:rFonts w:ascii="Verdana" w:hAnsi="Verdana"/>
          <w:sz w:val="24"/>
          <w:szCs w:val="24"/>
        </w:rPr>
        <w:t> </w:t>
      </w:r>
    </w:p>
    <w:p w:rsidRPr="00F7534A" w:rsidR="00AD2BDA" w:rsidP="005358E1" w:rsidRDefault="00AD2BDA" w14:paraId="48C0AA27" w14:textId="621C0840">
      <w:pPr>
        <w:spacing w:after="0" w:line="360" w:lineRule="auto"/>
        <w:jc w:val="both"/>
        <w:rPr>
          <w:rFonts w:ascii="Verdana" w:hAnsi="Verdana"/>
          <w:sz w:val="18"/>
          <w:szCs w:val="18"/>
        </w:rPr>
      </w:pPr>
      <w:r w:rsidRPr="00F7534A">
        <w:rPr>
          <w:rFonts w:ascii="Verdana" w:hAnsi="Verdana"/>
          <w:sz w:val="18"/>
          <w:szCs w:val="18"/>
        </w:rPr>
        <w:t xml:space="preserve">Anexo </w:t>
      </w:r>
      <w:r w:rsidR="00F7534A">
        <w:rPr>
          <w:rFonts w:ascii="Verdana" w:hAnsi="Verdana"/>
          <w:sz w:val="18"/>
          <w:szCs w:val="18"/>
        </w:rPr>
        <w:t>No. 2</w:t>
      </w:r>
      <w:r w:rsidRPr="00F7534A">
        <w:rPr>
          <w:rFonts w:ascii="Verdana" w:hAnsi="Verdana"/>
          <w:sz w:val="18"/>
          <w:szCs w:val="18"/>
        </w:rPr>
        <w:t>. Procedimiento de Gestión del Conocimiento e Innovación (GESCO + I) formalizado. Fuente: Sistema Integrado de Gestión. Fecha de corte: junio de 2025. </w:t>
      </w:r>
    </w:p>
    <w:p w:rsidRPr="00AD2BDA" w:rsidR="00AD2BDA" w:rsidP="005358E1" w:rsidRDefault="00AD2BDA" w14:paraId="224C6E77" w14:textId="77777777">
      <w:pPr>
        <w:spacing w:after="0" w:line="360" w:lineRule="auto"/>
        <w:jc w:val="both"/>
        <w:rPr>
          <w:rFonts w:ascii="Verdana" w:hAnsi="Verdana"/>
          <w:sz w:val="24"/>
          <w:szCs w:val="24"/>
        </w:rPr>
      </w:pPr>
      <w:r w:rsidRPr="00AD2BDA">
        <w:rPr>
          <w:rFonts w:ascii="Verdana" w:hAnsi="Verdana"/>
          <w:sz w:val="24"/>
          <w:szCs w:val="24"/>
        </w:rPr>
        <w:t> </w:t>
      </w:r>
    </w:p>
    <w:p w:rsidRPr="00AD2BDA" w:rsidR="00AD2BDA" w:rsidP="005358E1" w:rsidRDefault="00AD2BDA" w14:paraId="6CA48088" w14:textId="09B43D01">
      <w:pPr>
        <w:spacing w:after="0" w:line="360" w:lineRule="auto"/>
        <w:jc w:val="both"/>
        <w:rPr>
          <w:rFonts w:ascii="Verdana" w:hAnsi="Verdana"/>
          <w:sz w:val="24"/>
          <w:szCs w:val="24"/>
        </w:rPr>
      </w:pPr>
      <w:r w:rsidRPr="6F4A73D7">
        <w:rPr>
          <w:rFonts w:ascii="Verdana" w:hAnsi="Verdana"/>
          <w:b/>
          <w:sz w:val="24"/>
          <w:szCs w:val="24"/>
        </w:rPr>
        <w:t>Buenas prácticas y lecciones aprendidas</w:t>
      </w:r>
      <w:r w:rsidRPr="6F4A73D7" w:rsidR="09DD38CB">
        <w:rPr>
          <w:rFonts w:ascii="Verdana" w:hAnsi="Verdana"/>
          <w:b/>
          <w:bCs/>
          <w:sz w:val="24"/>
          <w:szCs w:val="24"/>
        </w:rPr>
        <w:t>:</w:t>
      </w:r>
      <w:r w:rsidRPr="6F4A73D7" w:rsidR="09DD38CB">
        <w:rPr>
          <w:rFonts w:ascii="Verdana" w:hAnsi="Verdana"/>
          <w:sz w:val="24"/>
          <w:szCs w:val="24"/>
        </w:rPr>
        <w:t xml:space="preserve"> d</w:t>
      </w:r>
      <w:r w:rsidRPr="6F4A73D7" w:rsidR="5A93E462">
        <w:rPr>
          <w:rFonts w:ascii="Verdana" w:hAnsi="Verdana"/>
          <w:sz w:val="24"/>
          <w:szCs w:val="24"/>
        </w:rPr>
        <w:t>urante</w:t>
      </w:r>
      <w:r w:rsidRPr="00AD2BDA">
        <w:rPr>
          <w:rFonts w:ascii="Verdana" w:hAnsi="Verdana"/>
          <w:sz w:val="24"/>
          <w:szCs w:val="24"/>
        </w:rPr>
        <w:t xml:space="preserve"> el periodo reportado, se diseñaron y formalizaron los instrumentos institucionales para la recolección y sistematización de buenas prácticas y lecciones aprendidas, con el propósito de fortalecer la gestión del conocimiento y promover la apropiación de experiencias significativas al interior de la entidad. En este marco, se desarrollaron jornadas de socialización y </w:t>
      </w:r>
      <w:r w:rsidRPr="00AD2BDA">
        <w:rPr>
          <w:rFonts w:ascii="Verdana" w:hAnsi="Verdana"/>
          <w:sz w:val="24"/>
          <w:szCs w:val="24"/>
        </w:rPr>
        <w:t>capacitación dirigidas a los enlaces de las diferentes dependencias y oficinas, en las cuales se explicó el alcance conceptual de las buenas prácticas y las lecciones aprendidas, así como los lineamientos y criterios para el adecuado diligenciamiento de los formatos establecidos. Adicionalmente, se brindó acompañamiento técnico a los enlaces responsables, fortaleciendo sus capacidades para la identificación, documentación y transferencia de conocimiento institucional. Como resultado de este proceso, todas las buenas prácticas y lecciones aprendidas recopiladas fueron cargadas y organizadas en los repositorios institucionales, garantizando su consulta, preservación y acceso para la memoria organizacional. En total, se registraron 35 buenas prácticas y lecciones aprendidas durante el cuatrienio. </w:t>
      </w:r>
    </w:p>
    <w:p w:rsidRPr="00AD2BDA" w:rsidR="00AD2BDA" w:rsidP="005358E1" w:rsidRDefault="00AD2BDA" w14:paraId="7DE3E0A2" w14:textId="77777777">
      <w:pPr>
        <w:spacing w:after="0" w:line="360" w:lineRule="auto"/>
        <w:jc w:val="both"/>
        <w:rPr>
          <w:rFonts w:ascii="Verdana" w:hAnsi="Verdana"/>
          <w:sz w:val="24"/>
          <w:szCs w:val="24"/>
        </w:rPr>
      </w:pPr>
      <w:r w:rsidRPr="00AD2BDA">
        <w:rPr>
          <w:rFonts w:ascii="Verdana" w:hAnsi="Verdana"/>
          <w:sz w:val="24"/>
          <w:szCs w:val="24"/>
        </w:rPr>
        <w:t> </w:t>
      </w:r>
    </w:p>
    <w:p w:rsidRPr="00AD2BDA" w:rsidR="00AD2BDA" w:rsidP="005358E1" w:rsidRDefault="00AD2BDA" w14:paraId="31273B99" w14:textId="1A38B2F9">
      <w:pPr>
        <w:spacing w:after="0" w:line="360" w:lineRule="auto"/>
        <w:jc w:val="both"/>
      </w:pPr>
      <w:r w:rsidRPr="6F4A73D7">
        <w:rPr>
          <w:rFonts w:ascii="Verdana" w:hAnsi="Verdana"/>
          <w:b/>
          <w:sz w:val="24"/>
          <w:szCs w:val="24"/>
        </w:rPr>
        <w:t>Fortalecimiento continuo de plataformas y comunicación institucional</w:t>
      </w:r>
      <w:r w:rsidRPr="6F4A73D7" w:rsidR="4DCAE516">
        <w:rPr>
          <w:rFonts w:ascii="Verdana" w:hAnsi="Verdana"/>
          <w:b/>
          <w:bCs/>
          <w:sz w:val="24"/>
          <w:szCs w:val="24"/>
        </w:rPr>
        <w:t>:</w:t>
      </w:r>
      <w:r w:rsidRPr="6F4A73D7" w:rsidR="4DCAE516">
        <w:rPr>
          <w:rFonts w:ascii="Verdana" w:hAnsi="Verdana"/>
          <w:sz w:val="24"/>
          <w:szCs w:val="24"/>
        </w:rPr>
        <w:t xml:space="preserve"> s</w:t>
      </w:r>
      <w:r w:rsidRPr="6F4A73D7" w:rsidR="5A93E462">
        <w:rPr>
          <w:rFonts w:ascii="Verdana" w:hAnsi="Verdana"/>
          <w:sz w:val="24"/>
          <w:szCs w:val="24"/>
        </w:rPr>
        <w:t>e</w:t>
      </w:r>
      <w:r w:rsidRPr="00AD2BDA">
        <w:rPr>
          <w:rFonts w:ascii="Verdana" w:hAnsi="Verdana"/>
          <w:sz w:val="24"/>
          <w:szCs w:val="24"/>
        </w:rPr>
        <w:t xml:space="preserve"> continuó con el fortalecimiento de las plataformas y estrategias de comunicación orientadas a facilitar la apropiación y circulación del conocimiento dentro de la entidad. En este marco: </w:t>
      </w:r>
    </w:p>
    <w:p w:rsidR="64790EEC" w:rsidP="64790EEC" w:rsidRDefault="64790EEC" w14:paraId="470B36A5" w14:textId="4E787F13">
      <w:pPr>
        <w:spacing w:after="0" w:line="360" w:lineRule="auto"/>
        <w:jc w:val="both"/>
        <w:rPr>
          <w:rFonts w:ascii="Verdana" w:hAnsi="Verdana"/>
          <w:sz w:val="24"/>
          <w:szCs w:val="24"/>
        </w:rPr>
      </w:pPr>
    </w:p>
    <w:p w:rsidRPr="00AD2BDA" w:rsidR="00AD2BDA" w:rsidRDefault="00AD2BDA" w14:paraId="492624AA" w14:textId="77777777">
      <w:pPr>
        <w:numPr>
          <w:ilvl w:val="0"/>
          <w:numId w:val="169"/>
        </w:numPr>
        <w:spacing w:after="0" w:line="360" w:lineRule="auto"/>
        <w:jc w:val="both"/>
        <w:rPr>
          <w:rFonts w:ascii="Verdana" w:hAnsi="Verdana"/>
          <w:sz w:val="24"/>
          <w:szCs w:val="24"/>
        </w:rPr>
      </w:pPr>
      <w:r w:rsidRPr="00AD2BDA">
        <w:rPr>
          <w:rFonts w:ascii="Verdana" w:hAnsi="Verdana"/>
          <w:sz w:val="24"/>
          <w:szCs w:val="24"/>
        </w:rPr>
        <w:t>Se mantuvo la actualización permanente de la plataforma Moodle.  </w:t>
      </w:r>
    </w:p>
    <w:p w:rsidRPr="00AD2BDA" w:rsidR="00AD2BDA" w:rsidRDefault="00AD2BDA" w14:paraId="57595D8E" w14:textId="77777777">
      <w:pPr>
        <w:numPr>
          <w:ilvl w:val="0"/>
          <w:numId w:val="169"/>
        </w:numPr>
        <w:spacing w:after="0" w:line="360" w:lineRule="auto"/>
        <w:jc w:val="both"/>
        <w:rPr>
          <w:rFonts w:ascii="Verdana" w:hAnsi="Verdana"/>
          <w:sz w:val="24"/>
          <w:szCs w:val="24"/>
        </w:rPr>
      </w:pPr>
      <w:r w:rsidRPr="00AD2BDA">
        <w:rPr>
          <w:rFonts w:ascii="Verdana" w:hAnsi="Verdana"/>
          <w:sz w:val="24"/>
          <w:szCs w:val="24"/>
        </w:rPr>
        <w:t>Se fortaleció la estrategia de comunicación mediante Engage, boletines institucionales y cápsulas de innovación.  </w:t>
      </w:r>
    </w:p>
    <w:p w:rsidRPr="00AD2BDA" w:rsidR="00AD2BDA" w:rsidRDefault="00AD2BDA" w14:paraId="1A66FB96" w14:textId="77777777">
      <w:pPr>
        <w:numPr>
          <w:ilvl w:val="0"/>
          <w:numId w:val="169"/>
        </w:numPr>
        <w:spacing w:after="0" w:line="360" w:lineRule="auto"/>
        <w:jc w:val="both"/>
        <w:rPr>
          <w:rFonts w:ascii="Verdana" w:hAnsi="Verdana"/>
          <w:sz w:val="24"/>
          <w:szCs w:val="24"/>
        </w:rPr>
      </w:pPr>
      <w:r w:rsidRPr="00AD2BDA">
        <w:rPr>
          <w:rFonts w:ascii="Verdana" w:hAnsi="Verdana"/>
          <w:sz w:val="24"/>
          <w:szCs w:val="24"/>
        </w:rPr>
        <w:t>Se promovió la difusión de herramientas metodológicas utilizadas en los retos y espacios colaborativos.  </w:t>
      </w:r>
    </w:p>
    <w:p w:rsidRPr="00AD2BDA" w:rsidR="00AD2BDA" w:rsidRDefault="00AD2BDA" w14:paraId="7BCE6BA7" w14:textId="77777777">
      <w:pPr>
        <w:numPr>
          <w:ilvl w:val="0"/>
          <w:numId w:val="169"/>
        </w:numPr>
        <w:spacing w:after="0" w:line="360" w:lineRule="auto"/>
        <w:jc w:val="both"/>
        <w:rPr>
          <w:rFonts w:ascii="Verdana" w:hAnsi="Verdana"/>
          <w:sz w:val="24"/>
          <w:szCs w:val="24"/>
        </w:rPr>
      </w:pPr>
      <w:r w:rsidRPr="00AD2BDA">
        <w:rPr>
          <w:rFonts w:ascii="Verdana" w:hAnsi="Verdana"/>
          <w:sz w:val="24"/>
          <w:szCs w:val="24"/>
        </w:rPr>
        <w:t>Se impulsó el acceso a contenidos y cursos activos disponibles para servidores y colaboradores.  </w:t>
      </w:r>
    </w:p>
    <w:p w:rsidRPr="00AD2BDA" w:rsidR="00AD2BDA" w:rsidP="005358E1" w:rsidRDefault="00AD2BDA" w14:paraId="6D5B407D" w14:textId="464D4C7C">
      <w:pPr>
        <w:spacing w:after="0" w:line="360" w:lineRule="auto"/>
        <w:jc w:val="both"/>
        <w:rPr>
          <w:rFonts w:ascii="Verdana" w:hAnsi="Verdana"/>
          <w:sz w:val="24"/>
          <w:szCs w:val="24"/>
        </w:rPr>
      </w:pPr>
      <w:r w:rsidRPr="00AD2BDA">
        <w:rPr>
          <w:rFonts w:ascii="Verdana" w:hAnsi="Verdana"/>
          <w:sz w:val="24"/>
          <w:szCs w:val="24"/>
        </w:rPr>
        <w:t> </w:t>
      </w:r>
    </w:p>
    <w:p w:rsidRPr="00F7534A" w:rsidR="00AD2BDA" w:rsidRDefault="00AD2BDA" w14:paraId="60C5ED13" w14:textId="782083A6">
      <w:pPr>
        <w:pStyle w:val="Prrafodelista"/>
        <w:numPr>
          <w:ilvl w:val="2"/>
          <w:numId w:val="95"/>
        </w:numPr>
        <w:spacing w:after="0" w:line="360" w:lineRule="auto"/>
        <w:jc w:val="both"/>
        <w:rPr>
          <w:rFonts w:ascii="Verdana" w:hAnsi="Verdana"/>
          <w:b/>
          <w:bCs/>
          <w:sz w:val="24"/>
          <w:szCs w:val="24"/>
        </w:rPr>
      </w:pPr>
      <w:r w:rsidRPr="00F7534A">
        <w:rPr>
          <w:rFonts w:ascii="Verdana" w:hAnsi="Verdana"/>
          <w:b/>
          <w:bCs/>
          <w:sz w:val="24"/>
          <w:szCs w:val="24"/>
        </w:rPr>
        <w:t>Apropiación, participación y fortalecimiento de la cultura innovadora </w:t>
      </w:r>
    </w:p>
    <w:p w:rsidRPr="00AD2BDA" w:rsidR="00AD2BDA" w:rsidP="005358E1" w:rsidRDefault="00AD2BDA" w14:paraId="2424E0E0" w14:textId="77777777">
      <w:pPr>
        <w:spacing w:after="0" w:line="360" w:lineRule="auto"/>
        <w:jc w:val="both"/>
        <w:rPr>
          <w:rFonts w:ascii="Verdana" w:hAnsi="Verdana"/>
          <w:sz w:val="24"/>
          <w:szCs w:val="24"/>
        </w:rPr>
      </w:pPr>
      <w:r w:rsidRPr="00AD2BDA">
        <w:rPr>
          <w:rFonts w:ascii="Verdana" w:hAnsi="Verdana"/>
          <w:sz w:val="24"/>
          <w:szCs w:val="24"/>
        </w:rPr>
        <w:t> </w:t>
      </w:r>
    </w:p>
    <w:p w:rsidR="00AD2BDA" w:rsidP="005358E1" w:rsidRDefault="00AD2BDA" w14:paraId="35D3A53A" w14:textId="77777777">
      <w:pPr>
        <w:spacing w:after="0" w:line="360" w:lineRule="auto"/>
        <w:jc w:val="both"/>
        <w:rPr>
          <w:rFonts w:ascii="Verdana" w:hAnsi="Verdana"/>
          <w:sz w:val="24"/>
          <w:szCs w:val="24"/>
        </w:rPr>
      </w:pPr>
      <w:r w:rsidRPr="00AD2BDA">
        <w:rPr>
          <w:rFonts w:ascii="Verdana" w:hAnsi="Verdana"/>
          <w:sz w:val="24"/>
          <w:szCs w:val="24"/>
        </w:rPr>
        <w:t>Durante la vigencia 2026, el Ministerio de Minas y Energía orientó sus esfuerzos a fortalecer la apropiación práctica de la Gestión del Conocimiento y la Innovación, promoviendo una participación más activa de servidores y colaboradores en las diferentes estrategias institucionales. </w:t>
      </w:r>
    </w:p>
    <w:p w:rsidRPr="00AD2BDA" w:rsidR="00F7534A" w:rsidP="005358E1" w:rsidRDefault="00F7534A" w14:paraId="173BFDD4" w14:textId="77777777">
      <w:pPr>
        <w:spacing w:after="0" w:line="360" w:lineRule="auto"/>
        <w:jc w:val="both"/>
        <w:rPr>
          <w:rFonts w:ascii="Verdana" w:hAnsi="Verdana"/>
          <w:sz w:val="24"/>
          <w:szCs w:val="24"/>
        </w:rPr>
      </w:pPr>
    </w:p>
    <w:p w:rsidR="00AD2BDA" w:rsidP="005358E1" w:rsidRDefault="00AD2BDA" w14:paraId="13767039" w14:textId="77777777">
      <w:pPr>
        <w:spacing w:after="0" w:line="360" w:lineRule="auto"/>
        <w:jc w:val="both"/>
        <w:rPr>
          <w:rFonts w:ascii="Verdana" w:hAnsi="Verdana"/>
          <w:sz w:val="24"/>
          <w:szCs w:val="24"/>
        </w:rPr>
      </w:pPr>
      <w:r w:rsidRPr="00AD2BDA">
        <w:rPr>
          <w:rFonts w:ascii="Verdana" w:hAnsi="Verdana"/>
          <w:sz w:val="24"/>
          <w:szCs w:val="24"/>
        </w:rPr>
        <w:t>Bajo el enfoque de “pasar del saber al hacer”, la estrategia institucional estuvo orientada a transformar el aprendizaje en una experiencia participativa, dinámica y aplicada, fortaleciendo la cultura innovadora mediante metodologías de gamificación, apropiación colaborativa y liderazgo interno. </w:t>
      </w:r>
    </w:p>
    <w:p w:rsidRPr="00AD2BDA" w:rsidR="00F7534A" w:rsidP="005358E1" w:rsidRDefault="00F7534A" w14:paraId="2B909399" w14:textId="6E7F06E5">
      <w:pPr>
        <w:spacing w:after="0" w:line="360" w:lineRule="auto"/>
        <w:jc w:val="both"/>
        <w:rPr>
          <w:rFonts w:ascii="Verdana" w:hAnsi="Verdana"/>
          <w:sz w:val="24"/>
          <w:szCs w:val="24"/>
        </w:rPr>
      </w:pPr>
    </w:p>
    <w:p w:rsidRPr="00AD2BDA" w:rsidR="00AD2BDA" w:rsidP="005358E1" w:rsidRDefault="00AD2BDA" w14:paraId="644554DF" w14:textId="067AB891">
      <w:pPr>
        <w:spacing w:after="0" w:line="360" w:lineRule="auto"/>
        <w:jc w:val="both"/>
        <w:rPr>
          <w:rFonts w:ascii="Verdana" w:hAnsi="Verdana"/>
          <w:sz w:val="24"/>
          <w:szCs w:val="24"/>
        </w:rPr>
      </w:pPr>
      <w:r w:rsidRPr="0E3ADCA3">
        <w:rPr>
          <w:rFonts w:ascii="Verdana" w:hAnsi="Verdana"/>
          <w:b/>
          <w:sz w:val="24"/>
          <w:szCs w:val="24"/>
        </w:rPr>
        <w:t>Estrategia de gamificación “Mundial del Saber y la Innovación</w:t>
      </w:r>
      <w:r w:rsidRPr="0E3ADCA3" w:rsidR="61A92C87">
        <w:rPr>
          <w:rFonts w:ascii="Verdana" w:hAnsi="Verdana"/>
          <w:b/>
          <w:bCs/>
          <w:sz w:val="24"/>
          <w:szCs w:val="24"/>
        </w:rPr>
        <w:t>”</w:t>
      </w:r>
      <w:r w:rsidRPr="0E3ADCA3" w:rsidR="41B024E0">
        <w:rPr>
          <w:rFonts w:ascii="Verdana" w:hAnsi="Verdana"/>
          <w:b/>
          <w:bCs/>
          <w:sz w:val="24"/>
          <w:szCs w:val="24"/>
        </w:rPr>
        <w:t xml:space="preserve">: </w:t>
      </w:r>
      <w:r w:rsidRPr="0E3ADCA3" w:rsidR="41B024E0">
        <w:rPr>
          <w:rFonts w:ascii="Verdana" w:hAnsi="Verdana"/>
          <w:sz w:val="24"/>
          <w:szCs w:val="24"/>
        </w:rPr>
        <w:t>c</w:t>
      </w:r>
      <w:r w:rsidRPr="0E3ADCA3" w:rsidR="61A92C87">
        <w:rPr>
          <w:rFonts w:ascii="Verdana" w:hAnsi="Verdana"/>
          <w:sz w:val="24"/>
          <w:szCs w:val="24"/>
        </w:rPr>
        <w:t>on</w:t>
      </w:r>
      <w:r w:rsidRPr="00AD2BDA">
        <w:rPr>
          <w:rFonts w:ascii="Verdana" w:hAnsi="Verdana"/>
          <w:sz w:val="24"/>
          <w:szCs w:val="24"/>
        </w:rPr>
        <w:t xml:space="preserve"> el propósito de incentivar la participación continua en las actividades de Gestión del Conocimiento e Innovación, se diseñó e implementó la estrategia de gamificación denominada “Mundial del Saber y la Innovación”. Esta iniciativa buscó convertir el aprendizaje y la participación institucional en una experiencia dinámica y motivadora, promoviendo el desarrollo de retos, actividades y espacios de apropiación durante toda la vigencia. </w:t>
      </w:r>
    </w:p>
    <w:p w:rsidR="00F7534A" w:rsidP="005358E1" w:rsidRDefault="00F7534A" w14:paraId="0747666A" w14:textId="77777777">
      <w:pPr>
        <w:spacing w:after="0" w:line="360" w:lineRule="auto"/>
        <w:jc w:val="both"/>
        <w:rPr>
          <w:rFonts w:ascii="Verdana" w:hAnsi="Verdana"/>
          <w:sz w:val="24"/>
          <w:szCs w:val="24"/>
        </w:rPr>
      </w:pPr>
    </w:p>
    <w:p w:rsidR="00F7534A" w:rsidP="005358E1" w:rsidRDefault="00AD2BDA" w14:paraId="3A604899" w14:textId="5A1C21C3">
      <w:pPr>
        <w:spacing w:after="0" w:line="360" w:lineRule="auto"/>
        <w:jc w:val="both"/>
        <w:rPr>
          <w:rFonts w:ascii="Verdana" w:hAnsi="Verdana"/>
          <w:sz w:val="24"/>
          <w:szCs w:val="24"/>
        </w:rPr>
      </w:pPr>
      <w:r w:rsidRPr="00AD2BDA">
        <w:rPr>
          <w:rFonts w:ascii="Verdana" w:hAnsi="Verdana"/>
          <w:sz w:val="24"/>
          <w:szCs w:val="24"/>
        </w:rPr>
        <w:t>Como parte de la estrategia, se diseñó un álbum tipo “Panini”, mediante el cual los servidores y colaboradores coleccionan fichas asociadas a las diferentes actividades y experiencias de aprendizaje desarrolladas en la entidad. A la fecha, se han entregado más de 100 álbumes. </w:t>
      </w:r>
    </w:p>
    <w:p w:rsidRPr="00AD2BDA" w:rsidR="00AD2BDA" w:rsidP="005358E1" w:rsidRDefault="00AD2BDA" w14:paraId="2819024F" w14:textId="5930A615">
      <w:pPr>
        <w:spacing w:after="0" w:line="360" w:lineRule="auto"/>
        <w:jc w:val="both"/>
        <w:rPr>
          <w:rFonts w:ascii="Verdana" w:hAnsi="Verdana"/>
          <w:sz w:val="24"/>
          <w:szCs w:val="24"/>
        </w:rPr>
      </w:pPr>
      <w:r w:rsidRPr="00AD2BDA">
        <w:rPr>
          <w:rFonts w:ascii="Verdana" w:hAnsi="Verdana"/>
          <w:sz w:val="24"/>
          <w:szCs w:val="24"/>
        </w:rPr>
        <w:t> </w:t>
      </w:r>
    </w:p>
    <w:p w:rsidRPr="00AD2BDA" w:rsidR="00AD2BDA" w:rsidP="005358E1" w:rsidRDefault="00AD2BDA" w14:paraId="0ADD9E43" w14:textId="57777757">
      <w:pPr>
        <w:spacing w:after="0" w:line="360" w:lineRule="auto"/>
        <w:jc w:val="both"/>
        <w:rPr>
          <w:rFonts w:ascii="Verdana" w:hAnsi="Verdana"/>
          <w:sz w:val="24"/>
          <w:szCs w:val="24"/>
        </w:rPr>
      </w:pPr>
      <w:r w:rsidRPr="0E3ADCA3">
        <w:rPr>
          <w:rFonts w:ascii="Verdana" w:hAnsi="Verdana"/>
          <w:b/>
          <w:sz w:val="24"/>
          <w:szCs w:val="24"/>
        </w:rPr>
        <w:t>Consolidación de la estrategia “Gestores del Saber y la Innovación</w:t>
      </w:r>
      <w:r w:rsidRPr="0E3ADCA3" w:rsidR="61A92C87">
        <w:rPr>
          <w:rFonts w:ascii="Verdana" w:hAnsi="Verdana"/>
          <w:b/>
          <w:bCs/>
          <w:sz w:val="24"/>
          <w:szCs w:val="24"/>
        </w:rPr>
        <w:t>”</w:t>
      </w:r>
      <w:r w:rsidRPr="0E3ADCA3" w:rsidR="17906594">
        <w:rPr>
          <w:rFonts w:ascii="Verdana" w:hAnsi="Verdana"/>
          <w:b/>
          <w:bCs/>
          <w:sz w:val="24"/>
          <w:szCs w:val="24"/>
        </w:rPr>
        <w:t>:</w:t>
      </w:r>
      <w:r w:rsidRPr="0E3ADCA3" w:rsidR="17906594">
        <w:rPr>
          <w:rFonts w:ascii="Verdana" w:hAnsi="Verdana"/>
          <w:sz w:val="24"/>
          <w:szCs w:val="24"/>
        </w:rPr>
        <w:t xml:space="preserve"> d</w:t>
      </w:r>
      <w:r w:rsidRPr="0E3ADCA3" w:rsidR="61A92C87">
        <w:rPr>
          <w:rFonts w:ascii="Verdana" w:hAnsi="Verdana"/>
          <w:sz w:val="24"/>
          <w:szCs w:val="24"/>
        </w:rPr>
        <w:t>urante</w:t>
      </w:r>
      <w:r w:rsidRPr="00AD2BDA">
        <w:rPr>
          <w:rFonts w:ascii="Verdana" w:hAnsi="Verdana"/>
          <w:sz w:val="24"/>
          <w:szCs w:val="24"/>
        </w:rPr>
        <w:t xml:space="preserve"> esta vigencia se diseñó e implementó la estrategia de Gestores del Saber y la Innovación, orientada a fortalecer redes internas de liderazgo, apropiación y transferencia de conocimiento dentro </w:t>
      </w:r>
      <w:r w:rsidRPr="00AD2BDA">
        <w:rPr>
          <w:rFonts w:ascii="Verdana" w:hAnsi="Verdana"/>
          <w:sz w:val="24"/>
          <w:szCs w:val="24"/>
        </w:rPr>
        <w:t>de la entidad. Actualmente, la estrategia cuenta con 10 gestores activos, quienes participan como facilitadores y promotores de las iniciativas de Gestión del Conocimiento e Innovación en las diferentes áreas del Ministerio. </w:t>
      </w:r>
    </w:p>
    <w:p w:rsidR="00F7534A" w:rsidP="005358E1" w:rsidRDefault="00F7534A" w14:paraId="5F00D02E" w14:textId="77777777">
      <w:pPr>
        <w:spacing w:after="0" w:line="360" w:lineRule="auto"/>
        <w:jc w:val="both"/>
        <w:rPr>
          <w:rFonts w:ascii="Verdana" w:hAnsi="Verdana"/>
          <w:sz w:val="24"/>
          <w:szCs w:val="24"/>
        </w:rPr>
      </w:pPr>
    </w:p>
    <w:p w:rsidRPr="00AD2BDA" w:rsidR="00AD2BDA" w:rsidP="005358E1" w:rsidRDefault="00AD2BDA" w14:paraId="730D1547" w14:textId="044826B0">
      <w:pPr>
        <w:spacing w:after="0" w:line="360" w:lineRule="auto"/>
        <w:jc w:val="both"/>
        <w:rPr>
          <w:rFonts w:ascii="Verdana" w:hAnsi="Verdana"/>
          <w:sz w:val="24"/>
          <w:szCs w:val="24"/>
        </w:rPr>
      </w:pPr>
      <w:r w:rsidRPr="00AD2BDA">
        <w:rPr>
          <w:rFonts w:ascii="Verdana" w:hAnsi="Verdana"/>
          <w:sz w:val="24"/>
          <w:szCs w:val="24"/>
        </w:rPr>
        <w:t>Como parte de este proceso, se actualizó el Manual del Gestor del Saber y la Innovación, consolidando lineamientos, roles y herramientas orientadas a fortalecer el acompañamiento y la sostenibilidad de la estrategia. </w:t>
      </w:r>
    </w:p>
    <w:p w:rsidRPr="00AD2BDA" w:rsidR="00AD2BDA" w:rsidP="005358E1" w:rsidRDefault="00AD2BDA" w14:paraId="57F633B0" w14:textId="77777777">
      <w:pPr>
        <w:spacing w:after="0" w:line="360" w:lineRule="auto"/>
        <w:jc w:val="both"/>
        <w:rPr>
          <w:rFonts w:ascii="Verdana" w:hAnsi="Verdana"/>
          <w:sz w:val="24"/>
          <w:szCs w:val="24"/>
        </w:rPr>
      </w:pPr>
      <w:r w:rsidRPr="00AD2BDA">
        <w:rPr>
          <w:rFonts w:ascii="Verdana" w:hAnsi="Verdana"/>
          <w:sz w:val="24"/>
          <w:szCs w:val="24"/>
        </w:rPr>
        <w:t>   </w:t>
      </w:r>
    </w:p>
    <w:p w:rsidRPr="00AD2BDA" w:rsidR="00AD2BDA" w:rsidP="005358E1" w:rsidRDefault="00AD2BDA" w14:paraId="4C346DBE" w14:textId="5CAAB524">
      <w:pPr>
        <w:spacing w:after="0" w:line="360" w:lineRule="auto"/>
        <w:jc w:val="both"/>
        <w:rPr>
          <w:rFonts w:ascii="Verdana" w:hAnsi="Verdana"/>
          <w:sz w:val="24"/>
          <w:szCs w:val="24"/>
        </w:rPr>
      </w:pPr>
      <w:r w:rsidRPr="5BBE4056">
        <w:rPr>
          <w:rFonts w:ascii="Verdana" w:hAnsi="Verdana"/>
          <w:b/>
          <w:sz w:val="24"/>
          <w:szCs w:val="24"/>
        </w:rPr>
        <w:t>Actualización y fortalecimiento del Laboratorio Digital IluMinna</w:t>
      </w:r>
      <w:r w:rsidRPr="5BBE4056" w:rsidR="62234584">
        <w:rPr>
          <w:rFonts w:ascii="Verdana" w:hAnsi="Verdana"/>
          <w:b/>
          <w:bCs/>
          <w:sz w:val="24"/>
          <w:szCs w:val="24"/>
        </w:rPr>
        <w:t>:</w:t>
      </w:r>
      <w:r w:rsidRPr="5BBE4056" w:rsidR="62234584">
        <w:rPr>
          <w:rFonts w:ascii="Verdana" w:hAnsi="Verdana"/>
          <w:sz w:val="24"/>
          <w:szCs w:val="24"/>
        </w:rPr>
        <w:t xml:space="preserve"> s</w:t>
      </w:r>
      <w:r w:rsidRPr="5BBE4056" w:rsidR="61A92C87">
        <w:rPr>
          <w:rFonts w:ascii="Verdana" w:hAnsi="Verdana"/>
          <w:sz w:val="24"/>
          <w:szCs w:val="24"/>
        </w:rPr>
        <w:t>e</w:t>
      </w:r>
      <w:r w:rsidRPr="00AD2BDA">
        <w:rPr>
          <w:rFonts w:ascii="Verdana" w:hAnsi="Verdana"/>
          <w:sz w:val="24"/>
          <w:szCs w:val="24"/>
        </w:rPr>
        <w:t xml:space="preserve"> adelantó la actualización integral del Laboratorio Digital IluMinna, fortaleciendo la experiencia de uso y la apropiación de las herramientas metodológicas disponibles para los equipos de trabajo. En este proceso se rediseñaron las herramientas y contenidos del laboratorio, priorizando criterios de usabilidad, claridad e interacción, con el propósito de hacerlas más intuitivas, prácticas y fáciles de implementar en los procesos de innovación institucional. </w:t>
      </w:r>
    </w:p>
    <w:p w:rsidRPr="00F7534A" w:rsidR="11835F2D" w:rsidP="005358E1" w:rsidRDefault="00AD2BDA" w14:paraId="5C78EB11" w14:textId="0AE25FA9">
      <w:pPr>
        <w:spacing w:after="0" w:line="360" w:lineRule="auto"/>
        <w:jc w:val="both"/>
        <w:rPr>
          <w:rFonts w:ascii="Verdana" w:hAnsi="Verdana"/>
          <w:sz w:val="24"/>
          <w:szCs w:val="24"/>
        </w:rPr>
      </w:pPr>
      <w:r w:rsidRPr="00AD2BDA">
        <w:rPr>
          <w:rFonts w:ascii="Verdana" w:hAnsi="Verdana"/>
          <w:sz w:val="24"/>
          <w:szCs w:val="24"/>
        </w:rPr>
        <w:t>  </w:t>
      </w:r>
    </w:p>
    <w:p w:rsidR="73F54A01" w:rsidRDefault="73F54A01" w14:paraId="25DEC192" w14:textId="77777777">
      <w:pPr>
        <w:pStyle w:val="Prrafodelista"/>
        <w:numPr>
          <w:ilvl w:val="1"/>
          <w:numId w:val="95"/>
        </w:numPr>
        <w:spacing w:after="0" w:line="360" w:lineRule="auto"/>
        <w:jc w:val="both"/>
        <w:outlineLvl w:val="1"/>
        <w:rPr>
          <w:rFonts w:ascii="Verdana" w:hAnsi="Verdana"/>
          <w:b/>
          <w:bCs/>
          <w:sz w:val="24"/>
          <w:szCs w:val="24"/>
        </w:rPr>
      </w:pPr>
      <w:bookmarkStart w:name="_Toc233996756" w:id="39"/>
      <w:r w:rsidRPr="11835F2D">
        <w:rPr>
          <w:rFonts w:ascii="Verdana" w:hAnsi="Verdana"/>
          <w:b/>
          <w:bCs/>
          <w:sz w:val="24"/>
          <w:szCs w:val="24"/>
        </w:rPr>
        <w:t>Red Nacional de Conocimiento para la Transición Energética Justa (RedTEJ)</w:t>
      </w:r>
      <w:bookmarkEnd w:id="39"/>
    </w:p>
    <w:p w:rsidR="11835F2D" w:rsidP="005358E1" w:rsidRDefault="11835F2D" w14:paraId="6DB4CD89" w14:textId="77777777">
      <w:pPr>
        <w:pStyle w:val="Prrafodelista"/>
        <w:spacing w:after="0" w:line="360" w:lineRule="auto"/>
        <w:ind w:left="0"/>
        <w:jc w:val="both"/>
        <w:rPr>
          <w:rFonts w:ascii="Verdana" w:hAnsi="Verdana"/>
          <w:sz w:val="24"/>
          <w:szCs w:val="24"/>
        </w:rPr>
      </w:pPr>
    </w:p>
    <w:p w:rsidR="73F54A01" w:rsidP="005358E1" w:rsidRDefault="73F54A01" w14:paraId="4C3DF642"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La Red Nacional de Conocimiento para la Transición Energética Justa – RedTEJ constituye un proceso estratégico de la Oficina de Planeación y Gestión Internacional, orientado a la articulación de actores del sector público, la academia, el sector productivo y las organizaciones sociales y poblacionales alrededor de la gestión del conocimiento para la Transición Energética Justa.</w:t>
      </w:r>
    </w:p>
    <w:p w:rsidR="73F54A01" w:rsidP="005358E1" w:rsidRDefault="73F54A01" w14:paraId="001D14A0"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 xml:space="preserve"> </w:t>
      </w:r>
    </w:p>
    <w:p w:rsidR="73F54A01" w:rsidP="005358E1" w:rsidRDefault="73F54A01" w14:paraId="76ACFF03"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La RedTEJ funciona como un espacio autónomo y permanente de participación mixta, con enfoque territorial y diferencial, que promueve escenarios de análisis, diálogo, coordinación y construcción colectiva de conocimiento. Su estructura organizativa está integrada por la Secretaría Técnica, el Consejo y los Nodos Territoriales, instancias mediante las cuales se orientan, articulan y dinamizan las acciones de la Red a nivel nacional y territorial.</w:t>
      </w:r>
    </w:p>
    <w:p w:rsidR="73F54A01" w:rsidP="005358E1" w:rsidRDefault="73F54A01" w14:paraId="65BFFB78"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 xml:space="preserve"> </w:t>
      </w:r>
    </w:p>
    <w:p w:rsidR="73F54A01" w:rsidP="005358E1" w:rsidRDefault="73F54A01" w14:paraId="111F09AE"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Para el periodo 2022-2026, la gestión asociada a la RedTEJ evidencia un proceso progresivo de diseño, estructuración, formalización, posicionamiento y territorialización. De acuerdo con el insumo disponible, no se registran actividades específicas para la vigencia 2022; no obstante, a partir de 2023 se documentan avances concretos en la formulación de la instancia, el mapeo de actores y la construcción inicial de la Red como mecanismo de articulación y gestión del conocimiento para la Transición Energética Justa.</w:t>
      </w:r>
    </w:p>
    <w:p w:rsidR="73F54A01" w:rsidP="005358E1" w:rsidRDefault="73F54A01" w14:paraId="6EC31EF1"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 xml:space="preserve"> </w:t>
      </w:r>
    </w:p>
    <w:p w:rsidR="73F54A01" w:rsidP="005358E1" w:rsidRDefault="73F54A01" w14:paraId="4E86EF5F"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Durante la vigencia 2023, el equipo de la Oficina de Planeación y Gestión Internacional avanzó en la primera versión de la Red, denominada inicialmente Red Nacional de Conocimiento Minero Energético. En esta etapa se proyectó la propuesta de la instancia, se realizó un primer ejercicio de mapeo y conexión de actores estratégicos y se formuló una propuesta inicial de plan de acción. Este proceso permitió identificar los primeros agentes a contactar, orientar la estrategia de vinculación y avanzar en la socialización, concertación y construcción inicial de la Red.</w:t>
      </w:r>
    </w:p>
    <w:p w:rsidR="73F54A01" w:rsidP="005358E1" w:rsidRDefault="73F54A01" w14:paraId="2999F80A"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 xml:space="preserve"> </w:t>
      </w:r>
    </w:p>
    <w:p w:rsidR="73F54A01" w:rsidP="005358E1" w:rsidRDefault="73F54A01" w14:paraId="12CD5A06"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 xml:space="preserve">Durante la vigencia 2024, se avanzó en la instalación del Consejo Temporal de la RedTEJ, integrado por representantes de la academia, el sector productivo, las organizaciones sociales y poblacionales y el sector público. Este Consejo fue instalado el 23 de agosto de 2024 y permitió </w:t>
      </w:r>
      <w:r w:rsidRPr="11835F2D">
        <w:rPr>
          <w:rFonts w:ascii="Verdana" w:hAnsi="Verdana"/>
          <w:sz w:val="24"/>
          <w:szCs w:val="24"/>
        </w:rPr>
        <w:t>consolidar un primer ejercicio de gobernanza representativa para orientar las discusiones sobre la misión, objetivos, alcance y proyección de la Red. En esta vigencia también se conformaron comisiones de trabajo, se realizaron diálogos territoriales en Bucaramanga, Medellín, Cali y Bogotá D.C., y se recogieron insumos para fortalecer los documentos orientadores de la instancia.</w:t>
      </w:r>
    </w:p>
    <w:p w:rsidR="73F54A01" w:rsidP="005358E1" w:rsidRDefault="73F54A01" w14:paraId="6B03491B"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 xml:space="preserve"> </w:t>
      </w:r>
    </w:p>
    <w:p w:rsidR="73F54A01" w:rsidP="005358E1" w:rsidRDefault="73F54A01" w14:paraId="78188219"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Asimismo, durante 2024 se avanzó en la elaboración del primer borrador del Reglamento Interno de Funcionamiento de la RedTEJ, trabajado con la Oficina Asesora Jurídica del Ministerio de Minas y Energía, con el propósito de avanzar en su formalización. En materia de divulgación, se creó el micrositio web de la RedTEJ y se promovió la participación de la Red en espacios académicos, técnicos y de relacionamiento, contribuyendo a su posicionamiento institucional y sectorial.</w:t>
      </w:r>
    </w:p>
    <w:p w:rsidR="73F54A01" w:rsidP="005358E1" w:rsidRDefault="73F54A01" w14:paraId="5F43EB7F"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 xml:space="preserve"> </w:t>
      </w:r>
    </w:p>
    <w:p w:rsidR="73F54A01" w:rsidP="005358E1" w:rsidRDefault="73F54A01" w14:paraId="4BAE4F10"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Durante la vigencia 2025, la Secretaría Técnica elaboró el Plan de Acción de la RedTEJ, aprobado por el Consejo en febrero de 2025, estructurado alrededor de los componentes de formalización, territorialización, posicionamiento y divulgación. Para su implementación, se consolidaron comisiones de trabajo integradas por consejeros, de acuerdo con sus intereses y líneas de aporte.</w:t>
      </w:r>
    </w:p>
    <w:p w:rsidR="73F54A01" w:rsidP="005358E1" w:rsidRDefault="73F54A01" w14:paraId="791BF02D"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 xml:space="preserve"> </w:t>
      </w:r>
    </w:p>
    <w:p w:rsidR="73F54A01" w:rsidP="005358E1" w:rsidRDefault="73F54A01" w14:paraId="3FD9E69C"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En el componente de formalización, se avanzó en la elaboración, discusión y aprobación del Reglamento Interno de Funcionamiento de la RedTEJ, compuesto por seis capítulos y veintinueve artículos, relacionados con la naturaleza y objetivo de la Red, su conformación y funcionamiento, las funciones de la Secretaría Técnica, el Consejo, los Nodos Territoriales, el plan de acción y la gestión documental. Asimismo, se avanzó en la estructuración del documento de formalización de la RedTEJ, atendiendo las recomendaciones y requerimientos de la Oficina Asesora Jurídica.</w:t>
      </w:r>
    </w:p>
    <w:p w:rsidR="73F54A01" w:rsidP="005358E1" w:rsidRDefault="73F54A01" w14:paraId="2570B6AE"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 xml:space="preserve"> </w:t>
      </w:r>
    </w:p>
    <w:p w:rsidR="73F54A01" w:rsidP="005358E1" w:rsidRDefault="73F54A01" w14:paraId="701CFA0A"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En esta misma vigencia se diseñó e implementó el proceso electoral democrático para la conformación del Consejo 2026, organizado en fases preelectoral, electoral y poselectoral. Este proceso incluyó la publicación del calendario, la difusión de lineamientos, el registro y validación de candidatos y electores, la realización de jornadas de votación, el escrutinio, la declaración de resultados y la atención de impugnaciones. Como resultado, se conformó el Consejo RedTEJ 2026, con representación de la academia, el sector público, el sector productivo y las organizaciones sociales y poblacionales.</w:t>
      </w:r>
    </w:p>
    <w:p w:rsidR="73F54A01" w:rsidP="005358E1" w:rsidRDefault="73F54A01" w14:paraId="22B140C1"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 xml:space="preserve"> </w:t>
      </w:r>
    </w:p>
    <w:p w:rsidR="73F54A01" w:rsidP="005358E1" w:rsidRDefault="73F54A01" w14:paraId="050DEDFB"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Adicionalmente, durante 2025 se avanzó en el componente de territorialización mediante la elaboración de lineamientos para la creación y conformación de Nodos Territoriales, así como instrumentos para la presentación de propuestas y cartas de intención. En esta vigencia se conformaron los nodos piloto Eje Cafetero y Caribe, cada uno con sus respectivos representantes, y se adelantaron jornadas de trabajo independientes para avanzar en propuestas de plan de acción 2026.</w:t>
      </w:r>
    </w:p>
    <w:p w:rsidR="73F54A01" w:rsidP="005358E1" w:rsidRDefault="73F54A01" w14:paraId="026F5CB3"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 xml:space="preserve"> </w:t>
      </w:r>
    </w:p>
    <w:p w:rsidR="73F54A01" w:rsidP="005358E1" w:rsidRDefault="73F54A01" w14:paraId="05440072"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En materia de posicionamiento y divulgación, se implementó una estrategia de comunicación orientada a visibilizar las acciones de los actores de la Red y de la instancia en temas de investigación e implementación de proyectos de Transición Energética Justa. Esta estrategia se desarrolló a través del micrositio web, el boletín mensual “RedTEJ en Acción”, correo electrónico y grupo de WhatsApp. De igual manera, la RedTEJ participó en espacios académicos y técnicos, y acompañó la elaboración del Informe Nacional de Necesidades y Capacidades, en cooperación con la GIZ y la consultoría Polen Transiciones Justas, como herramienta estratégica para mapear capacidades, actores y necesidades de gestión del conocimiento en Transición Energética Justa.</w:t>
      </w:r>
    </w:p>
    <w:p w:rsidR="73F54A01" w:rsidP="005358E1" w:rsidRDefault="73F54A01" w14:paraId="1CD1B87C"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 xml:space="preserve"> </w:t>
      </w:r>
    </w:p>
    <w:p w:rsidR="73F54A01" w:rsidP="005358E1" w:rsidRDefault="73F54A01" w14:paraId="349F37D1"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Durante la vigencia 2026, la RedTEJ avanzó en la implementación del Plan de Acción construido a partir de los insumos del Consejo 2025-2026, dando continuidad a las líneas estratégicas de gobernanza, territorialización, gestión del conocimiento, posicionamiento y divulgación. Para organizar el trabajo, distribuir responsabilidades y facilitar el seguimiento de los compromisos, se consolidaron tres comisiones temáticas integradas por consejeros y suplentes, con acompañamiento permanente de la Secretaría Técnica: Comisión de Gobernanza, Comisión de Territorialización y Comisión de Gestión del Conocimiento, Posicionamiento y Divulgación.</w:t>
      </w:r>
    </w:p>
    <w:p w:rsidR="73F54A01" w:rsidP="005358E1" w:rsidRDefault="73F54A01" w14:paraId="5B2D2228"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 xml:space="preserve"> </w:t>
      </w:r>
    </w:p>
    <w:p w:rsidR="73F54A01" w:rsidP="005358E1" w:rsidRDefault="73F54A01" w14:paraId="6D8436D3"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La Comisión de Gobernanza orientó su trabajo a la revisión del entorno normativo y de política pública relacionado con la Transición Energética Justa. En desarrollo de sus sesiones, avanzó en la organización y redistribución de una matriz normativa, la revisión de observaciones por parte de los consejeros, la priorización de normas relevantes y la proyección de un sistema de evaluación por criterios para seleccionar un conjunto acotado de normas objeto de análisis.</w:t>
      </w:r>
    </w:p>
    <w:p w:rsidR="73F54A01" w:rsidP="005358E1" w:rsidRDefault="73F54A01" w14:paraId="04384088"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 xml:space="preserve"> </w:t>
      </w:r>
    </w:p>
    <w:p w:rsidR="73F54A01" w:rsidP="005358E1" w:rsidRDefault="73F54A01" w14:paraId="7D1048E4"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 xml:space="preserve">La Comisión de Gestión del Conocimiento, Posicionamiento y Divulgación concentró sus actividades en la estructuración de espacios académicos, metodológicos y de divulgación de la RedTEJ. En particular, lideró la organización de la participación de la Red en la agenda paralela de la Conferencia de Transición Energética: Más allá de los combustibles fósiles, realizada en Santa Marta entre el 25 y el 30 de abril de 2026, mediante la preparación de paneles, guías metodológicas, preguntas orientadoras, listas de chequeo, esquemas de relatoría, piezas de divulgación, formularios de inscripción y documentos de orientación. Posteriormente, </w:t>
      </w:r>
      <w:r w:rsidRPr="11835F2D">
        <w:rPr>
          <w:rFonts w:ascii="Verdana" w:hAnsi="Verdana"/>
          <w:sz w:val="24"/>
          <w:szCs w:val="24"/>
        </w:rPr>
        <w:t>avanzó en la consolidación de relatorías, organización de material audiovisual y remisión de insumos para la elaboración de memorias.</w:t>
      </w:r>
    </w:p>
    <w:p w:rsidR="73F54A01" w:rsidP="005358E1" w:rsidRDefault="73F54A01" w14:paraId="74C94876"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 xml:space="preserve"> </w:t>
      </w:r>
    </w:p>
    <w:p w:rsidR="73F54A01" w:rsidP="005358E1" w:rsidRDefault="73F54A01" w14:paraId="68EDDDF6"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Asimismo, esta comisión apoyó la articulación de la RedTEJ en el evento “Comunidades Energéticas: Energía Viva que Transforma”, realizado el 21 de mayo de 2026 en Cúcuta, concebido como una jornada de conocimiento, intercambio de experiencias y articulación multiactor sobre comunidades energéticas y Transición Energética Justa. Este espacio permitió visibilizar el papel de la RedTEJ como plataforma de gestión del conocimiento y fortalecer el relacionamiento territorial en la región de los Santanderes.</w:t>
      </w:r>
    </w:p>
    <w:p w:rsidR="73F54A01" w:rsidP="005358E1" w:rsidRDefault="73F54A01" w14:paraId="08691364"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 xml:space="preserve"> </w:t>
      </w:r>
    </w:p>
    <w:p w:rsidR="73F54A01" w:rsidP="005358E1" w:rsidRDefault="73F54A01" w14:paraId="4219A1D2"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La Comisión de Territorialización orientó su trabajo a la definición de una ruta metodológica para la conformación y consolidación de nuevos Nodos Territoriales, retomando los lineamientos establecidos y las lecciones aprendidas de los nodos piloto del Eje Cafetero y Caribe. En este proceso se identificaron territorios con interés en avanzar en nuevos nodos, entre ellos Pacífico, Santanderes, Antioquia y Región Central.</w:t>
      </w:r>
    </w:p>
    <w:p w:rsidR="73F54A01" w:rsidP="005358E1" w:rsidRDefault="73F54A01" w14:paraId="6C61BB7F"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 xml:space="preserve"> </w:t>
      </w:r>
    </w:p>
    <w:p w:rsidR="73F54A01" w:rsidP="005358E1" w:rsidRDefault="73F54A01" w14:paraId="7C62D88A"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Durante el primer semestre de 2026 se avanzó en la conformación del Nodo Territorial Pacífico, en su capítulo Valle del Cauca. Para ello se adelantaron una serie de reuniones de articulación y planeación con actores académicos, sociales y del sector productivo como Pro-Pacífico, La Universidad del Valle, Movilizatorio, Conservamos y el Observatorio de Transiciones Territoriales. En estos espacios se presentó la Red, se avanzó en un mapeo de actores interesados y se definió la metodología para el ejercicio de conformación del Nodo para el próximo 25 de junio de 2026 en la ciudad de Cali.</w:t>
      </w:r>
    </w:p>
    <w:p w:rsidR="73F54A01" w:rsidP="005358E1" w:rsidRDefault="73F54A01" w14:paraId="771A2B6D"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 xml:space="preserve"> </w:t>
      </w:r>
    </w:p>
    <w:p w:rsidR="73F54A01" w:rsidP="005358E1" w:rsidRDefault="73F54A01" w14:paraId="4200FA32"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Respecto al Nodo Territorial Santanderes, el 20 de mayo de 2026 se adelantaron en Cúcuta tres espacios de interlocución con actores estratégicos de Norte de Santander: la Secretaría de Gestión Minero y Energética Sostenible de la Gobernación de Norte de Santander, CENS EPM y la RAP El Gran Santander. Estos encuentros permitieron socializar la RedTEJ, presentar la proyección del Nodo Territorial Santanderes, recoger inquietudes sobre su funcionamiento y sostenibilidad, e identificar oportunidades de articulación institucional, académica, empresarial y comunitaria. De igual manera, se evidenció la necesidad de que el nodo contribuya al fortalecimiento de capacidades técnicas locales, la apropiación regulatoria, la socialización de oferta institucional y la formulación de proyectos energéticos viables, sostenibles y pertinentes para los territorios.</w:t>
      </w:r>
    </w:p>
    <w:p w:rsidR="73F54A01" w:rsidP="005358E1" w:rsidRDefault="73F54A01" w14:paraId="3A8B24E9"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 xml:space="preserve"> </w:t>
      </w:r>
    </w:p>
    <w:p w:rsidR="73F54A01" w:rsidP="005358E1" w:rsidRDefault="73F54A01" w14:paraId="0713C2D5"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De manera complementaria, se avanzó en una propuesta de estructura interna para los Nodos Territoriales, orientada a fortalecer la articulación, coordinación, deliberación, seguimiento y gestión territorial del conocimiento. Esta propuesta contempla la Secretaría Técnica, la Mesa de Articulación Territorial del Nodo, el Comité de Orientación Estratégica y las Mesas Temáticas Temporales como instancias para facilitar el funcionamiento interno de los nodos y su relación con la RedTEJ nacional.</w:t>
      </w:r>
    </w:p>
    <w:p w:rsidR="73F54A01" w:rsidP="005358E1" w:rsidRDefault="73F54A01" w14:paraId="1C262419"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 xml:space="preserve"> </w:t>
      </w:r>
    </w:p>
    <w:p w:rsidR="73F54A01" w:rsidP="005358E1" w:rsidRDefault="73F54A01" w14:paraId="7E4387D4"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 xml:space="preserve">En términos generales, durante el periodo 2022-2026 la gestión adelantada permitió pasar de una fase inicial de diseño y estructuración de la RedTEJ a una etapa de operación, formalización, posicionamiento y expansión territorial. Los principales avances se reflejan en la consolidación de su estructura de gobernanza, la conformación de consejos y comisiones de trabajo, el desarrollo de instrumentos normativos y metodológicos, la creación de nodos territoriales piloto, la proyección de nuevos nodos, la generación de productos de conocimiento </w:t>
      </w:r>
      <w:r w:rsidRPr="11835F2D">
        <w:rPr>
          <w:rFonts w:ascii="Verdana" w:hAnsi="Verdana"/>
          <w:sz w:val="24"/>
          <w:szCs w:val="24"/>
        </w:rPr>
        <w:t>y el fortalecimiento de escenarios de articulación multiactor para la Transición Energética Justa.</w:t>
      </w:r>
    </w:p>
    <w:p w:rsidR="73F54A01" w:rsidP="005358E1" w:rsidRDefault="73F54A01" w14:paraId="7FBECB6B"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 xml:space="preserve"> </w:t>
      </w:r>
    </w:p>
    <w:p w:rsidR="73F54A01" w:rsidP="005358E1" w:rsidRDefault="73F54A01" w14:paraId="558ECE5E" w14:textId="77777777">
      <w:pPr>
        <w:pStyle w:val="Prrafodelista"/>
        <w:spacing w:after="0" w:line="360" w:lineRule="auto"/>
        <w:ind w:left="0"/>
        <w:jc w:val="both"/>
        <w:rPr>
          <w:rFonts w:ascii="Verdana" w:hAnsi="Verdana"/>
          <w:b/>
          <w:bCs/>
          <w:sz w:val="24"/>
          <w:szCs w:val="24"/>
        </w:rPr>
      </w:pPr>
      <w:r w:rsidRPr="11835F2D">
        <w:rPr>
          <w:rFonts w:ascii="Verdana" w:hAnsi="Verdana"/>
          <w:b/>
          <w:bCs/>
          <w:sz w:val="24"/>
          <w:szCs w:val="24"/>
        </w:rPr>
        <w:t>Estado actual</w:t>
      </w:r>
    </w:p>
    <w:p w:rsidR="73F54A01" w:rsidP="005358E1" w:rsidRDefault="73F54A01" w14:paraId="628FC7C9"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 xml:space="preserve"> </w:t>
      </w:r>
    </w:p>
    <w:p w:rsidR="73F54A01" w:rsidP="005358E1" w:rsidRDefault="73F54A01" w14:paraId="40F0497A"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A la fecha, la Red Nacional de Conocimiento para la Transición Energética Justa – RedTEJ cuenta con una estructura de gobernanza en operación, integrada por la Secretaría Técnica, el Consejo RedTEJ 2025-2026, las comisiones temáticas de trabajo y los Nodos Territoriales piloto y proyectados. Actualmente, el Consejo RedTEJ 2025-2026 está conformado por 16 consejeros principales y 15 suplentes, con representación de la academia, el sector público, el sector productivo y las organizaciones sociales y poblacionales.</w:t>
      </w:r>
    </w:p>
    <w:p w:rsidR="73F54A01" w:rsidP="005358E1" w:rsidRDefault="73F54A01" w14:paraId="5D3FB6E5"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 xml:space="preserve"> </w:t>
      </w:r>
    </w:p>
    <w:p w:rsidR="73F54A01" w:rsidP="005358E1" w:rsidRDefault="73F54A01" w14:paraId="70584668"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Asimismo, la RedTEJ cuenta con una base consolidada de 492 actores identificados, distribuidos en 159 actores de academia —instituciones de educación superior, colegios, entre otros—, 10 actores de gobierno, 286 organizaciones sociales y 37 actores del sector productivo. Esta base constituye un insumo estratégico para fortalecer la gestión de relacionamiento, orientar convocatorias, ampliar la participación de actores y proyectar nuevas acciones de articulación nacional y territorial.</w:t>
      </w:r>
    </w:p>
    <w:p w:rsidR="73F54A01" w:rsidP="005358E1" w:rsidRDefault="73F54A01" w14:paraId="0591EE1C"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 xml:space="preserve"> </w:t>
      </w:r>
    </w:p>
    <w:p w:rsidR="73F54A01" w:rsidP="005358E1" w:rsidRDefault="73F54A01" w14:paraId="4A68520E"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 xml:space="preserve">Durante el periodo reportado, la RedTEJ pasó de una fase de diseño, mapeo de actores y concertación institucional, a una etapa de operación con instrumentos de funcionamiento, lineamientos, reglamento interno, consejo representativo, comisiones de trabajo, nodos piloto y espacios de articulación territorial. Estos avances han permitido fortalecer su capacidad de coordinación, seguimiento y generación de insumos técnicos, metodológicos y documentales para aportar a la formulación de </w:t>
      </w:r>
      <w:r w:rsidRPr="11835F2D">
        <w:rPr>
          <w:rFonts w:ascii="Verdana" w:hAnsi="Verdana"/>
          <w:sz w:val="24"/>
          <w:szCs w:val="24"/>
        </w:rPr>
        <w:t>recomendaciones, programas, proyectos y acciones asociadas a la Transición Energética Justa.</w:t>
      </w:r>
    </w:p>
    <w:p w:rsidR="73F54A01" w:rsidP="005358E1" w:rsidRDefault="73F54A01" w14:paraId="1F20D188"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 xml:space="preserve"> </w:t>
      </w:r>
    </w:p>
    <w:p w:rsidR="73F54A01" w:rsidP="005358E1" w:rsidRDefault="73F54A01" w14:paraId="49131E34"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En la vigencia 2026, la gestión se ha concentrado en la implementación del Plan de Acción, mediante el funcionamiento de las comisiones de Gobernanza; Territorialización; y Gestión del Conocimiento, Posicionamiento y Divulgación. Estas comisiones han permitido organizar el trabajo de los consejeros y suplentes, avanzar en productos específicos, fortalecer la trazabilidad de los compromisos y proyectar acciones de continuidad para la RedTEJ.</w:t>
      </w:r>
    </w:p>
    <w:p w:rsidR="73F54A01" w:rsidP="005358E1" w:rsidRDefault="73F54A01" w14:paraId="7D7A9BE3"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 xml:space="preserve"> </w:t>
      </w:r>
    </w:p>
    <w:p w:rsidR="73F54A01" w:rsidP="005358E1" w:rsidRDefault="73F54A01" w14:paraId="63BB3BFD" w14:textId="77777777">
      <w:pPr>
        <w:pStyle w:val="Prrafodelista"/>
        <w:spacing w:after="0" w:line="360" w:lineRule="auto"/>
        <w:ind w:left="0"/>
        <w:jc w:val="both"/>
        <w:rPr>
          <w:rFonts w:ascii="Verdana" w:hAnsi="Verdana"/>
          <w:b/>
          <w:bCs/>
          <w:sz w:val="24"/>
          <w:szCs w:val="24"/>
        </w:rPr>
      </w:pPr>
      <w:r w:rsidRPr="11835F2D">
        <w:rPr>
          <w:rFonts w:ascii="Verdana" w:hAnsi="Verdana"/>
          <w:b/>
          <w:bCs/>
          <w:sz w:val="24"/>
          <w:szCs w:val="24"/>
        </w:rPr>
        <w:t>Asuntos en curso o pendientes</w:t>
      </w:r>
    </w:p>
    <w:p w:rsidR="73F54A01" w:rsidP="005358E1" w:rsidRDefault="73F54A01" w14:paraId="20F941BD"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 xml:space="preserve"> </w:t>
      </w:r>
    </w:p>
    <w:p w:rsidR="73F54A01" w:rsidP="005358E1" w:rsidRDefault="73F54A01" w14:paraId="155BA78F"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Se encuentra en curso el proceso de formalización de la RedTEJ, como aspecto estratégico para fortalecer su sostenibilidad institucional, consolidar su funcionamiento y dar mayor respaldo a su estructura de gobernanza, integrada por la Secretaría Técnica, el Consejo, las comisiones de trabajo y los Nodos Territoriales.</w:t>
      </w:r>
    </w:p>
    <w:p w:rsidR="73F54A01" w:rsidP="005358E1" w:rsidRDefault="73F54A01" w14:paraId="7837DFC1"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 xml:space="preserve"> </w:t>
      </w:r>
    </w:p>
    <w:p w:rsidR="73F54A01" w:rsidP="005358E1" w:rsidRDefault="73F54A01" w14:paraId="128FE1E8"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Adicionalmente, se encuentra pendiente la consolidación de los productos derivados de las comisiones de trabajo, especialmente la matriz normativa y el ejercicio de priorización liderado por la Comisión de Gobernanza; la finalización, revisión y socialización de memorias y relatorías de los espacios académicos desarrollados; y la continuidad de las acciones de posicionamiento, divulgación y apropiación social del conocimiento.</w:t>
      </w:r>
    </w:p>
    <w:p w:rsidR="73F54A01" w:rsidP="005358E1" w:rsidRDefault="73F54A01" w14:paraId="34DA3F3F"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 xml:space="preserve"> </w:t>
      </w:r>
    </w:p>
    <w:p w:rsidR="73F54A01" w:rsidP="005358E1" w:rsidRDefault="73F54A01" w14:paraId="33B9360B"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 xml:space="preserve">En materia territorial, se encuentra pendiente avanzar en la ruta de conformación del Nodo Territorial Santanderes, a partir de los acercamientos realizados con actores estratégicos de Norte de Santander, </w:t>
      </w:r>
      <w:r w:rsidRPr="11835F2D">
        <w:rPr>
          <w:rFonts w:ascii="Verdana" w:hAnsi="Verdana"/>
          <w:sz w:val="24"/>
          <w:szCs w:val="24"/>
        </w:rPr>
        <w:t>así como la instalación del Nodo Territorial Pacífico en su capítulo Valle del Cauca, en la que además se tiene prevista una jornada de trabajo colaborativo para la estructuración de las líneas de trabajo de su plan de acción y la definición de las mesas y actores que harán posible su implementación. De igual manera, está en marcha continuar el relacionamiento con los territorios que han manifestado interés en la conformación de nuevos nodos, entre ellos Antioquia y Región Central. También se requiere continuar la revisión y ajuste de la propuesta de estructura interna de los Nodos Territoriales, con el fin de contar con un esquema operativo claro, flexible y articulado con la RedTEJ nacional.</w:t>
      </w:r>
    </w:p>
    <w:p w:rsidR="73F54A01" w:rsidP="005358E1" w:rsidRDefault="73F54A01" w14:paraId="635B1BE3"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 xml:space="preserve"> </w:t>
      </w:r>
    </w:p>
    <w:p w:rsidR="73F54A01" w:rsidP="005358E1" w:rsidRDefault="73F54A01" w14:paraId="3949AFC7"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De igual manera, permanece como asunto estratégico la consolidación de mecanismos de seguimiento documental y la sostenibilidad de la participación de los actores vinculados, especialmente frente a cambios administrativos, disponibilidad de tiempos de los consejeros y necesidad de mantener una agenda de trabajo clara, pertinente y orientada a resultados.</w:t>
      </w:r>
    </w:p>
    <w:p w:rsidR="73F54A01" w:rsidP="005358E1" w:rsidRDefault="73F54A01" w14:paraId="5AE936BD"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 xml:space="preserve"> </w:t>
      </w:r>
    </w:p>
    <w:p w:rsidR="73F54A01" w:rsidP="005358E1" w:rsidRDefault="73F54A01" w14:paraId="3FE5DB82" w14:textId="77777777">
      <w:pPr>
        <w:pStyle w:val="Prrafodelista"/>
        <w:spacing w:after="0" w:line="360" w:lineRule="auto"/>
        <w:ind w:left="0"/>
        <w:jc w:val="both"/>
        <w:rPr>
          <w:rFonts w:ascii="Verdana" w:hAnsi="Verdana"/>
          <w:b/>
          <w:bCs/>
          <w:sz w:val="24"/>
          <w:szCs w:val="24"/>
        </w:rPr>
      </w:pPr>
      <w:r w:rsidRPr="11835F2D">
        <w:rPr>
          <w:rFonts w:ascii="Verdana" w:hAnsi="Verdana"/>
          <w:b/>
          <w:bCs/>
          <w:sz w:val="24"/>
          <w:szCs w:val="24"/>
        </w:rPr>
        <w:t>Recomendaciones de continuidad</w:t>
      </w:r>
    </w:p>
    <w:p w:rsidR="73F54A01" w:rsidP="005358E1" w:rsidRDefault="73F54A01" w14:paraId="7022E4D0"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 xml:space="preserve"> </w:t>
      </w:r>
    </w:p>
    <w:p w:rsidR="73F54A01" w:rsidP="005358E1" w:rsidRDefault="73F54A01" w14:paraId="05B0F08F"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 xml:space="preserve">Se recomienda formalizar la Red Nacional de Conocimiento para la Transición Energética Justa para consolidar un mecanismo permanente de articulación, participación y gestión del conocimiento que contribuya al diseño, implementación y seguimiento de las políticas, programas y proyectos asociados a la Transición Energética Justa en Colombia. Su formalización permitirá garantizar continuidad institucional, fortalecer la coordinación intersectorial e interterritorial, promover la transparencia y la participación incidente, y consolidar una plataforma nacional capaz de generar insumos técnicos y recomendaciones para la toma de decisiones, </w:t>
      </w:r>
      <w:r w:rsidRPr="11835F2D">
        <w:rPr>
          <w:rFonts w:ascii="Verdana" w:hAnsi="Verdana"/>
          <w:sz w:val="24"/>
          <w:szCs w:val="24"/>
        </w:rPr>
        <w:t>incorporando enfoques diferenciales y territoriales que respondan a los desafíos y oportunidades de la transición energética del país.</w:t>
      </w:r>
    </w:p>
    <w:p w:rsidR="73F54A01" w:rsidP="005358E1" w:rsidRDefault="73F54A01" w14:paraId="70094E20"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 xml:space="preserve"> </w:t>
      </w:r>
    </w:p>
    <w:p w:rsidR="73F54A01" w:rsidP="005358E1" w:rsidRDefault="73F54A01" w14:paraId="300719F6"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Así mismo, mantener el acompañamiento de la Secretaría Técnica al Consejo, a las comisiones de trabajo y a los nodos territoriales, garantizando la trazabilidad de las sesiones, compromisos, productos e insumos generados. Asimismo, resulta estratégico consolidar una agenda anual de trabajo que priorice productos concretos, tiempos de entrega, responsables y mecanismos de seguimiento.</w:t>
      </w:r>
    </w:p>
    <w:p w:rsidR="73F54A01" w:rsidP="005358E1" w:rsidRDefault="73F54A01" w14:paraId="1B7BC16B"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 xml:space="preserve"> </w:t>
      </w:r>
    </w:p>
    <w:p w:rsidR="73F54A01" w:rsidP="005358E1" w:rsidRDefault="73F54A01" w14:paraId="75B7F18C"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En materia de gobernanza, se recomienda finalizar el ejercicio de priorización normativa y avanzar hacia la formulación de recomendaciones técnicas que aporten a la discusión pública e institucional sobre la Transición Energética Justa. En gestión del conocimiento, posicionamiento y divulgación, se sugiere culminar las memorias de los espacios desarrollados, fortalecer la estrategia de publicación y circulación de contenidos, y proyectar nuevos escenarios académicos, pedagógicos y territoriales que amplíen el alcance de la RedTEJ.</w:t>
      </w:r>
    </w:p>
    <w:p w:rsidR="73F54A01" w:rsidP="005358E1" w:rsidRDefault="73F54A01" w14:paraId="2CBA733C"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 xml:space="preserve"> </w:t>
      </w:r>
    </w:p>
    <w:p w:rsidR="73F54A01" w:rsidP="005358E1" w:rsidRDefault="73F54A01" w14:paraId="07E38384"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En territorialización, se recomienda priorizar la consolidación de los nodos territoriales Pacífico, en su capítulo Valle del Cauca, y Santanderes, teniendo en cuenta los acercamientos ya realizados con actores, así como definir una hoja de ruta para los demás territorios interesados. Para ello, será importante fortalecer el mapa de actores, establecer canales permanentes de comunicación, promover espacios de formación y transferencia de capacidades, y articular la RedTEJ con iniciativas territoriales relacionadas con comunidades energéticas, Colombia Solar, economía circular, tecnologías limpias y proyectos energéticos sostenibles.</w:t>
      </w:r>
    </w:p>
    <w:p w:rsidR="73F54A01" w:rsidP="005358E1" w:rsidRDefault="73F54A01" w14:paraId="3E3913B4"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 xml:space="preserve"> </w:t>
      </w:r>
    </w:p>
    <w:p w:rsidR="73F54A01" w:rsidP="005358E1" w:rsidRDefault="73F54A01" w14:paraId="2EB5B570" w14:textId="77777777">
      <w:pPr>
        <w:pStyle w:val="Prrafodelista"/>
        <w:spacing w:after="0" w:line="360" w:lineRule="auto"/>
        <w:ind w:left="0"/>
        <w:jc w:val="both"/>
        <w:rPr>
          <w:rFonts w:ascii="Verdana" w:hAnsi="Verdana"/>
          <w:sz w:val="24"/>
          <w:szCs w:val="24"/>
        </w:rPr>
      </w:pPr>
      <w:r w:rsidRPr="11835F2D">
        <w:rPr>
          <w:rFonts w:ascii="Verdana" w:hAnsi="Verdana"/>
          <w:sz w:val="24"/>
          <w:szCs w:val="24"/>
        </w:rPr>
        <w:t>Finalmente, se recomienda preservar la RedTEJ como una plataforma estratégica para conectar conocimiento técnico, saberes territoriales, capacidades institucionales y necesidades regionales, de manera que continúe aportando a la construcción de políticas, programas y proyectos de Transición Energética Justa con enfoque territorial y diferencial.</w:t>
      </w:r>
    </w:p>
    <w:p w:rsidR="11835F2D" w:rsidP="005358E1" w:rsidRDefault="11835F2D" w14:paraId="0BFE4363" w14:textId="77777777">
      <w:pPr>
        <w:spacing w:after="0" w:line="360" w:lineRule="auto"/>
      </w:pPr>
    </w:p>
    <w:p w:rsidR="003C4398" w:rsidRDefault="7FAA7F70" w14:paraId="346BDB32" w14:textId="77777777">
      <w:pPr>
        <w:pStyle w:val="Ttulo2"/>
        <w:numPr>
          <w:ilvl w:val="1"/>
          <w:numId w:val="95"/>
        </w:numPr>
        <w:spacing w:before="0" w:after="0" w:line="360" w:lineRule="auto"/>
        <w:rPr>
          <w:rFonts w:ascii="Verdana" w:hAnsi="Verdana"/>
          <w:b/>
          <w:bCs/>
          <w:color w:val="auto"/>
          <w:sz w:val="24"/>
          <w:szCs w:val="24"/>
        </w:rPr>
      </w:pPr>
      <w:bookmarkStart w:name="_Toc233996757" w:id="40"/>
      <w:r w:rsidRPr="11835F2D">
        <w:rPr>
          <w:rFonts w:ascii="Verdana" w:hAnsi="Verdana"/>
          <w:b/>
          <w:bCs/>
          <w:color w:val="auto"/>
          <w:sz w:val="24"/>
          <w:szCs w:val="24"/>
        </w:rPr>
        <w:t>Gestión Estadística</w:t>
      </w:r>
      <w:bookmarkEnd w:id="40"/>
    </w:p>
    <w:p w:rsidR="11835F2D" w:rsidP="005358E1" w:rsidRDefault="11835F2D" w14:paraId="28C4E9C7" w14:textId="77777777">
      <w:pPr>
        <w:spacing w:after="0" w:line="360" w:lineRule="auto"/>
      </w:pPr>
    </w:p>
    <w:p w:rsidR="00DE4BAA" w:rsidP="005358E1" w:rsidRDefault="722703DD" w14:paraId="25493E41" w14:textId="77777777">
      <w:pPr>
        <w:spacing w:after="0" w:line="360" w:lineRule="auto"/>
        <w:jc w:val="both"/>
        <w:rPr>
          <w:rFonts w:ascii="Verdana" w:hAnsi="Verdana"/>
          <w:sz w:val="24"/>
          <w:szCs w:val="24"/>
        </w:rPr>
      </w:pPr>
      <w:r w:rsidRPr="11835F2D">
        <w:rPr>
          <w:rFonts w:ascii="Verdana" w:hAnsi="Verdana"/>
          <w:sz w:val="24"/>
          <w:szCs w:val="24"/>
        </w:rPr>
        <w:t xml:space="preserve">La planificación y gestión estadística se han consolidado como una función estratégica transversal en el Ministerio de Minas y Energía, al proveer los insumos objetivos y verificables necesarios para la formulación, seguimiento y evaluación de políticas públicas sectoriales. En un contexto de creciente complejidad técnica, descentralización de la información y demanda ciudadana por transparencia, contar con datos oportunos, confiables e interoperables es condición habilitante para la toma de decisiones basada en evidencia, en estricto cumplimiento de la Ley de Estadísticas Oficiales (Ley 2335 de 2023) y sus disposiciones sobre el secreto estadístico, la coordinación del Sistema Estadístico Nacional (SEN) y la producción de información oficial de calidad. </w:t>
      </w:r>
    </w:p>
    <w:p w:rsidR="11835F2D" w:rsidP="005358E1" w:rsidRDefault="11835F2D" w14:paraId="05E5F79E" w14:textId="77777777">
      <w:pPr>
        <w:spacing w:after="0" w:line="360" w:lineRule="auto"/>
        <w:jc w:val="both"/>
        <w:rPr>
          <w:rFonts w:ascii="Verdana" w:hAnsi="Verdana"/>
          <w:sz w:val="24"/>
          <w:szCs w:val="24"/>
        </w:rPr>
      </w:pPr>
    </w:p>
    <w:p w:rsidR="00DE4BAA" w:rsidP="005358E1" w:rsidRDefault="722703DD" w14:paraId="62591E1F" w14:textId="77777777">
      <w:pPr>
        <w:spacing w:after="0" w:line="360" w:lineRule="auto"/>
        <w:jc w:val="both"/>
        <w:rPr>
          <w:rFonts w:ascii="Verdana" w:hAnsi="Verdana"/>
          <w:sz w:val="24"/>
          <w:szCs w:val="24"/>
        </w:rPr>
      </w:pPr>
      <w:r w:rsidRPr="11835F2D">
        <w:rPr>
          <w:rFonts w:ascii="Verdana" w:hAnsi="Verdana"/>
          <w:sz w:val="24"/>
          <w:szCs w:val="24"/>
        </w:rPr>
        <w:t xml:space="preserve">Este documento sistematiza los avances alcanzados entre 2022 y 2026 en el fortalecimiento de la articulación interinstitucional, la formulación del Plan Estadístico Sectorial (PES) 2026-2031 y la gestión de necesidades de información bajo los lineamientos del Departamento Administrativo Nacional de Estadística (DANE) como ente rector. A través de estos desarrollos, el Ministerio avanza hacia un ecosistema de datos sectorial que reduce brechas históricas de interoperabilidad, mejora la calidad de los registros administrativos con potencial estadístico y garantiza el </w:t>
      </w:r>
      <w:r w:rsidRPr="11835F2D">
        <w:rPr>
          <w:rFonts w:ascii="Verdana" w:hAnsi="Verdana"/>
          <w:sz w:val="24"/>
          <w:szCs w:val="24"/>
        </w:rPr>
        <w:t>derecho de acceso a la información pública, en línea con los Objetivos de Desarrollo Sostenible (ODS) y la Política Nacional de Datos Abiertos.</w:t>
      </w:r>
    </w:p>
    <w:p w:rsidR="00F7534A" w:rsidP="005358E1" w:rsidRDefault="00F7534A" w14:paraId="297D04CA" w14:textId="77777777">
      <w:pPr>
        <w:spacing w:after="0" w:line="360" w:lineRule="auto"/>
        <w:jc w:val="both"/>
        <w:rPr>
          <w:rFonts w:ascii="Verdana" w:hAnsi="Verdana" w:cs="Arial"/>
          <w:b/>
          <w:bCs/>
          <w:sz w:val="24"/>
          <w:szCs w:val="24"/>
        </w:rPr>
      </w:pPr>
    </w:p>
    <w:p w:rsidRPr="002E7CA9" w:rsidR="002E7CA9" w:rsidP="005358E1" w:rsidRDefault="38825D89" w14:paraId="6FC03877" w14:textId="297C8813">
      <w:pPr>
        <w:spacing w:after="0" w:line="360" w:lineRule="auto"/>
        <w:jc w:val="both"/>
        <w:rPr>
          <w:rFonts w:ascii="Verdana" w:hAnsi="Verdana" w:cs="Arial"/>
          <w:b/>
          <w:bCs/>
          <w:sz w:val="24"/>
          <w:szCs w:val="24"/>
        </w:rPr>
      </w:pPr>
      <w:r w:rsidRPr="11835F2D">
        <w:rPr>
          <w:rFonts w:ascii="Verdana" w:hAnsi="Verdana" w:cs="Arial"/>
          <w:b/>
          <w:bCs/>
          <w:sz w:val="24"/>
          <w:szCs w:val="24"/>
        </w:rPr>
        <w:t xml:space="preserve">9.3.1. </w:t>
      </w:r>
      <w:r w:rsidRPr="11835F2D" w:rsidR="32BA78C0">
        <w:rPr>
          <w:rFonts w:ascii="Verdana" w:hAnsi="Verdana" w:cs="Arial"/>
          <w:b/>
          <w:bCs/>
          <w:sz w:val="24"/>
          <w:szCs w:val="24"/>
        </w:rPr>
        <w:t>Fortalecimiento de la articulación y gestión de la información sectorial (2022–2026)</w:t>
      </w:r>
    </w:p>
    <w:p w:rsidR="11835F2D" w:rsidP="005358E1" w:rsidRDefault="11835F2D" w14:paraId="3C432D0F" w14:textId="77777777">
      <w:pPr>
        <w:spacing w:after="0" w:line="360" w:lineRule="auto"/>
        <w:jc w:val="both"/>
        <w:rPr>
          <w:rFonts w:ascii="Verdana" w:hAnsi="Verdana"/>
          <w:sz w:val="24"/>
          <w:szCs w:val="24"/>
        </w:rPr>
      </w:pPr>
    </w:p>
    <w:p w:rsidRPr="002E7CA9" w:rsidR="002E7CA9" w:rsidP="005358E1" w:rsidRDefault="4804695D" w14:paraId="78246DCA" w14:textId="77777777">
      <w:pPr>
        <w:spacing w:after="0" w:line="360" w:lineRule="auto"/>
        <w:jc w:val="both"/>
        <w:rPr>
          <w:rFonts w:ascii="Verdana" w:hAnsi="Verdana"/>
          <w:sz w:val="24"/>
          <w:szCs w:val="24"/>
        </w:rPr>
      </w:pPr>
      <w:r w:rsidRPr="180099B3">
        <w:rPr>
          <w:rFonts w:ascii="Verdana" w:hAnsi="Verdana"/>
          <w:sz w:val="24"/>
          <w:szCs w:val="24"/>
        </w:rPr>
        <w:t>Durante el cuatrienio 2022-2026, la Mesa Estadística Sectorial (MES) se consolidó como el principal espacio de articulación interinstitucional para la gestión de la información estadística del sector minero-energético. En este periodo, se avanzó en la construcción de una visión compartida sobre la importancia de la información como insumo estratégico para la toma de decisiones, la formulación de política pública y el seguimiento sectorial.</w:t>
      </w:r>
    </w:p>
    <w:p w:rsidR="180099B3" w:rsidP="005358E1" w:rsidRDefault="180099B3" w14:paraId="2894DA51" w14:textId="77777777">
      <w:pPr>
        <w:spacing w:after="0" w:line="360" w:lineRule="auto"/>
        <w:jc w:val="both"/>
        <w:rPr>
          <w:rFonts w:ascii="Verdana" w:hAnsi="Verdana"/>
          <w:sz w:val="24"/>
          <w:szCs w:val="24"/>
        </w:rPr>
      </w:pPr>
    </w:p>
    <w:p w:rsidRPr="002E7CA9" w:rsidR="002E7CA9" w:rsidP="005358E1" w:rsidRDefault="4804695D" w14:paraId="718819AF" w14:textId="77777777">
      <w:pPr>
        <w:spacing w:after="0" w:line="360" w:lineRule="auto"/>
        <w:jc w:val="both"/>
        <w:rPr>
          <w:rFonts w:ascii="Verdana" w:hAnsi="Verdana"/>
          <w:sz w:val="24"/>
          <w:szCs w:val="24"/>
        </w:rPr>
      </w:pPr>
      <w:r w:rsidRPr="180099B3">
        <w:rPr>
          <w:rFonts w:ascii="Verdana" w:hAnsi="Verdana"/>
          <w:sz w:val="24"/>
          <w:szCs w:val="24"/>
        </w:rPr>
        <w:t>Desde la perspectiva técnica, la consolidación de la MES responde a los lineamientos del Marco de Aseguramiento de la Calidad Estadística del DANE, específicamente en los principios de coordinación y cooperación (Principio 9) y de reducción de la carga de respuesta (Principio 8). La articulación interinstitucional permite optimizar recursos, evitar duplicidades en la producción de datos y armonizar conceptos, clasificaciones y metodologías entre las entidades del sector. Adicionalmente, esta gobernanza colaborativa facilita la alineación con el Plan Estadístico Nacional (PEN) 2022-2026 y con los Objetivos de Desarrollo Sostenible (ODS) en sus metas 9.1 (infraestructura sostenible), 12.2 (gestión sostenible de recursos naturales) y 17.18 (disponibilidad de datos de calidad).</w:t>
      </w:r>
    </w:p>
    <w:p w:rsidR="180099B3" w:rsidP="005358E1" w:rsidRDefault="180099B3" w14:paraId="0D4E3AA0" w14:textId="77777777">
      <w:pPr>
        <w:spacing w:after="0" w:line="360" w:lineRule="auto"/>
        <w:jc w:val="both"/>
        <w:rPr>
          <w:rFonts w:ascii="Verdana" w:hAnsi="Verdana"/>
          <w:sz w:val="24"/>
          <w:szCs w:val="24"/>
        </w:rPr>
      </w:pPr>
    </w:p>
    <w:p w:rsidRPr="002E7CA9" w:rsidR="002E7CA9" w:rsidP="005358E1" w:rsidRDefault="4804695D" w14:paraId="0D2BBCE8" w14:textId="77777777">
      <w:pPr>
        <w:spacing w:after="0" w:line="360" w:lineRule="auto"/>
        <w:jc w:val="both"/>
        <w:rPr>
          <w:rFonts w:ascii="Verdana" w:hAnsi="Verdana"/>
          <w:sz w:val="24"/>
          <w:szCs w:val="24"/>
        </w:rPr>
      </w:pPr>
      <w:r w:rsidRPr="180099B3">
        <w:rPr>
          <w:rFonts w:ascii="Verdana" w:hAnsi="Verdana"/>
          <w:sz w:val="24"/>
          <w:szCs w:val="24"/>
        </w:rPr>
        <w:t xml:space="preserve">A partir del trabajo desarrollado, se identificó que las principales brechas de información no se relacionan con la inexistencia de datos, sino con limitaciones estructurales en la interoperabilidad, la ausencia de acuerdos </w:t>
      </w:r>
      <w:r w:rsidRPr="180099B3">
        <w:rPr>
          <w:rFonts w:ascii="Verdana" w:hAnsi="Verdana"/>
          <w:sz w:val="24"/>
          <w:szCs w:val="24"/>
        </w:rPr>
        <w:t>formales de intercambio y debilidades en los canales de comunicación entre las entidades.</w:t>
      </w:r>
    </w:p>
    <w:p w:rsidR="180099B3" w:rsidP="005358E1" w:rsidRDefault="180099B3" w14:paraId="61FACD45" w14:textId="77777777">
      <w:pPr>
        <w:spacing w:after="0" w:line="360" w:lineRule="auto"/>
        <w:jc w:val="both"/>
        <w:rPr>
          <w:rFonts w:ascii="Verdana" w:hAnsi="Verdana"/>
          <w:sz w:val="24"/>
          <w:szCs w:val="24"/>
        </w:rPr>
      </w:pPr>
    </w:p>
    <w:p w:rsidRPr="002E7CA9" w:rsidR="002E7CA9" w:rsidP="005358E1" w:rsidRDefault="4804695D" w14:paraId="6DA1CAB9" w14:textId="77777777">
      <w:pPr>
        <w:spacing w:after="0" w:line="360" w:lineRule="auto"/>
        <w:jc w:val="both"/>
        <w:rPr>
          <w:rFonts w:ascii="Verdana" w:hAnsi="Verdana"/>
          <w:sz w:val="24"/>
          <w:szCs w:val="24"/>
        </w:rPr>
      </w:pPr>
      <w:r w:rsidRPr="180099B3">
        <w:rPr>
          <w:rFonts w:ascii="Verdana" w:hAnsi="Verdana"/>
          <w:sz w:val="24"/>
          <w:szCs w:val="24"/>
        </w:rPr>
        <w:t>En este proceso se formalizó la Secretaría Técnica conjunta entre el Ministerio de Minas y Energía y la UPME, se desarrollaron talleres sobre ecosistema de datos y la socialización de los lineamientos en la identificación y caracterización de la producción de información estadística del Sector. Adicionalmente, se llevaron a cabo sesiones bilaterales lideradas por el MME y la UPME para identificación de registros administrativos con potencial estadístico.</w:t>
      </w:r>
    </w:p>
    <w:p w:rsidR="180099B3" w:rsidP="005358E1" w:rsidRDefault="180099B3" w14:paraId="72EB024E" w14:textId="77777777">
      <w:pPr>
        <w:spacing w:after="0" w:line="360" w:lineRule="auto"/>
        <w:jc w:val="both"/>
        <w:rPr>
          <w:rFonts w:ascii="Verdana" w:hAnsi="Verdana"/>
          <w:sz w:val="24"/>
          <w:szCs w:val="24"/>
        </w:rPr>
      </w:pPr>
    </w:p>
    <w:p w:rsidRPr="002E7CA9" w:rsidR="002E7CA9" w:rsidP="005358E1" w:rsidRDefault="32BA78C0" w14:paraId="3CC46824" w14:textId="77777777">
      <w:pPr>
        <w:spacing w:after="0" w:line="360" w:lineRule="auto"/>
        <w:jc w:val="both"/>
        <w:rPr>
          <w:rFonts w:ascii="Verdana" w:hAnsi="Verdana"/>
          <w:sz w:val="24"/>
          <w:szCs w:val="24"/>
        </w:rPr>
      </w:pPr>
      <w:r w:rsidRPr="11835F2D">
        <w:rPr>
          <w:rFonts w:ascii="Verdana" w:hAnsi="Verdana"/>
          <w:sz w:val="24"/>
          <w:szCs w:val="24"/>
        </w:rPr>
        <w:t xml:space="preserve">Desde un enfoque metodológico, la identificación de registros administrativos con potencial estadístico se realizó aplicando los criterios del Manual de Registros Administrativos con Fines Estadísticos de CEPAL y el DANE. Estos criterios incluyen: i) cobertura (representatividad del universo sectorial), ii) oportunidad (frecuencia y rezago de actualización), iii) consistencia (validación cruzada con otras fuentes) y iv) disponibilidad de metadatos. Como resultado, se identificaron en total 31 registros administrativos. </w:t>
      </w:r>
    </w:p>
    <w:p w:rsidRPr="002E7CA9" w:rsidR="002E7CA9" w:rsidP="005358E1" w:rsidRDefault="4804695D" w14:paraId="55DC0604" w14:textId="77777777">
      <w:pPr>
        <w:spacing w:after="0" w:line="360" w:lineRule="auto"/>
        <w:jc w:val="both"/>
        <w:rPr>
          <w:rFonts w:ascii="Verdana" w:hAnsi="Verdana"/>
          <w:sz w:val="24"/>
          <w:szCs w:val="24"/>
        </w:rPr>
      </w:pPr>
      <w:r w:rsidRPr="180099B3">
        <w:rPr>
          <w:rFonts w:ascii="Verdana" w:hAnsi="Verdana"/>
          <w:sz w:val="24"/>
          <w:szCs w:val="24"/>
        </w:rPr>
        <w:t>Para el periodo de junio de 2025 y junio de 2026 se llevaron a cabo 4 sesiones de la Mesa Estadística Sectorial, abordando los avances en la formulación del Plan Estadístico Sectorial, Gestión de Necesidades de Información y Acuerdos de Intercambio de Información entre las entidades del sector.</w:t>
      </w:r>
    </w:p>
    <w:p w:rsidR="180099B3" w:rsidP="005358E1" w:rsidRDefault="180099B3" w14:paraId="74DFB898" w14:textId="77777777">
      <w:pPr>
        <w:spacing w:after="0" w:line="360" w:lineRule="auto"/>
        <w:jc w:val="both"/>
        <w:rPr>
          <w:rFonts w:ascii="Verdana" w:hAnsi="Verdana"/>
          <w:sz w:val="24"/>
          <w:szCs w:val="24"/>
        </w:rPr>
      </w:pPr>
    </w:p>
    <w:p w:rsidRPr="002E7CA9" w:rsidR="002E7CA9" w:rsidP="005358E1" w:rsidRDefault="32BA78C0" w14:paraId="45B983B3" w14:textId="77777777">
      <w:pPr>
        <w:spacing w:after="0" w:line="360" w:lineRule="auto"/>
        <w:jc w:val="both"/>
        <w:rPr>
          <w:rFonts w:ascii="Verdana" w:hAnsi="Verdana" w:cs="Arial"/>
          <w:b/>
          <w:bCs/>
          <w:sz w:val="24"/>
          <w:szCs w:val="24"/>
        </w:rPr>
      </w:pPr>
      <w:r w:rsidRPr="11835F2D">
        <w:rPr>
          <w:rFonts w:ascii="Verdana" w:hAnsi="Verdana"/>
          <w:sz w:val="24"/>
          <w:szCs w:val="24"/>
        </w:rPr>
        <w:t xml:space="preserve">La periodicidad y agenda de estas sesiones siguen la metodología de gestión de mesas estadísticas definida por el DANE mediante la Resolución 155 de 2019. Cada sesión incorporó: a) revisión de compromisos y trazabilidad de acuerdos previos, b) presentación de avances técnicos por parte de Secretaría Técnica, c) identificación de riesgos en los flujos de </w:t>
      </w:r>
      <w:r w:rsidRPr="11835F2D">
        <w:rPr>
          <w:rFonts w:ascii="Verdana" w:hAnsi="Verdana"/>
          <w:sz w:val="24"/>
          <w:szCs w:val="24"/>
        </w:rPr>
        <w:t>información y d) validación de entregables parciales del PES. Se implementó una bitácora de acuerdos con asignación de responsables y fechas de cumplimiento, cuyo seguimiento alcanzó un 89% de ejecución al cierre del periodo.</w:t>
      </w:r>
    </w:p>
    <w:p w:rsidRPr="002E7CA9" w:rsidR="002E7CA9" w:rsidP="005358E1" w:rsidRDefault="002E7CA9" w14:paraId="78FE33D4" w14:textId="77777777">
      <w:pPr>
        <w:spacing w:after="0" w:line="360" w:lineRule="auto"/>
        <w:jc w:val="both"/>
        <w:rPr>
          <w:rFonts w:ascii="Verdana" w:hAnsi="Verdana" w:cs="Arial"/>
          <w:b/>
          <w:bCs/>
          <w:sz w:val="24"/>
          <w:szCs w:val="24"/>
        </w:rPr>
      </w:pPr>
    </w:p>
    <w:p w:rsidRPr="002E7CA9" w:rsidR="002E7CA9" w:rsidP="005358E1" w:rsidRDefault="296F1E7D" w14:paraId="4B1748FF" w14:textId="77777777">
      <w:pPr>
        <w:spacing w:after="0" w:line="360" w:lineRule="auto"/>
        <w:jc w:val="both"/>
        <w:rPr>
          <w:rFonts w:ascii="Verdana" w:hAnsi="Verdana" w:cs="Arial"/>
          <w:b/>
          <w:bCs/>
          <w:sz w:val="24"/>
          <w:szCs w:val="24"/>
        </w:rPr>
      </w:pPr>
      <w:r w:rsidRPr="180099B3">
        <w:rPr>
          <w:rFonts w:ascii="Verdana" w:hAnsi="Verdana" w:cs="Arial"/>
          <w:b/>
          <w:bCs/>
          <w:sz w:val="24"/>
          <w:szCs w:val="24"/>
        </w:rPr>
        <w:t xml:space="preserve">9.3.2. </w:t>
      </w:r>
      <w:r w:rsidRPr="180099B3" w:rsidR="4804695D">
        <w:rPr>
          <w:rFonts w:ascii="Verdana" w:hAnsi="Verdana" w:cs="Arial"/>
          <w:b/>
          <w:bCs/>
          <w:sz w:val="24"/>
          <w:szCs w:val="24"/>
        </w:rPr>
        <w:t>Avances en la consolidación del Plan Estadístico Sectorial (PES)</w:t>
      </w:r>
    </w:p>
    <w:p w:rsidR="180099B3" w:rsidP="005358E1" w:rsidRDefault="180099B3" w14:paraId="57583793" w14:textId="77777777">
      <w:pPr>
        <w:spacing w:after="0" w:line="360" w:lineRule="auto"/>
        <w:jc w:val="both"/>
        <w:rPr>
          <w:rFonts w:ascii="Verdana" w:hAnsi="Verdana"/>
          <w:sz w:val="24"/>
          <w:szCs w:val="24"/>
        </w:rPr>
      </w:pPr>
    </w:p>
    <w:p w:rsidRPr="002E7CA9" w:rsidR="002E7CA9" w:rsidP="005358E1" w:rsidRDefault="4804695D" w14:paraId="6E58F38B" w14:textId="77777777">
      <w:pPr>
        <w:spacing w:after="0" w:line="360" w:lineRule="auto"/>
        <w:jc w:val="both"/>
        <w:rPr>
          <w:rFonts w:ascii="Verdana" w:hAnsi="Verdana"/>
          <w:sz w:val="24"/>
          <w:szCs w:val="24"/>
        </w:rPr>
      </w:pPr>
      <w:r w:rsidRPr="180099B3">
        <w:rPr>
          <w:rFonts w:ascii="Verdana" w:hAnsi="Verdana"/>
          <w:sz w:val="24"/>
          <w:szCs w:val="24"/>
        </w:rPr>
        <w:t>Uno de los principales resultados del cuatrienio ha sido el avance en la formulación del Plan Estadístico Sectorial (PES), como instrumento estratégico para la planificación y fortalecimiento de la información estadística del sector.</w:t>
      </w:r>
    </w:p>
    <w:p w:rsidR="180099B3" w:rsidP="005358E1" w:rsidRDefault="180099B3" w14:paraId="6583FFF9" w14:textId="77777777">
      <w:pPr>
        <w:spacing w:after="0" w:line="360" w:lineRule="auto"/>
        <w:jc w:val="both"/>
        <w:rPr>
          <w:rFonts w:ascii="Verdana" w:hAnsi="Verdana"/>
          <w:sz w:val="24"/>
          <w:szCs w:val="24"/>
        </w:rPr>
      </w:pPr>
    </w:p>
    <w:p w:rsidRPr="002E7CA9" w:rsidR="002E7CA9" w:rsidP="005358E1" w:rsidRDefault="4804695D" w14:paraId="13FFE3A1" w14:textId="77777777">
      <w:pPr>
        <w:spacing w:after="0" w:line="360" w:lineRule="auto"/>
        <w:jc w:val="both"/>
        <w:rPr>
          <w:rFonts w:ascii="Verdana" w:hAnsi="Verdana"/>
          <w:sz w:val="24"/>
          <w:szCs w:val="24"/>
        </w:rPr>
      </w:pPr>
      <w:r w:rsidRPr="180099B3">
        <w:rPr>
          <w:rFonts w:ascii="Verdana" w:hAnsi="Verdana"/>
          <w:sz w:val="24"/>
          <w:szCs w:val="24"/>
        </w:rPr>
        <w:t>Metodológicamente, el PES 2026-2031 se estructura sobre la base del Modelo Integrado de Planeación y Gestión (MIPG) y de los lineamientos del DANE para la construcción de Planes Estadísticos. Su horizonte de 5 años responde a la periodicidad de la planificación sectorial y a los ciclos de actualización del marco muestral maestro del DANE. El PES articula tres niveles de planeación: i) estratégico (alineación con políticas públicas y ODS), ii) táctico (definición de proyectos de fortalecimiento estadístico) y iii) operativo (cronogramas detallados de producción y difusión de información).</w:t>
      </w:r>
    </w:p>
    <w:p w:rsidR="180099B3" w:rsidP="005358E1" w:rsidRDefault="180099B3" w14:paraId="5ACC47BE" w14:textId="77777777">
      <w:pPr>
        <w:spacing w:after="0" w:line="360" w:lineRule="auto"/>
        <w:jc w:val="both"/>
        <w:rPr>
          <w:rFonts w:ascii="Verdana" w:hAnsi="Verdana"/>
          <w:sz w:val="24"/>
          <w:szCs w:val="24"/>
        </w:rPr>
      </w:pPr>
    </w:p>
    <w:p w:rsidRPr="002E7CA9" w:rsidR="002E7CA9" w:rsidP="005358E1" w:rsidRDefault="4804695D" w14:paraId="69E91CF6" w14:textId="77777777">
      <w:pPr>
        <w:spacing w:after="0" w:line="360" w:lineRule="auto"/>
        <w:jc w:val="both"/>
        <w:rPr>
          <w:rFonts w:ascii="Verdana" w:hAnsi="Verdana"/>
          <w:sz w:val="24"/>
          <w:szCs w:val="24"/>
        </w:rPr>
      </w:pPr>
      <w:r w:rsidRPr="180099B3">
        <w:rPr>
          <w:rFonts w:ascii="Verdana" w:hAnsi="Verdana"/>
          <w:sz w:val="24"/>
          <w:szCs w:val="24"/>
        </w:rPr>
        <w:t xml:space="preserve">Se identificó el estado actual de la producción de información del sector en tres categorías: operaciones estadísticas, registros administrativos e indicadores estratégicos. Así mismo, el establecimiento y caracterización de las necesidades de información de los diferentes usuarios, contemplando desde el alto gobierno, la ciudadanía, entes de control, entidades territoriales y entidades del orden nacional. </w:t>
      </w:r>
    </w:p>
    <w:p w:rsidR="180099B3" w:rsidP="005358E1" w:rsidRDefault="180099B3" w14:paraId="2F08FA83" w14:textId="77777777">
      <w:pPr>
        <w:spacing w:after="0" w:line="360" w:lineRule="auto"/>
        <w:jc w:val="both"/>
        <w:rPr>
          <w:rFonts w:ascii="Verdana" w:hAnsi="Verdana"/>
          <w:sz w:val="24"/>
          <w:szCs w:val="24"/>
        </w:rPr>
      </w:pPr>
    </w:p>
    <w:p w:rsidRPr="002E7CA9" w:rsidR="002E7CA9" w:rsidP="005358E1" w:rsidRDefault="32BA78C0" w14:paraId="067F31B6" w14:textId="77777777">
      <w:pPr>
        <w:spacing w:after="0" w:line="360" w:lineRule="auto"/>
        <w:jc w:val="both"/>
        <w:rPr>
          <w:rFonts w:ascii="Verdana" w:hAnsi="Verdana"/>
          <w:sz w:val="24"/>
          <w:szCs w:val="24"/>
        </w:rPr>
      </w:pPr>
      <w:r w:rsidRPr="11835F2D">
        <w:rPr>
          <w:rFonts w:ascii="Verdana" w:hAnsi="Verdana"/>
          <w:sz w:val="24"/>
          <w:szCs w:val="24"/>
        </w:rPr>
        <w:t xml:space="preserve">La caracterización de usuarios se realizó aplicando la metodología de mapeo de actores del DANE, mediante un taller para maximizar la participación y el conocimiento experto de los asistentes, transformando un ejercicio de recolección de información en un proceso dinámico de construcción de conocimiento colectivo. El objetivo principal, consistió en identificar a los actores clave del ecosistema de datos, definir sus roles (productores, usuarios o un doble rol), caracterizar sus intereses e influencia, y mapear sus contribuciones potenciales a la cultura estadística del sector en el marco de la formulación del PES. La metodología se estructuró para garantizar que los resultados —un directorio validado de actores y una comprensión visual del ecosistema— fueran producto de un consenso robusto y representativo de las entidades participantes. </w:t>
      </w:r>
    </w:p>
    <w:p w:rsidRPr="002E7CA9" w:rsidR="002E7CA9" w:rsidP="005358E1" w:rsidRDefault="4804695D" w14:paraId="58A2B67B" w14:textId="77777777">
      <w:pPr>
        <w:spacing w:after="0" w:line="360" w:lineRule="auto"/>
        <w:jc w:val="both"/>
        <w:rPr>
          <w:rFonts w:ascii="Verdana" w:hAnsi="Verdana"/>
          <w:sz w:val="24"/>
          <w:szCs w:val="24"/>
        </w:rPr>
      </w:pPr>
      <w:r w:rsidRPr="180099B3">
        <w:rPr>
          <w:rFonts w:ascii="Verdana" w:hAnsi="Verdana"/>
          <w:sz w:val="24"/>
          <w:szCs w:val="24"/>
        </w:rPr>
        <w:t xml:space="preserve">A partir de los inventarios consolidados y ejercicio de cruce de oferta y demanda de información estadística se mostró que la satisfacción de las necesidades de información es alta; por lo tanto, la insatisfacción es baja. De esta manera, la principal conclusión del ejercicio plantea que se hace necesario fortalecer los procesos de difusión y disposición de la información que produce el Ministerio y las entidades del sector. </w:t>
      </w:r>
    </w:p>
    <w:p w:rsidR="180099B3" w:rsidP="005358E1" w:rsidRDefault="180099B3" w14:paraId="753F82B1" w14:textId="77777777">
      <w:pPr>
        <w:spacing w:after="0" w:line="360" w:lineRule="auto"/>
        <w:jc w:val="both"/>
        <w:rPr>
          <w:rFonts w:ascii="Verdana" w:hAnsi="Verdana"/>
          <w:sz w:val="24"/>
          <w:szCs w:val="24"/>
        </w:rPr>
      </w:pPr>
    </w:p>
    <w:p w:rsidRPr="002E7CA9" w:rsidR="002E7CA9" w:rsidP="005358E1" w:rsidRDefault="32BA78C0" w14:paraId="2085C3BA" w14:textId="77777777">
      <w:pPr>
        <w:spacing w:after="0" w:line="360" w:lineRule="auto"/>
        <w:jc w:val="both"/>
      </w:pPr>
      <w:r w:rsidRPr="11835F2D">
        <w:rPr>
          <w:rFonts w:ascii="Verdana" w:hAnsi="Verdana"/>
          <w:sz w:val="24"/>
          <w:szCs w:val="24"/>
        </w:rPr>
        <w:t xml:space="preserve">Por último, se logró establecer la hoja de ruta del Plan Estadístico Sectorial a través de cuatro objetivos específicos que buscan fortalecer las capacidades estadísticas institucionales y sectoriales mediante la articulación interinstitucional, la gobernanza del dato, la calidad de los procesos estadísticos, entre otros. </w:t>
      </w:r>
    </w:p>
    <w:p w:rsidR="5BBE4056" w:rsidP="5BBE4056" w:rsidRDefault="5BBE4056" w14:paraId="7D7C48A5" w14:textId="6391A3FB">
      <w:pPr>
        <w:spacing w:after="0" w:line="360" w:lineRule="auto"/>
        <w:jc w:val="both"/>
        <w:rPr>
          <w:rFonts w:ascii="Verdana" w:hAnsi="Verdana"/>
          <w:sz w:val="24"/>
          <w:szCs w:val="24"/>
        </w:rPr>
      </w:pPr>
    </w:p>
    <w:p w:rsidRPr="00FC4C00" w:rsidR="002E7CA9" w:rsidP="005358E1" w:rsidRDefault="002E7CA9" w14:paraId="46B28120" w14:textId="77777777">
      <w:pPr>
        <w:spacing w:after="0" w:line="360" w:lineRule="auto"/>
        <w:jc w:val="both"/>
      </w:pPr>
    </w:p>
    <w:p w:rsidRPr="002E7CA9" w:rsidR="002E7CA9" w:rsidP="005358E1" w:rsidRDefault="4E7E3191" w14:paraId="49107833" w14:textId="77777777">
      <w:pPr>
        <w:spacing w:after="0" w:line="360" w:lineRule="auto"/>
        <w:jc w:val="both"/>
        <w:rPr>
          <w:rFonts w:ascii="Verdana" w:hAnsi="Verdana" w:cs="Arial"/>
          <w:b/>
          <w:bCs/>
          <w:sz w:val="24"/>
          <w:szCs w:val="24"/>
        </w:rPr>
      </w:pPr>
      <w:r w:rsidRPr="180099B3">
        <w:rPr>
          <w:rFonts w:ascii="Verdana" w:hAnsi="Verdana" w:cs="Arial"/>
          <w:b/>
          <w:bCs/>
          <w:sz w:val="24"/>
          <w:szCs w:val="24"/>
        </w:rPr>
        <w:t xml:space="preserve">Gestión Estadística de las Necesidades de Información </w:t>
      </w:r>
    </w:p>
    <w:p w:rsidR="180099B3" w:rsidP="005358E1" w:rsidRDefault="180099B3" w14:paraId="17E0129F" w14:textId="77777777">
      <w:pPr>
        <w:spacing w:after="0" w:line="360" w:lineRule="auto"/>
        <w:jc w:val="both"/>
        <w:rPr>
          <w:rFonts w:ascii="Verdana" w:hAnsi="Verdana"/>
          <w:sz w:val="24"/>
          <w:szCs w:val="24"/>
        </w:rPr>
      </w:pPr>
    </w:p>
    <w:p w:rsidRPr="002E7CA9" w:rsidR="002E7CA9" w:rsidP="005358E1" w:rsidRDefault="4804695D" w14:paraId="0A372C4A" w14:textId="77777777">
      <w:pPr>
        <w:spacing w:after="0" w:line="360" w:lineRule="auto"/>
        <w:jc w:val="both"/>
        <w:rPr>
          <w:rFonts w:ascii="Verdana" w:hAnsi="Verdana"/>
          <w:sz w:val="24"/>
          <w:szCs w:val="24"/>
        </w:rPr>
      </w:pPr>
      <w:r w:rsidRPr="180099B3">
        <w:rPr>
          <w:rFonts w:ascii="Verdana" w:hAnsi="Verdana"/>
          <w:sz w:val="24"/>
          <w:szCs w:val="24"/>
        </w:rPr>
        <w:t xml:space="preserve">En el marco del liderazgo de la Secretaría Técnica de la Mesa Estadística Sectorial Minero Energética se han gestionado alrededor de 60 </w:t>
      </w:r>
      <w:r w:rsidRPr="180099B3">
        <w:rPr>
          <w:rFonts w:ascii="Verdana" w:hAnsi="Verdana"/>
          <w:sz w:val="24"/>
          <w:szCs w:val="24"/>
        </w:rPr>
        <w:t xml:space="preserve">necesidades de información relacionadas con los pivotes de Minería, Energía e Hidrocarburos. Así mismo, bajo el direccionamiento del DANE como ente rector del Sistema Estadístico Nacional se han gestionado 17 necesidades con otras entidades del orden nacional a través de sus respectivas secretarías técnicas de las mesas estadística. </w:t>
      </w:r>
    </w:p>
    <w:p w:rsidR="180099B3" w:rsidP="005358E1" w:rsidRDefault="180099B3" w14:paraId="01AAD426" w14:textId="77777777">
      <w:pPr>
        <w:spacing w:after="0" w:line="360" w:lineRule="auto"/>
        <w:jc w:val="both"/>
        <w:rPr>
          <w:rFonts w:ascii="Verdana" w:hAnsi="Verdana"/>
          <w:sz w:val="24"/>
          <w:szCs w:val="24"/>
        </w:rPr>
      </w:pPr>
    </w:p>
    <w:p w:rsidRPr="002E7CA9" w:rsidR="002E7CA9" w:rsidP="005358E1" w:rsidRDefault="4804695D" w14:paraId="1199714D" w14:textId="77777777">
      <w:pPr>
        <w:spacing w:after="0" w:line="360" w:lineRule="auto"/>
        <w:jc w:val="both"/>
        <w:rPr>
          <w:rFonts w:ascii="Verdana" w:hAnsi="Verdana"/>
          <w:sz w:val="24"/>
          <w:szCs w:val="24"/>
        </w:rPr>
      </w:pPr>
      <w:r w:rsidRPr="180099B3">
        <w:rPr>
          <w:rFonts w:ascii="Verdana" w:hAnsi="Verdana"/>
          <w:sz w:val="24"/>
          <w:szCs w:val="24"/>
        </w:rPr>
        <w:t>El ciclo de gestión de necesidades de información sigue el procedimiento estandarizado definido en la Guía Metodológica para la Gestión de Demandas de Información Estadística del DANE (2023). Este ciclo comprende las fases de: i) recepción y registro (con formulario único de necesidad), ii) análisis de factibilidad (evaluación técnica, legal y presupuestal), iii) clasificación de la necesidad</w:t>
      </w:r>
      <w:r w:rsidRPr="180099B3" w:rsidR="60A64A33">
        <w:rPr>
          <w:rFonts w:ascii="Verdana" w:hAnsi="Verdana"/>
          <w:sz w:val="24"/>
          <w:szCs w:val="24"/>
        </w:rPr>
        <w:t xml:space="preserve"> </w:t>
      </w:r>
      <w:r w:rsidRPr="180099B3">
        <w:rPr>
          <w:rFonts w:ascii="Verdana" w:hAnsi="Verdana"/>
          <w:sz w:val="24"/>
          <w:szCs w:val="24"/>
        </w:rPr>
        <w:t xml:space="preserve">(estadística, administrativa, estratégica), iv) asignación a entidad responsable según competencias misionales, v) seguimiento a la solución implementada (operación estadística, convenio de intercambio, reporte especial) y vi) cierre con retroalimentación al usuario. </w:t>
      </w:r>
    </w:p>
    <w:p w:rsidR="180099B3" w:rsidP="005358E1" w:rsidRDefault="180099B3" w14:paraId="469C52FE" w14:textId="77777777">
      <w:pPr>
        <w:spacing w:after="0" w:line="360" w:lineRule="auto"/>
        <w:jc w:val="both"/>
        <w:rPr>
          <w:rFonts w:ascii="Verdana" w:hAnsi="Verdana"/>
          <w:sz w:val="24"/>
          <w:szCs w:val="24"/>
        </w:rPr>
      </w:pPr>
    </w:p>
    <w:p w:rsidRPr="002E7CA9" w:rsidR="002E7CA9" w:rsidP="005358E1" w:rsidRDefault="4804695D" w14:paraId="7628B7B5" w14:textId="77777777">
      <w:pPr>
        <w:spacing w:after="0" w:line="360" w:lineRule="auto"/>
        <w:jc w:val="both"/>
        <w:rPr>
          <w:rFonts w:ascii="Verdana" w:hAnsi="Verdana"/>
          <w:sz w:val="24"/>
          <w:szCs w:val="24"/>
        </w:rPr>
      </w:pPr>
      <w:r w:rsidRPr="180099B3">
        <w:rPr>
          <w:rFonts w:ascii="Verdana" w:hAnsi="Verdana"/>
          <w:sz w:val="24"/>
          <w:szCs w:val="24"/>
        </w:rPr>
        <w:t xml:space="preserve">En este sentido, se logró documentar el procedimiento de planificación y gestión estadística en el marco de la Estrategia de Gestión y Gobierno de los Datos, permite identificar en el Ministerio el paso a paso necesario para satisfacer las necesidades de información de los diferentes usuarios caracterizados en el Ecosistema de Datos Sectorial. </w:t>
      </w:r>
    </w:p>
    <w:p w:rsidR="180099B3" w:rsidP="005358E1" w:rsidRDefault="180099B3" w14:paraId="131C8801" w14:textId="77777777">
      <w:pPr>
        <w:spacing w:after="0" w:line="360" w:lineRule="auto"/>
        <w:jc w:val="both"/>
        <w:rPr>
          <w:rFonts w:ascii="Verdana" w:hAnsi="Verdana"/>
          <w:sz w:val="24"/>
          <w:szCs w:val="24"/>
        </w:rPr>
      </w:pPr>
    </w:p>
    <w:p w:rsidRPr="002E7CA9" w:rsidR="002E7CA9" w:rsidP="005358E1" w:rsidRDefault="4804695D" w14:paraId="489A3B8B" w14:textId="77777777">
      <w:pPr>
        <w:spacing w:after="0" w:line="360" w:lineRule="auto"/>
        <w:jc w:val="both"/>
        <w:rPr>
          <w:rFonts w:ascii="Verdana" w:hAnsi="Verdana"/>
          <w:sz w:val="24"/>
          <w:szCs w:val="24"/>
        </w:rPr>
      </w:pPr>
      <w:r w:rsidRPr="180099B3">
        <w:rPr>
          <w:rFonts w:ascii="Verdana" w:hAnsi="Verdana"/>
          <w:sz w:val="24"/>
          <w:szCs w:val="24"/>
        </w:rPr>
        <w:t xml:space="preserve">Adicionalmente, en la gestión de las demandas de información se logró identificar 9 proyectos de intercambio de datos que requieren la definición conjunta entre el DANE, la UPME, el IDEAM y el MME. </w:t>
      </w:r>
    </w:p>
    <w:p w:rsidRPr="00017216" w:rsidR="00C04ED5" w:rsidP="005358E1" w:rsidRDefault="00C04ED5" w14:paraId="5FEB31A4" w14:textId="77777777">
      <w:pPr>
        <w:spacing w:after="0" w:line="360" w:lineRule="auto"/>
        <w:rPr>
          <w:rFonts w:ascii="Verdana" w:hAnsi="Verdana"/>
          <w:sz w:val="24"/>
          <w:szCs w:val="24"/>
          <w:highlight w:val="yellow"/>
        </w:rPr>
      </w:pPr>
    </w:p>
    <w:p w:rsidRPr="00017216" w:rsidR="00A82055" w:rsidRDefault="63FAAF4A" w14:paraId="5CDC3ADE" w14:textId="77777777">
      <w:pPr>
        <w:pStyle w:val="Prrafodelista"/>
        <w:numPr>
          <w:ilvl w:val="0"/>
          <w:numId w:val="95"/>
        </w:numPr>
        <w:spacing w:after="0" w:line="360" w:lineRule="auto"/>
        <w:outlineLvl w:val="0"/>
        <w:rPr>
          <w:rFonts w:ascii="Verdana" w:hAnsi="Verdana"/>
          <w:b/>
          <w:bCs/>
          <w:sz w:val="24"/>
          <w:szCs w:val="24"/>
        </w:rPr>
      </w:pPr>
      <w:bookmarkStart w:name="_Toc233996758" w:id="41"/>
      <w:r w:rsidRPr="11835F2D">
        <w:rPr>
          <w:rFonts w:ascii="Verdana" w:hAnsi="Verdana"/>
          <w:b/>
          <w:bCs/>
          <w:sz w:val="24"/>
          <w:szCs w:val="24"/>
        </w:rPr>
        <w:t xml:space="preserve">Nuestra </w:t>
      </w:r>
      <w:r w:rsidRPr="11835F2D" w:rsidR="44710813">
        <w:rPr>
          <w:rFonts w:ascii="Verdana" w:hAnsi="Verdana"/>
          <w:b/>
          <w:bCs/>
          <w:sz w:val="24"/>
          <w:szCs w:val="24"/>
        </w:rPr>
        <w:t>G</w:t>
      </w:r>
      <w:r w:rsidRPr="11835F2D">
        <w:rPr>
          <w:rFonts w:ascii="Verdana" w:hAnsi="Verdana"/>
          <w:b/>
          <w:bCs/>
          <w:sz w:val="24"/>
          <w:szCs w:val="24"/>
        </w:rPr>
        <w:t xml:space="preserve">estión </w:t>
      </w:r>
      <w:r w:rsidRPr="11835F2D" w:rsidR="612C3552">
        <w:rPr>
          <w:rFonts w:ascii="Verdana" w:hAnsi="Verdana"/>
          <w:b/>
          <w:bCs/>
          <w:sz w:val="24"/>
          <w:szCs w:val="24"/>
        </w:rPr>
        <w:t>D</w:t>
      </w:r>
      <w:r w:rsidRPr="11835F2D">
        <w:rPr>
          <w:rFonts w:ascii="Verdana" w:hAnsi="Verdana"/>
          <w:b/>
          <w:bCs/>
          <w:sz w:val="24"/>
          <w:szCs w:val="24"/>
        </w:rPr>
        <w:t>ocumental</w:t>
      </w:r>
      <w:bookmarkEnd w:id="41"/>
    </w:p>
    <w:p w:rsidR="11835F2D" w:rsidP="005358E1" w:rsidRDefault="11835F2D" w14:paraId="07CB2BC5" w14:textId="77777777">
      <w:pPr>
        <w:spacing w:after="0" w:line="360" w:lineRule="auto"/>
        <w:rPr>
          <w:rFonts w:ascii="Verdana" w:hAnsi="Verdana"/>
          <w:sz w:val="24"/>
          <w:szCs w:val="24"/>
        </w:rPr>
      </w:pPr>
    </w:p>
    <w:p w:rsidR="7C368924" w:rsidP="005358E1" w:rsidRDefault="59EDC940" w14:paraId="185AE53B" w14:textId="77777777">
      <w:pPr>
        <w:spacing w:after="0" w:line="360" w:lineRule="auto"/>
        <w:jc w:val="both"/>
      </w:pPr>
      <w:r w:rsidRPr="180099B3">
        <w:rPr>
          <w:rFonts w:ascii="Verdana" w:hAnsi="Verdana" w:eastAsia="Verdana" w:cs="Verdana"/>
          <w:sz w:val="24"/>
          <w:szCs w:val="24"/>
        </w:rPr>
        <w:t xml:space="preserve">La gestión documental del Ministerio de Minas y Energía se enmarca como un proceso transversal, cuyo objetivo ha sido el de gestionar la documentación producida y recibida por la entidad, mediante actividades administrativas, técnicas y tecnológicas que permitan que la información registrada, sea recuperable para el uso de la entidad, el sector, el servicio al ciudadano y como fuente para la historia, de manera permanente, eficaz y eficiente. </w:t>
      </w:r>
    </w:p>
    <w:p w:rsidR="180099B3" w:rsidP="005358E1" w:rsidRDefault="180099B3" w14:paraId="7218D8E7" w14:textId="77777777">
      <w:pPr>
        <w:spacing w:after="0" w:line="360" w:lineRule="auto"/>
        <w:jc w:val="both"/>
        <w:rPr>
          <w:rFonts w:ascii="Verdana" w:hAnsi="Verdana" w:eastAsia="Verdana" w:cs="Verdana"/>
          <w:sz w:val="24"/>
          <w:szCs w:val="24"/>
        </w:rPr>
      </w:pPr>
    </w:p>
    <w:p w:rsidR="7C368924" w:rsidP="005358E1" w:rsidRDefault="59EDC940" w14:paraId="3E461945" w14:textId="77777777">
      <w:pPr>
        <w:spacing w:after="0" w:line="360" w:lineRule="auto"/>
        <w:jc w:val="both"/>
      </w:pPr>
      <w:r w:rsidRPr="180099B3">
        <w:rPr>
          <w:rFonts w:ascii="Verdana" w:hAnsi="Verdana" w:eastAsia="Verdana" w:cs="Verdana"/>
          <w:sz w:val="24"/>
          <w:szCs w:val="24"/>
        </w:rPr>
        <w:t xml:space="preserve">En este sentido, dando cumplimiento a la normatividad archivística vigente, la entidad ha venido organizando permanentemente los archivos de gestión en cada una de las dependencias, aplicando las respectivas Tablas de Retención Documental TRD, vigentes y convalidadas por el Archivo General de la Nación, además de administrar el archivo central, donde se reciben, custodian e intervienen la totalidad de documentos recibidos a través de transferencias documentales primarias, desde los archivos de gestión del Ministerio, así como, transferencias recibidas de fondos documentales de entidades liquidadas del sector minero energético.  </w:t>
      </w:r>
    </w:p>
    <w:p w:rsidR="180099B3" w:rsidP="005358E1" w:rsidRDefault="180099B3" w14:paraId="22442F94" w14:textId="77777777">
      <w:pPr>
        <w:spacing w:after="0" w:line="360" w:lineRule="auto"/>
        <w:jc w:val="both"/>
        <w:rPr>
          <w:rFonts w:ascii="Verdana" w:hAnsi="Verdana" w:eastAsia="Verdana" w:cs="Verdana"/>
          <w:sz w:val="24"/>
          <w:szCs w:val="24"/>
        </w:rPr>
      </w:pPr>
    </w:p>
    <w:p w:rsidR="7C368924" w:rsidP="005358E1" w:rsidRDefault="7C368924" w14:paraId="2CE20D7E" w14:textId="77777777">
      <w:pPr>
        <w:spacing w:after="0" w:line="360" w:lineRule="auto"/>
        <w:jc w:val="both"/>
      </w:pPr>
      <w:r w:rsidRPr="11835F2D">
        <w:rPr>
          <w:rFonts w:ascii="Verdana" w:hAnsi="Verdana" w:eastAsia="Verdana" w:cs="Verdana"/>
          <w:sz w:val="24"/>
          <w:szCs w:val="24"/>
        </w:rPr>
        <w:t xml:space="preserve">Con este breve contexto, es importante mencionar que, la gestión documental ha sentado sus bases durante el cuatrienio, a través de dos proyectos de inversión, de los cuales ha sido posible la ejecución de diferentes actividades en cumplimiento de la normatividad archivística vigente:  </w:t>
      </w:r>
    </w:p>
    <w:p w:rsidR="5BBE4056" w:rsidP="5BBE4056" w:rsidRDefault="5BBE4056" w14:paraId="7A303E29" w14:textId="7A8B249C">
      <w:pPr>
        <w:spacing w:after="0" w:line="360" w:lineRule="auto"/>
        <w:jc w:val="both"/>
        <w:rPr>
          <w:rFonts w:ascii="Verdana" w:hAnsi="Verdana" w:eastAsia="Verdana" w:cs="Verdana"/>
          <w:sz w:val="24"/>
          <w:szCs w:val="24"/>
        </w:rPr>
      </w:pPr>
    </w:p>
    <w:p w:rsidR="7C368924" w:rsidRDefault="7C368924" w14:paraId="772C749C" w14:textId="77777777">
      <w:pPr>
        <w:pStyle w:val="Prrafodelista"/>
        <w:numPr>
          <w:ilvl w:val="0"/>
          <w:numId w:val="41"/>
        </w:numPr>
        <w:spacing w:after="0" w:line="360" w:lineRule="auto"/>
        <w:ind w:left="1080"/>
        <w:jc w:val="both"/>
        <w:rPr>
          <w:rFonts w:ascii="Verdana" w:hAnsi="Verdana" w:eastAsia="Verdana" w:cs="Verdana"/>
          <w:sz w:val="24"/>
          <w:szCs w:val="24"/>
        </w:rPr>
      </w:pPr>
      <w:r w:rsidRPr="11835F2D">
        <w:rPr>
          <w:rFonts w:ascii="Verdana" w:hAnsi="Verdana" w:eastAsia="Verdana" w:cs="Verdana"/>
          <w:sz w:val="24"/>
          <w:szCs w:val="24"/>
        </w:rPr>
        <w:t xml:space="preserve">Proyecto de Inversión BPIN 2019011000154. Implementación modelo de gestión de documentos electrónicos de archivo – MGDEA </w:t>
      </w:r>
    </w:p>
    <w:p w:rsidR="7C368924" w:rsidRDefault="59EDC940" w14:paraId="7F827CB4" w14:textId="77777777">
      <w:pPr>
        <w:pStyle w:val="Prrafodelista"/>
        <w:numPr>
          <w:ilvl w:val="0"/>
          <w:numId w:val="40"/>
        </w:numPr>
        <w:spacing w:after="0" w:line="360" w:lineRule="auto"/>
        <w:ind w:left="1080"/>
        <w:jc w:val="both"/>
        <w:rPr>
          <w:rFonts w:ascii="Verdana" w:hAnsi="Verdana" w:eastAsia="Verdana" w:cs="Verdana"/>
          <w:sz w:val="24"/>
          <w:szCs w:val="24"/>
        </w:rPr>
      </w:pPr>
      <w:r w:rsidRPr="180099B3">
        <w:rPr>
          <w:rFonts w:ascii="Verdana" w:hAnsi="Verdana" w:eastAsia="Verdana" w:cs="Verdana"/>
          <w:sz w:val="24"/>
          <w:szCs w:val="24"/>
        </w:rPr>
        <w:t xml:space="preserve">Proyecto de Inversión BPIN 2022011000079. Mejoramiento en la disponibilidad y aprovechamiento de la información del archivo </w:t>
      </w:r>
      <w:r w:rsidRPr="180099B3">
        <w:rPr>
          <w:rFonts w:ascii="Verdana" w:hAnsi="Verdana" w:eastAsia="Verdana" w:cs="Verdana"/>
          <w:sz w:val="24"/>
          <w:szCs w:val="24"/>
        </w:rPr>
        <w:t xml:space="preserve">central por parte de la ciudadanía y usuarios internos del Ministerio </w:t>
      </w:r>
    </w:p>
    <w:p w:rsidR="180099B3" w:rsidP="005358E1" w:rsidRDefault="180099B3" w14:paraId="4BF7054B" w14:textId="77777777">
      <w:pPr>
        <w:spacing w:after="0" w:line="360" w:lineRule="auto"/>
        <w:jc w:val="both"/>
        <w:rPr>
          <w:rFonts w:ascii="Verdana" w:hAnsi="Verdana" w:eastAsia="Verdana" w:cs="Verdana"/>
          <w:sz w:val="24"/>
          <w:szCs w:val="24"/>
        </w:rPr>
      </w:pPr>
    </w:p>
    <w:p w:rsidR="7C368924" w:rsidP="005358E1" w:rsidRDefault="7C368924" w14:paraId="5E92EA7B" w14:textId="77777777">
      <w:pPr>
        <w:spacing w:after="0" w:line="360" w:lineRule="auto"/>
        <w:jc w:val="both"/>
      </w:pPr>
      <w:r w:rsidRPr="11835F2D">
        <w:rPr>
          <w:rFonts w:ascii="Verdana" w:hAnsi="Verdana" w:eastAsia="Verdana" w:cs="Verdana"/>
          <w:sz w:val="24"/>
          <w:szCs w:val="24"/>
        </w:rPr>
        <w:t xml:space="preserve">El proyecto </w:t>
      </w:r>
      <w:r w:rsidRPr="11835F2D">
        <w:rPr>
          <w:rFonts w:ascii="Verdana" w:hAnsi="Verdana" w:eastAsia="Verdana" w:cs="Verdana"/>
          <w:i/>
          <w:iCs/>
          <w:sz w:val="24"/>
          <w:szCs w:val="24"/>
        </w:rPr>
        <w:t>“Implementación del Modelo de Gestión de Documentos Electrónicos de Archivo (MGDEA)”,</w:t>
      </w:r>
      <w:r w:rsidRPr="11835F2D">
        <w:rPr>
          <w:rFonts w:ascii="Verdana" w:hAnsi="Verdana" w:eastAsia="Verdana" w:cs="Verdana"/>
          <w:sz w:val="24"/>
          <w:szCs w:val="24"/>
        </w:rPr>
        <w:t xml:space="preserve"> tuvo como objetivo mejorar la eficiencia institucional en la producción, gestión, conservación y disposición de los documentos electrónicos, impactando de manera transversal los trámites, servicios y procesos misionales de la entidad. Esta iniciativa se desarrolló en cumplimiento de la Política de Gobierno Digital, la normativa archivística nacional y los principios de eficiencia administrativa, transparencia, trazabilidad, autenticidad, integridad y seguridad jurídica.  </w:t>
      </w:r>
    </w:p>
    <w:p w:rsidR="7C368924" w:rsidP="005358E1" w:rsidRDefault="7C368924" w14:paraId="453A6187" w14:textId="77777777">
      <w:pPr>
        <w:spacing w:after="0" w:line="360" w:lineRule="auto"/>
        <w:jc w:val="both"/>
      </w:pPr>
      <w:r w:rsidRPr="11835F2D">
        <w:rPr>
          <w:rFonts w:ascii="Verdana" w:hAnsi="Verdana" w:eastAsia="Verdana" w:cs="Verdana"/>
          <w:sz w:val="24"/>
          <w:szCs w:val="24"/>
        </w:rPr>
        <w:t xml:space="preserve">  </w:t>
      </w:r>
    </w:p>
    <w:p w:rsidR="7C368924" w:rsidP="005358E1" w:rsidRDefault="59EDC940" w14:paraId="6BBC40A5" w14:textId="77777777">
      <w:pPr>
        <w:spacing w:after="0" w:line="360" w:lineRule="auto"/>
        <w:jc w:val="both"/>
      </w:pPr>
      <w:r w:rsidRPr="180099B3">
        <w:rPr>
          <w:rFonts w:ascii="Verdana" w:hAnsi="Verdana" w:eastAsia="Verdana" w:cs="Verdana"/>
          <w:sz w:val="24"/>
          <w:szCs w:val="24"/>
        </w:rPr>
        <w:t xml:space="preserve">De otra parte, en lo que respecta al segundo proyecto de inversión, denominado </w:t>
      </w:r>
      <w:r w:rsidRPr="180099B3">
        <w:rPr>
          <w:rFonts w:ascii="Verdana" w:hAnsi="Verdana" w:eastAsia="Verdana" w:cs="Verdana"/>
          <w:i/>
          <w:iCs/>
          <w:sz w:val="24"/>
          <w:szCs w:val="24"/>
        </w:rPr>
        <w:t>“Mejoramiento en la disponibilidad y aprovechamiento de la información del archivo central por parte de la ciudadanía y usuarios internos del Ministerio”</w:t>
      </w:r>
      <w:r w:rsidRPr="180099B3">
        <w:rPr>
          <w:rFonts w:ascii="Verdana" w:hAnsi="Verdana" w:eastAsia="Verdana" w:cs="Verdana"/>
          <w:sz w:val="24"/>
          <w:szCs w:val="24"/>
        </w:rPr>
        <w:t>, la entidad ha logrado importantes avances en materia de gestión documental, como se evidencia a continuación:</w:t>
      </w:r>
      <w:r w:rsidRPr="180099B3">
        <w:rPr>
          <w:rFonts w:ascii="Verdana" w:hAnsi="Verdana" w:eastAsia="Verdana" w:cs="Verdana"/>
          <w:color w:val="8764B8"/>
          <w:sz w:val="24"/>
          <w:szCs w:val="24"/>
        </w:rPr>
        <w:t xml:space="preserve"> </w:t>
      </w:r>
    </w:p>
    <w:p w:rsidR="180099B3" w:rsidP="005358E1" w:rsidRDefault="180099B3" w14:paraId="3008FA85" w14:textId="77777777">
      <w:pPr>
        <w:spacing w:after="0" w:line="360" w:lineRule="auto"/>
        <w:jc w:val="both"/>
        <w:rPr>
          <w:rFonts w:ascii="Verdana" w:hAnsi="Verdana" w:eastAsia="Verdana" w:cs="Verdana"/>
          <w:sz w:val="24"/>
          <w:szCs w:val="24"/>
        </w:rPr>
      </w:pPr>
    </w:p>
    <w:p w:rsidR="7C368924" w:rsidP="005358E1" w:rsidRDefault="59EDC940" w14:paraId="637F8E77" w14:textId="77777777">
      <w:pPr>
        <w:spacing w:after="0" w:line="360" w:lineRule="auto"/>
        <w:jc w:val="both"/>
      </w:pPr>
      <w:r w:rsidRPr="180099B3">
        <w:rPr>
          <w:rFonts w:ascii="Verdana" w:hAnsi="Verdana" w:eastAsia="Verdana" w:cs="Verdana"/>
          <w:sz w:val="24"/>
          <w:szCs w:val="24"/>
        </w:rPr>
        <w:t xml:space="preserve">En línea con lo expuesto, se formularon, aprobaron y ejecutaron, el Plan Institucional de Archivos PINAR, y el Programa de Gestión Documental PGD para las vigencias 2023-2026, como instrumentos archivísticos que permitieron trazar la ruta de acción, en cada uno de los 8 procesos de la gestión documental, así como desarrollar los proyectos asociados para la mejora continua en la entidad. </w:t>
      </w:r>
    </w:p>
    <w:p w:rsidR="180099B3" w:rsidP="005358E1" w:rsidRDefault="180099B3" w14:paraId="2F895661" w14:textId="77777777">
      <w:pPr>
        <w:spacing w:after="0" w:line="360" w:lineRule="auto"/>
        <w:jc w:val="both"/>
        <w:rPr>
          <w:rFonts w:ascii="Verdana" w:hAnsi="Verdana" w:eastAsia="Verdana" w:cs="Verdana"/>
          <w:sz w:val="24"/>
          <w:szCs w:val="24"/>
        </w:rPr>
      </w:pPr>
    </w:p>
    <w:p w:rsidR="7C368924" w:rsidP="005358E1" w:rsidRDefault="7C368924" w14:paraId="42C39756" w14:textId="77777777">
      <w:pPr>
        <w:spacing w:after="0" w:line="360" w:lineRule="auto"/>
        <w:jc w:val="both"/>
      </w:pPr>
      <w:r w:rsidRPr="11835F2D">
        <w:rPr>
          <w:rFonts w:ascii="Verdana" w:hAnsi="Verdana" w:eastAsia="Verdana" w:cs="Verdana"/>
          <w:sz w:val="24"/>
          <w:szCs w:val="24"/>
        </w:rPr>
        <w:t xml:space="preserve">Es así como, la entidad ha logrado importantes avances en materia de gestión documental, tal como se relaciona a continuación: </w:t>
      </w:r>
    </w:p>
    <w:p w:rsidR="5BBE4056" w:rsidP="5BBE4056" w:rsidRDefault="5BBE4056" w14:paraId="2335BF31" w14:textId="0D38415A">
      <w:pPr>
        <w:spacing w:after="0" w:line="360" w:lineRule="auto"/>
        <w:jc w:val="both"/>
        <w:rPr>
          <w:rFonts w:ascii="Verdana" w:hAnsi="Verdana" w:eastAsia="Verdana" w:cs="Verdana"/>
          <w:sz w:val="24"/>
          <w:szCs w:val="24"/>
        </w:rPr>
      </w:pPr>
    </w:p>
    <w:p w:rsidR="7C368924" w:rsidP="005358E1" w:rsidRDefault="7C368924" w14:paraId="64919EBF" w14:textId="77777777">
      <w:pPr>
        <w:spacing w:after="0" w:line="360" w:lineRule="auto"/>
        <w:jc w:val="both"/>
      </w:pPr>
      <w:r w:rsidRPr="11835F2D">
        <w:rPr>
          <w:rFonts w:ascii="Verdana" w:hAnsi="Verdana" w:eastAsia="Verdana" w:cs="Verdana"/>
          <w:sz w:val="24"/>
          <w:szCs w:val="24"/>
          <w:u w:val="single"/>
        </w:rPr>
        <w:t>Análisis y selección de información objeto de disposición final</w:t>
      </w:r>
      <w:r w:rsidRPr="11835F2D">
        <w:rPr>
          <w:rFonts w:ascii="Verdana" w:hAnsi="Verdana" w:eastAsia="Verdana" w:cs="Verdana"/>
          <w:sz w:val="24"/>
          <w:szCs w:val="24"/>
        </w:rPr>
        <w:t xml:space="preserve"> </w:t>
      </w:r>
    </w:p>
    <w:p w:rsidR="7C368924" w:rsidP="005358E1" w:rsidRDefault="7C368924" w14:paraId="418403CA" w14:textId="77777777">
      <w:pPr>
        <w:spacing w:after="0" w:line="360" w:lineRule="auto"/>
        <w:jc w:val="both"/>
      </w:pPr>
      <w:r w:rsidRPr="11835F2D">
        <w:rPr>
          <w:rFonts w:ascii="Verdana" w:hAnsi="Verdana" w:eastAsia="Verdana" w:cs="Verdana"/>
          <w:sz w:val="24"/>
          <w:szCs w:val="24"/>
        </w:rPr>
        <w:t xml:space="preserve">Se aplicaron las Tablas de Retención Documental del Ministerio, y las Tablas de Valoración Documental de fondos de entidades liquidadas, interviniendo un total de 7.819.371 documentos, pertenecientes al archivo central de la entidad.  </w:t>
      </w:r>
    </w:p>
    <w:p w:rsidR="5BBE4056" w:rsidP="5BBE4056" w:rsidRDefault="5BBE4056" w14:paraId="67FD1C0E" w14:textId="54E42EC1">
      <w:pPr>
        <w:spacing w:after="0" w:line="360" w:lineRule="auto"/>
        <w:jc w:val="both"/>
        <w:rPr>
          <w:rFonts w:ascii="Verdana" w:hAnsi="Verdana" w:eastAsia="Verdana" w:cs="Verdana"/>
          <w:sz w:val="24"/>
          <w:szCs w:val="24"/>
        </w:rPr>
      </w:pPr>
    </w:p>
    <w:p w:rsidR="7C368924" w:rsidP="005358E1" w:rsidRDefault="7C368924" w14:paraId="009246A3" w14:textId="77777777">
      <w:pPr>
        <w:spacing w:after="0" w:line="360" w:lineRule="auto"/>
        <w:jc w:val="both"/>
      </w:pPr>
      <w:r w:rsidRPr="11835F2D">
        <w:rPr>
          <w:rFonts w:ascii="Verdana" w:hAnsi="Verdana" w:eastAsia="Verdana" w:cs="Verdana"/>
          <w:sz w:val="24"/>
          <w:szCs w:val="24"/>
          <w:u w:val="single"/>
        </w:rPr>
        <w:t>Elaboración y actualización de documentos de planeación archivística</w:t>
      </w:r>
      <w:r w:rsidRPr="11835F2D">
        <w:rPr>
          <w:rFonts w:ascii="Verdana" w:hAnsi="Verdana" w:eastAsia="Verdana" w:cs="Verdana"/>
          <w:sz w:val="24"/>
          <w:szCs w:val="24"/>
        </w:rPr>
        <w:t xml:space="preserve"> </w:t>
      </w:r>
    </w:p>
    <w:p w:rsidR="7C368924" w:rsidP="005358E1" w:rsidRDefault="7C368924" w14:paraId="06AC7E0F" w14:textId="77777777">
      <w:pPr>
        <w:spacing w:after="0" w:line="360" w:lineRule="auto"/>
        <w:jc w:val="both"/>
      </w:pPr>
      <w:r w:rsidRPr="11835F2D">
        <w:rPr>
          <w:rFonts w:ascii="Verdana" w:hAnsi="Verdana" w:eastAsia="Verdana" w:cs="Verdana"/>
          <w:color w:val="000000" w:themeColor="text1"/>
          <w:sz w:val="24"/>
          <w:szCs w:val="24"/>
          <w:lang w:val="es"/>
        </w:rPr>
        <w:t xml:space="preserve">Se elaboraron y actualizaron los siguientes documentos de planeación archivística que permitieron normalizar y mejorar la gestión documental, además de dar cumplimiento a la normatividad archivística colombiana: </w:t>
      </w:r>
      <w:r w:rsidRPr="11835F2D">
        <w:rPr>
          <w:rFonts w:ascii="Verdana" w:hAnsi="Verdana" w:eastAsia="Verdana" w:cs="Verdana"/>
          <w:color w:val="000000" w:themeColor="text1"/>
          <w:sz w:val="24"/>
          <w:szCs w:val="24"/>
        </w:rPr>
        <w:t xml:space="preserve"> </w:t>
      </w:r>
    </w:p>
    <w:p w:rsidR="5BBE4056" w:rsidP="5BBE4056" w:rsidRDefault="5BBE4056" w14:paraId="7AAEB8D2" w14:textId="6DEC18BE">
      <w:pPr>
        <w:spacing w:after="0" w:line="360" w:lineRule="auto"/>
        <w:jc w:val="both"/>
        <w:rPr>
          <w:rFonts w:ascii="Verdana" w:hAnsi="Verdana" w:eastAsia="Verdana" w:cs="Verdana"/>
          <w:color w:val="000000" w:themeColor="text1"/>
          <w:sz w:val="24"/>
          <w:szCs w:val="24"/>
        </w:rPr>
      </w:pPr>
    </w:p>
    <w:p w:rsidR="7C368924" w:rsidP="005358E1" w:rsidRDefault="59EDC940" w14:paraId="226CCAB0" w14:textId="77777777">
      <w:pPr>
        <w:spacing w:after="0" w:line="360" w:lineRule="auto"/>
        <w:jc w:val="both"/>
      </w:pPr>
      <w:r w:rsidRPr="180099B3">
        <w:rPr>
          <w:rFonts w:ascii="Verdana" w:hAnsi="Verdana" w:eastAsia="Verdana" w:cs="Verdana"/>
          <w:color w:val="000000" w:themeColor="text1"/>
          <w:sz w:val="24"/>
          <w:szCs w:val="24"/>
        </w:rPr>
        <w:t xml:space="preserve"> </w:t>
      </w:r>
      <w:r w:rsidRPr="180099B3">
        <w:rPr>
          <w:rFonts w:ascii="Verdana" w:hAnsi="Verdana" w:eastAsia="Verdana" w:cs="Verdana"/>
          <w:color w:val="000000" w:themeColor="text1"/>
          <w:sz w:val="24"/>
          <w:szCs w:val="24"/>
          <w:lang w:val="es"/>
        </w:rPr>
        <w:t>Vigencia 2023</w:t>
      </w:r>
      <w:r w:rsidRPr="180099B3">
        <w:rPr>
          <w:rFonts w:ascii="Verdana" w:hAnsi="Verdana" w:eastAsia="Verdana" w:cs="Verdana"/>
          <w:color w:val="000000" w:themeColor="text1"/>
          <w:sz w:val="24"/>
          <w:szCs w:val="24"/>
        </w:rPr>
        <w:t xml:space="preserve"> </w:t>
      </w:r>
    </w:p>
    <w:p w:rsidR="7C368924" w:rsidRDefault="7C368924" w14:paraId="42A87A9F" w14:textId="77777777">
      <w:pPr>
        <w:pStyle w:val="Prrafodelista"/>
        <w:numPr>
          <w:ilvl w:val="0"/>
          <w:numId w:val="39"/>
        </w:numPr>
        <w:spacing w:after="0" w:line="360" w:lineRule="auto"/>
        <w:ind w:left="1080"/>
        <w:jc w:val="both"/>
        <w:rPr>
          <w:rFonts w:ascii="Verdana" w:hAnsi="Verdana" w:eastAsia="Verdana" w:cs="Verdana"/>
          <w:color w:val="000000" w:themeColor="text1"/>
          <w:sz w:val="24"/>
          <w:szCs w:val="24"/>
        </w:rPr>
      </w:pPr>
      <w:r w:rsidRPr="11835F2D">
        <w:rPr>
          <w:rFonts w:ascii="Verdana" w:hAnsi="Verdana" w:eastAsia="Verdana" w:cs="Verdana"/>
          <w:color w:val="000000" w:themeColor="text1"/>
          <w:sz w:val="24"/>
          <w:szCs w:val="24"/>
          <w:lang w:val="es"/>
        </w:rPr>
        <w:t>Procedimiento Transferencias Documentales Secundarias</w:t>
      </w:r>
      <w:r w:rsidRPr="11835F2D">
        <w:rPr>
          <w:rFonts w:ascii="Verdana" w:hAnsi="Verdana" w:eastAsia="Verdana" w:cs="Verdana"/>
          <w:color w:val="000000" w:themeColor="text1"/>
          <w:sz w:val="24"/>
          <w:szCs w:val="24"/>
        </w:rPr>
        <w:t xml:space="preserve"> </w:t>
      </w:r>
    </w:p>
    <w:p w:rsidR="7C368924" w:rsidRDefault="7C368924" w14:paraId="5474FC31" w14:textId="77777777">
      <w:pPr>
        <w:pStyle w:val="Prrafodelista"/>
        <w:numPr>
          <w:ilvl w:val="0"/>
          <w:numId w:val="38"/>
        </w:numPr>
        <w:spacing w:after="0" w:line="360" w:lineRule="auto"/>
        <w:ind w:left="1080"/>
        <w:jc w:val="both"/>
        <w:rPr>
          <w:rFonts w:ascii="Verdana" w:hAnsi="Verdana" w:eastAsia="Verdana" w:cs="Verdana"/>
          <w:color w:val="000000" w:themeColor="text1"/>
          <w:sz w:val="24"/>
          <w:szCs w:val="24"/>
        </w:rPr>
      </w:pPr>
      <w:r w:rsidRPr="11835F2D">
        <w:rPr>
          <w:rFonts w:ascii="Verdana" w:hAnsi="Verdana" w:eastAsia="Verdana" w:cs="Verdana"/>
          <w:color w:val="000000" w:themeColor="text1"/>
          <w:sz w:val="24"/>
          <w:szCs w:val="24"/>
          <w:lang w:val="es"/>
        </w:rPr>
        <w:t>Subprograma de Documentos Vitales o Esenciales</w:t>
      </w:r>
      <w:r w:rsidRPr="11835F2D">
        <w:rPr>
          <w:rFonts w:ascii="Verdana" w:hAnsi="Verdana" w:eastAsia="Verdana" w:cs="Verdana"/>
          <w:color w:val="000000" w:themeColor="text1"/>
          <w:sz w:val="24"/>
          <w:szCs w:val="24"/>
        </w:rPr>
        <w:t xml:space="preserve"> </w:t>
      </w:r>
    </w:p>
    <w:p w:rsidR="7C368924" w:rsidRDefault="7C368924" w14:paraId="26FBBE77" w14:textId="77777777">
      <w:pPr>
        <w:pStyle w:val="Prrafodelista"/>
        <w:numPr>
          <w:ilvl w:val="0"/>
          <w:numId w:val="37"/>
        </w:numPr>
        <w:spacing w:after="0" w:line="360" w:lineRule="auto"/>
        <w:ind w:left="1080"/>
        <w:jc w:val="both"/>
        <w:rPr>
          <w:rFonts w:ascii="Verdana" w:hAnsi="Verdana" w:eastAsia="Verdana" w:cs="Verdana"/>
          <w:color w:val="000000" w:themeColor="text1"/>
          <w:sz w:val="24"/>
          <w:szCs w:val="24"/>
        </w:rPr>
      </w:pPr>
      <w:r w:rsidRPr="11835F2D">
        <w:rPr>
          <w:rFonts w:ascii="Verdana" w:hAnsi="Verdana" w:eastAsia="Verdana" w:cs="Verdana"/>
          <w:color w:val="000000" w:themeColor="text1"/>
          <w:sz w:val="24"/>
          <w:szCs w:val="24"/>
          <w:lang w:val="es"/>
        </w:rPr>
        <w:t>Instructivo por pérdida de expedientes total o parcial</w:t>
      </w:r>
      <w:r w:rsidRPr="11835F2D">
        <w:rPr>
          <w:rFonts w:ascii="Verdana" w:hAnsi="Verdana" w:eastAsia="Verdana" w:cs="Verdana"/>
          <w:color w:val="000000" w:themeColor="text1"/>
          <w:sz w:val="24"/>
          <w:szCs w:val="24"/>
        </w:rPr>
        <w:t xml:space="preserve"> </w:t>
      </w:r>
    </w:p>
    <w:p w:rsidR="7C368924" w:rsidRDefault="7C368924" w14:paraId="22C6ACD4" w14:textId="77777777">
      <w:pPr>
        <w:pStyle w:val="Prrafodelista"/>
        <w:numPr>
          <w:ilvl w:val="0"/>
          <w:numId w:val="36"/>
        </w:numPr>
        <w:spacing w:after="0" w:line="360" w:lineRule="auto"/>
        <w:ind w:left="1080"/>
        <w:jc w:val="both"/>
        <w:rPr>
          <w:rFonts w:ascii="Verdana" w:hAnsi="Verdana" w:eastAsia="Verdana" w:cs="Verdana"/>
          <w:color w:val="000000" w:themeColor="text1"/>
          <w:sz w:val="24"/>
          <w:szCs w:val="24"/>
        </w:rPr>
      </w:pPr>
      <w:r w:rsidRPr="11835F2D">
        <w:rPr>
          <w:rFonts w:ascii="Verdana" w:hAnsi="Verdana" w:eastAsia="Verdana" w:cs="Verdana"/>
          <w:color w:val="000000" w:themeColor="text1"/>
          <w:sz w:val="24"/>
          <w:szCs w:val="24"/>
          <w:lang w:val="es"/>
        </w:rPr>
        <w:t>Instructivo protocolo de ingreso y permanencia en archivo central para proyectos de organización</w:t>
      </w:r>
      <w:r w:rsidRPr="11835F2D">
        <w:rPr>
          <w:rFonts w:ascii="Verdana" w:hAnsi="Verdana" w:eastAsia="Verdana" w:cs="Verdana"/>
          <w:color w:val="000000" w:themeColor="text1"/>
          <w:sz w:val="24"/>
          <w:szCs w:val="24"/>
        </w:rPr>
        <w:t xml:space="preserve"> </w:t>
      </w:r>
    </w:p>
    <w:p w:rsidR="7C368924" w:rsidRDefault="7C368924" w14:paraId="3AE11370" w14:textId="77777777">
      <w:pPr>
        <w:pStyle w:val="Prrafodelista"/>
        <w:numPr>
          <w:ilvl w:val="0"/>
          <w:numId w:val="35"/>
        </w:numPr>
        <w:spacing w:after="0" w:line="360" w:lineRule="auto"/>
        <w:ind w:left="1080"/>
        <w:jc w:val="both"/>
        <w:rPr>
          <w:rFonts w:ascii="Verdana" w:hAnsi="Verdana" w:eastAsia="Verdana" w:cs="Verdana"/>
          <w:color w:val="000000" w:themeColor="text1"/>
          <w:sz w:val="24"/>
          <w:szCs w:val="24"/>
        </w:rPr>
      </w:pPr>
      <w:r w:rsidRPr="11835F2D">
        <w:rPr>
          <w:rFonts w:ascii="Verdana" w:hAnsi="Verdana" w:eastAsia="Verdana" w:cs="Verdana"/>
          <w:color w:val="000000" w:themeColor="text1"/>
          <w:sz w:val="24"/>
          <w:szCs w:val="24"/>
          <w:lang w:val="es"/>
        </w:rPr>
        <w:t>Ficha técnica procesos documentales</w:t>
      </w:r>
      <w:r w:rsidRPr="11835F2D">
        <w:rPr>
          <w:rFonts w:ascii="Verdana" w:hAnsi="Verdana" w:eastAsia="Verdana" w:cs="Verdana"/>
          <w:color w:val="000000" w:themeColor="text1"/>
          <w:sz w:val="24"/>
          <w:szCs w:val="24"/>
        </w:rPr>
        <w:t xml:space="preserve"> </w:t>
      </w:r>
    </w:p>
    <w:p w:rsidR="7C368924" w:rsidRDefault="7C368924" w14:paraId="67B38208" w14:textId="77777777">
      <w:pPr>
        <w:pStyle w:val="Prrafodelista"/>
        <w:numPr>
          <w:ilvl w:val="0"/>
          <w:numId w:val="34"/>
        </w:numPr>
        <w:spacing w:after="0" w:line="360" w:lineRule="auto"/>
        <w:ind w:left="1080"/>
        <w:jc w:val="both"/>
        <w:rPr>
          <w:rFonts w:ascii="Verdana" w:hAnsi="Verdana" w:eastAsia="Verdana" w:cs="Verdana"/>
          <w:color w:val="000000" w:themeColor="text1"/>
          <w:sz w:val="24"/>
          <w:szCs w:val="24"/>
        </w:rPr>
      </w:pPr>
      <w:r w:rsidRPr="11835F2D">
        <w:rPr>
          <w:rFonts w:ascii="Verdana" w:hAnsi="Verdana" w:eastAsia="Verdana" w:cs="Verdana"/>
          <w:color w:val="000000" w:themeColor="text1"/>
          <w:sz w:val="24"/>
          <w:szCs w:val="24"/>
          <w:lang w:val="es"/>
        </w:rPr>
        <w:t>Subprograma de Reprografía</w:t>
      </w:r>
      <w:r w:rsidRPr="11835F2D">
        <w:rPr>
          <w:rFonts w:ascii="Verdana" w:hAnsi="Verdana" w:eastAsia="Verdana" w:cs="Verdana"/>
          <w:color w:val="000000" w:themeColor="text1"/>
          <w:sz w:val="24"/>
          <w:szCs w:val="24"/>
        </w:rPr>
        <w:t xml:space="preserve"> </w:t>
      </w:r>
    </w:p>
    <w:p w:rsidR="7C368924" w:rsidP="005358E1" w:rsidRDefault="7C368924" w14:paraId="6C905EA5" w14:textId="77777777">
      <w:pPr>
        <w:spacing w:after="0" w:line="360" w:lineRule="auto"/>
        <w:jc w:val="both"/>
      </w:pPr>
      <w:r w:rsidRPr="11835F2D">
        <w:rPr>
          <w:rFonts w:ascii="Verdana" w:hAnsi="Verdana" w:eastAsia="Verdana" w:cs="Verdana"/>
          <w:color w:val="000000" w:themeColor="text1"/>
          <w:sz w:val="24"/>
          <w:szCs w:val="24"/>
        </w:rPr>
        <w:t xml:space="preserve"> </w:t>
      </w:r>
    </w:p>
    <w:p w:rsidR="7C368924" w:rsidP="005358E1" w:rsidRDefault="7C368924" w14:paraId="798BD5CD" w14:textId="77777777">
      <w:pPr>
        <w:spacing w:after="0" w:line="360" w:lineRule="auto"/>
        <w:jc w:val="both"/>
      </w:pPr>
      <w:r w:rsidRPr="11835F2D">
        <w:rPr>
          <w:rFonts w:ascii="Verdana" w:hAnsi="Verdana" w:eastAsia="Verdana" w:cs="Verdana"/>
          <w:color w:val="000000" w:themeColor="text1"/>
          <w:sz w:val="24"/>
          <w:szCs w:val="24"/>
          <w:lang w:val="es"/>
        </w:rPr>
        <w:t>Vigencia 2024</w:t>
      </w:r>
      <w:r w:rsidRPr="11835F2D">
        <w:rPr>
          <w:rFonts w:ascii="Verdana" w:hAnsi="Verdana" w:eastAsia="Verdana" w:cs="Verdana"/>
          <w:color w:val="000000" w:themeColor="text1"/>
          <w:sz w:val="24"/>
          <w:szCs w:val="24"/>
        </w:rPr>
        <w:t xml:space="preserve"> </w:t>
      </w:r>
    </w:p>
    <w:p w:rsidR="7C368924" w:rsidRDefault="7C368924" w14:paraId="04960F0A" w14:textId="77777777">
      <w:pPr>
        <w:pStyle w:val="Prrafodelista"/>
        <w:numPr>
          <w:ilvl w:val="0"/>
          <w:numId w:val="33"/>
        </w:numPr>
        <w:spacing w:after="0" w:line="360" w:lineRule="auto"/>
        <w:ind w:left="1080"/>
        <w:jc w:val="both"/>
        <w:rPr>
          <w:rFonts w:ascii="Verdana" w:hAnsi="Verdana" w:eastAsia="Verdana" w:cs="Verdana"/>
          <w:color w:val="000000" w:themeColor="text1"/>
          <w:sz w:val="24"/>
          <w:szCs w:val="24"/>
        </w:rPr>
      </w:pPr>
      <w:r w:rsidRPr="11835F2D">
        <w:rPr>
          <w:rFonts w:ascii="Verdana" w:hAnsi="Verdana" w:eastAsia="Verdana" w:cs="Verdana"/>
          <w:color w:val="000000" w:themeColor="text1"/>
          <w:sz w:val="24"/>
          <w:szCs w:val="24"/>
          <w:lang w:val="es"/>
        </w:rPr>
        <w:t>Manual de organización documental archivos de gestión</w:t>
      </w:r>
      <w:r w:rsidRPr="11835F2D">
        <w:rPr>
          <w:rFonts w:ascii="Verdana" w:hAnsi="Verdana" w:eastAsia="Verdana" w:cs="Verdana"/>
          <w:color w:val="000000" w:themeColor="text1"/>
          <w:sz w:val="24"/>
          <w:szCs w:val="24"/>
        </w:rPr>
        <w:t xml:space="preserve"> </w:t>
      </w:r>
    </w:p>
    <w:p w:rsidR="7C368924" w:rsidRDefault="7C368924" w14:paraId="0BCBA5F6" w14:textId="77777777">
      <w:pPr>
        <w:pStyle w:val="Prrafodelista"/>
        <w:numPr>
          <w:ilvl w:val="0"/>
          <w:numId w:val="32"/>
        </w:numPr>
        <w:spacing w:after="0" w:line="360" w:lineRule="auto"/>
        <w:ind w:left="1080"/>
        <w:jc w:val="both"/>
        <w:rPr>
          <w:rFonts w:ascii="Verdana" w:hAnsi="Verdana" w:eastAsia="Verdana" w:cs="Verdana"/>
          <w:color w:val="000000" w:themeColor="text1"/>
          <w:sz w:val="24"/>
          <w:szCs w:val="24"/>
        </w:rPr>
      </w:pPr>
      <w:r w:rsidRPr="11835F2D">
        <w:rPr>
          <w:rFonts w:ascii="Verdana" w:hAnsi="Verdana" w:eastAsia="Verdana" w:cs="Verdana"/>
          <w:color w:val="000000" w:themeColor="text1"/>
          <w:sz w:val="24"/>
          <w:szCs w:val="24"/>
          <w:lang w:val="es"/>
        </w:rPr>
        <w:t>Manual para atención de consultas y préstamo de documentos en el archivo central</w:t>
      </w:r>
      <w:r w:rsidRPr="11835F2D">
        <w:rPr>
          <w:rFonts w:ascii="Verdana" w:hAnsi="Verdana" w:eastAsia="Verdana" w:cs="Verdana"/>
          <w:color w:val="000000" w:themeColor="text1"/>
          <w:sz w:val="24"/>
          <w:szCs w:val="24"/>
        </w:rPr>
        <w:t xml:space="preserve"> </w:t>
      </w:r>
    </w:p>
    <w:p w:rsidR="7C368924" w:rsidRDefault="7C368924" w14:paraId="1EAA921B" w14:textId="77777777">
      <w:pPr>
        <w:pStyle w:val="Prrafodelista"/>
        <w:numPr>
          <w:ilvl w:val="0"/>
          <w:numId w:val="31"/>
        </w:numPr>
        <w:spacing w:after="0" w:line="360" w:lineRule="auto"/>
        <w:ind w:left="1080"/>
        <w:jc w:val="both"/>
        <w:rPr>
          <w:rFonts w:ascii="Verdana" w:hAnsi="Verdana" w:eastAsia="Verdana" w:cs="Verdana"/>
          <w:color w:val="000000" w:themeColor="text1"/>
          <w:sz w:val="24"/>
          <w:szCs w:val="24"/>
        </w:rPr>
      </w:pPr>
      <w:r w:rsidRPr="11835F2D">
        <w:rPr>
          <w:rFonts w:ascii="Verdana" w:hAnsi="Verdana" w:eastAsia="Verdana" w:cs="Verdana"/>
          <w:color w:val="000000" w:themeColor="text1"/>
          <w:sz w:val="24"/>
          <w:szCs w:val="24"/>
          <w:lang w:val="es"/>
        </w:rPr>
        <w:t>Procedimiento para la Entrega de Archivos de Entidades Liquidadas</w:t>
      </w:r>
      <w:r w:rsidRPr="11835F2D">
        <w:rPr>
          <w:rFonts w:ascii="Verdana" w:hAnsi="Verdana" w:eastAsia="Verdana" w:cs="Verdana"/>
          <w:color w:val="000000" w:themeColor="text1"/>
          <w:sz w:val="24"/>
          <w:szCs w:val="24"/>
        </w:rPr>
        <w:t xml:space="preserve"> </w:t>
      </w:r>
    </w:p>
    <w:p w:rsidR="7C368924" w:rsidRDefault="7C368924" w14:paraId="10B3D115" w14:textId="77777777">
      <w:pPr>
        <w:pStyle w:val="Prrafodelista"/>
        <w:numPr>
          <w:ilvl w:val="0"/>
          <w:numId w:val="30"/>
        </w:numPr>
        <w:spacing w:after="0" w:line="360" w:lineRule="auto"/>
        <w:ind w:left="1080"/>
        <w:jc w:val="both"/>
        <w:rPr>
          <w:rFonts w:ascii="Verdana" w:hAnsi="Verdana" w:eastAsia="Verdana" w:cs="Verdana"/>
          <w:color w:val="000000" w:themeColor="text1"/>
          <w:sz w:val="24"/>
          <w:szCs w:val="24"/>
        </w:rPr>
      </w:pPr>
      <w:r w:rsidRPr="11835F2D">
        <w:rPr>
          <w:rFonts w:ascii="Verdana" w:hAnsi="Verdana" w:eastAsia="Verdana" w:cs="Verdana"/>
          <w:color w:val="000000" w:themeColor="text1"/>
          <w:sz w:val="24"/>
          <w:szCs w:val="24"/>
          <w:lang w:val="es"/>
        </w:rPr>
        <w:t>Ficha técnica procesos documentales</w:t>
      </w:r>
      <w:r w:rsidRPr="11835F2D">
        <w:rPr>
          <w:rFonts w:ascii="Verdana" w:hAnsi="Verdana" w:eastAsia="Verdana" w:cs="Verdana"/>
          <w:color w:val="000000" w:themeColor="text1"/>
          <w:sz w:val="24"/>
          <w:szCs w:val="24"/>
        </w:rPr>
        <w:t xml:space="preserve"> </w:t>
      </w:r>
    </w:p>
    <w:p w:rsidR="7C368924" w:rsidP="005358E1" w:rsidRDefault="7C368924" w14:paraId="5D68B9BD" w14:textId="77777777">
      <w:pPr>
        <w:spacing w:after="0" w:line="360" w:lineRule="auto"/>
        <w:jc w:val="both"/>
      </w:pPr>
      <w:r w:rsidRPr="11835F2D">
        <w:rPr>
          <w:rFonts w:ascii="Verdana" w:hAnsi="Verdana" w:eastAsia="Verdana" w:cs="Verdana"/>
          <w:color w:val="000000" w:themeColor="text1"/>
          <w:sz w:val="24"/>
          <w:szCs w:val="24"/>
        </w:rPr>
        <w:t xml:space="preserve"> </w:t>
      </w:r>
    </w:p>
    <w:p w:rsidR="7C368924" w:rsidP="005358E1" w:rsidRDefault="7C368924" w14:paraId="15AA80D2" w14:textId="77777777">
      <w:pPr>
        <w:spacing w:after="0" w:line="360" w:lineRule="auto"/>
        <w:jc w:val="both"/>
      </w:pPr>
      <w:r w:rsidRPr="11835F2D">
        <w:rPr>
          <w:rFonts w:ascii="Verdana" w:hAnsi="Verdana" w:eastAsia="Verdana" w:cs="Verdana"/>
          <w:color w:val="000000" w:themeColor="text1"/>
          <w:sz w:val="24"/>
          <w:szCs w:val="24"/>
          <w:lang w:val="es"/>
        </w:rPr>
        <w:t>Vigencia 2025</w:t>
      </w:r>
      <w:r w:rsidRPr="11835F2D">
        <w:rPr>
          <w:rFonts w:ascii="Verdana" w:hAnsi="Verdana" w:eastAsia="Verdana" w:cs="Verdana"/>
          <w:color w:val="000000" w:themeColor="text1"/>
          <w:sz w:val="24"/>
          <w:szCs w:val="24"/>
        </w:rPr>
        <w:t xml:space="preserve"> </w:t>
      </w:r>
    </w:p>
    <w:p w:rsidR="7C368924" w:rsidRDefault="7C368924" w14:paraId="491CC71D" w14:textId="77777777">
      <w:pPr>
        <w:pStyle w:val="Prrafodelista"/>
        <w:numPr>
          <w:ilvl w:val="0"/>
          <w:numId w:val="29"/>
        </w:numPr>
        <w:spacing w:after="0" w:line="360" w:lineRule="auto"/>
        <w:ind w:left="1080"/>
        <w:jc w:val="both"/>
        <w:rPr>
          <w:rFonts w:ascii="Verdana" w:hAnsi="Verdana" w:eastAsia="Verdana" w:cs="Verdana"/>
          <w:color w:val="000000" w:themeColor="text1"/>
          <w:sz w:val="24"/>
          <w:szCs w:val="24"/>
        </w:rPr>
      </w:pPr>
      <w:r w:rsidRPr="11835F2D">
        <w:rPr>
          <w:rFonts w:ascii="Verdana" w:hAnsi="Verdana" w:eastAsia="Verdana" w:cs="Verdana"/>
          <w:color w:val="000000" w:themeColor="text1"/>
          <w:sz w:val="24"/>
          <w:szCs w:val="24"/>
          <w:lang w:val="es"/>
        </w:rPr>
        <w:t>Actualización Diagnóstico Integral de Archivo- documento adicional a los planeados en el proyecto</w:t>
      </w:r>
      <w:r w:rsidRPr="11835F2D">
        <w:rPr>
          <w:rFonts w:ascii="Verdana" w:hAnsi="Verdana" w:eastAsia="Verdana" w:cs="Verdana"/>
          <w:color w:val="000000" w:themeColor="text1"/>
          <w:sz w:val="24"/>
          <w:szCs w:val="24"/>
        </w:rPr>
        <w:t xml:space="preserve"> </w:t>
      </w:r>
    </w:p>
    <w:p w:rsidR="7C368924" w:rsidRDefault="7C368924" w14:paraId="700F80AB" w14:textId="77777777">
      <w:pPr>
        <w:pStyle w:val="Prrafodelista"/>
        <w:numPr>
          <w:ilvl w:val="0"/>
          <w:numId w:val="28"/>
        </w:numPr>
        <w:spacing w:after="0" w:line="360" w:lineRule="auto"/>
        <w:ind w:left="1080"/>
        <w:jc w:val="both"/>
        <w:rPr>
          <w:rFonts w:ascii="Verdana" w:hAnsi="Verdana" w:eastAsia="Verdana" w:cs="Verdana"/>
          <w:color w:val="000000" w:themeColor="text1"/>
          <w:sz w:val="24"/>
          <w:szCs w:val="24"/>
        </w:rPr>
      </w:pPr>
      <w:r w:rsidRPr="11835F2D">
        <w:rPr>
          <w:rFonts w:ascii="Verdana" w:hAnsi="Verdana" w:eastAsia="Verdana" w:cs="Verdana"/>
          <w:color w:val="000000" w:themeColor="text1"/>
          <w:sz w:val="24"/>
          <w:szCs w:val="24"/>
          <w:lang w:val="es"/>
        </w:rPr>
        <w:t>Plan de Preservación Digital- documento adicional a los planeados en el proyecto</w:t>
      </w:r>
      <w:r w:rsidRPr="11835F2D">
        <w:rPr>
          <w:rFonts w:ascii="Verdana" w:hAnsi="Verdana" w:eastAsia="Verdana" w:cs="Verdana"/>
          <w:color w:val="000000" w:themeColor="text1"/>
          <w:sz w:val="24"/>
          <w:szCs w:val="24"/>
        </w:rPr>
        <w:t xml:space="preserve"> </w:t>
      </w:r>
    </w:p>
    <w:p w:rsidR="7C368924" w:rsidRDefault="7C368924" w14:paraId="1DC817DC" w14:textId="77777777">
      <w:pPr>
        <w:pStyle w:val="Prrafodelista"/>
        <w:numPr>
          <w:ilvl w:val="0"/>
          <w:numId w:val="27"/>
        </w:numPr>
        <w:shd w:val="clear" w:color="auto" w:fill="FFFFFF" w:themeFill="background1"/>
        <w:spacing w:after="0" w:line="360" w:lineRule="auto"/>
        <w:ind w:left="1080"/>
        <w:jc w:val="both"/>
        <w:rPr>
          <w:rFonts w:ascii="Verdana" w:hAnsi="Verdana" w:eastAsia="Verdana" w:cs="Verdana"/>
          <w:color w:val="000000" w:themeColor="text1"/>
          <w:sz w:val="24"/>
          <w:szCs w:val="24"/>
        </w:rPr>
      </w:pPr>
      <w:r w:rsidRPr="11835F2D">
        <w:rPr>
          <w:rFonts w:ascii="Verdana" w:hAnsi="Verdana" w:eastAsia="Verdana" w:cs="Verdana"/>
          <w:color w:val="000000" w:themeColor="text1"/>
          <w:sz w:val="24"/>
          <w:szCs w:val="24"/>
          <w:lang w:val="es"/>
        </w:rPr>
        <w:t>Tabla de Valoración Documental del Fondo Documental del Ministerio de Minas y Energía- documento</w:t>
      </w:r>
      <w:r w:rsidRPr="11835F2D">
        <w:rPr>
          <w:rFonts w:ascii="Verdana" w:hAnsi="Verdana" w:eastAsia="Verdana" w:cs="Verdana"/>
          <w:color w:val="000000" w:themeColor="text1"/>
          <w:sz w:val="24"/>
          <w:szCs w:val="24"/>
        </w:rPr>
        <w:t xml:space="preserve"> </w:t>
      </w:r>
    </w:p>
    <w:p w:rsidR="00387379" w:rsidP="005358E1" w:rsidRDefault="00387379" w14:paraId="20481097" w14:textId="77777777">
      <w:pPr>
        <w:spacing w:after="0" w:line="360" w:lineRule="auto"/>
        <w:outlineLvl w:val="0"/>
        <w:rPr>
          <w:rFonts w:ascii="Verdana" w:hAnsi="Verdana"/>
          <w:b/>
          <w:bCs/>
          <w:sz w:val="24"/>
          <w:szCs w:val="24"/>
          <w:highlight w:val="yellow"/>
        </w:rPr>
      </w:pPr>
    </w:p>
    <w:p w:rsidRPr="00387379" w:rsidR="00387379" w:rsidRDefault="00387379" w14:paraId="07B13724" w14:textId="77777777">
      <w:pPr>
        <w:pStyle w:val="Prrafodelista"/>
        <w:numPr>
          <w:ilvl w:val="1"/>
          <w:numId w:val="95"/>
        </w:numPr>
        <w:spacing w:after="0" w:line="360" w:lineRule="auto"/>
        <w:outlineLvl w:val="1"/>
        <w:rPr>
          <w:rFonts w:ascii="Verdana" w:hAnsi="Verdana"/>
          <w:b/>
          <w:bCs/>
          <w:sz w:val="24"/>
          <w:szCs w:val="24"/>
        </w:rPr>
      </w:pPr>
      <w:bookmarkStart w:name="_Toc233996759" w:id="42"/>
      <w:r w:rsidRPr="00387379">
        <w:rPr>
          <w:rFonts w:ascii="Verdana" w:hAnsi="Verdana"/>
          <w:b/>
          <w:bCs/>
          <w:sz w:val="24"/>
          <w:szCs w:val="24"/>
        </w:rPr>
        <w:t>Programa de Gestión Documental - PGD</w:t>
      </w:r>
      <w:bookmarkEnd w:id="42"/>
      <w:r w:rsidRPr="00387379">
        <w:rPr>
          <w:rFonts w:ascii="Verdana" w:hAnsi="Verdana"/>
          <w:b/>
          <w:bCs/>
          <w:sz w:val="24"/>
          <w:szCs w:val="24"/>
        </w:rPr>
        <w:t xml:space="preserve"> </w:t>
      </w:r>
    </w:p>
    <w:p w:rsidRPr="00387379" w:rsidR="00387379" w:rsidP="005358E1" w:rsidRDefault="00387379" w14:paraId="349D2217" w14:textId="77777777">
      <w:pPr>
        <w:shd w:val="clear" w:color="auto" w:fill="FFFFFF" w:themeFill="background1"/>
        <w:spacing w:after="0" w:line="360" w:lineRule="auto"/>
        <w:jc w:val="both"/>
        <w:rPr>
          <w:rFonts w:ascii="Verdana" w:hAnsi="Verdana" w:eastAsia="Verdana" w:cs="Verdana"/>
          <w:color w:val="000000" w:themeColor="text1"/>
          <w:sz w:val="24"/>
          <w:szCs w:val="24"/>
        </w:rPr>
      </w:pPr>
    </w:p>
    <w:p w:rsidR="7C368924" w:rsidP="005358E1" w:rsidRDefault="7C368924" w14:paraId="0B31A72C" w14:textId="77777777">
      <w:pPr>
        <w:spacing w:after="0" w:line="360" w:lineRule="auto"/>
        <w:jc w:val="both"/>
      </w:pPr>
      <w:r w:rsidRPr="11835F2D">
        <w:rPr>
          <w:rFonts w:ascii="Verdana" w:hAnsi="Verdana" w:eastAsia="Verdana" w:cs="Verdana"/>
          <w:sz w:val="24"/>
          <w:szCs w:val="24"/>
        </w:rPr>
        <w:t xml:space="preserve">Durante el periodo de gobierno 2022–2026, el Ministerio de Minas y Energía avanzó en la ejecución del proyecto de inversión “Implementación Modelo de Gestión de Documentos Electrónicos de Archivo – MGDEA”, identificado con código BPIN: 2019011000154, cuyo propósito fundamental ha sido incrementar la eficiencia institucional en la producción, gestión, conservación y disposición de los documentos electrónicos de archivo, impactando de manera transversal los trámites, servicios y procesos misionales de la entidad. Esta iniciativa respondió a los lineamientos de la Política de Gobierno Digital, la normativa archivística nacional y los principios de eficiencia administrativa, transparencia, trazabilidad, autenticidad, integridad y seguridad jurídica en la gestión documental del sector público. </w:t>
      </w:r>
    </w:p>
    <w:p w:rsidR="00F7534A" w:rsidP="005358E1" w:rsidRDefault="00F7534A" w14:paraId="38F7A017" w14:textId="77777777">
      <w:pPr>
        <w:spacing w:after="0" w:line="360" w:lineRule="auto"/>
        <w:jc w:val="both"/>
        <w:rPr>
          <w:rFonts w:ascii="Verdana" w:hAnsi="Verdana" w:eastAsia="Verdana" w:cs="Verdana"/>
          <w:sz w:val="24"/>
          <w:szCs w:val="24"/>
        </w:rPr>
      </w:pPr>
    </w:p>
    <w:p w:rsidR="7C368924" w:rsidP="005358E1" w:rsidRDefault="59EDC940" w14:paraId="0AE6FC29" w14:textId="3C2D8297">
      <w:pPr>
        <w:spacing w:after="0" w:line="360" w:lineRule="auto"/>
        <w:jc w:val="both"/>
      </w:pPr>
      <w:r w:rsidRPr="180099B3">
        <w:rPr>
          <w:rFonts w:ascii="Verdana" w:hAnsi="Verdana" w:eastAsia="Verdana" w:cs="Verdana"/>
          <w:sz w:val="24"/>
          <w:szCs w:val="24"/>
        </w:rPr>
        <w:t xml:space="preserve">En el marco de este proyecto se contempló el desarrollo de las siguientes actividades estratégicas: </w:t>
      </w:r>
    </w:p>
    <w:p w:rsidR="7C368924" w:rsidRDefault="7C368924" w14:paraId="5A6454B5" w14:textId="77777777">
      <w:pPr>
        <w:pStyle w:val="Prrafodelista"/>
        <w:numPr>
          <w:ilvl w:val="0"/>
          <w:numId w:val="26"/>
        </w:numPr>
        <w:spacing w:after="0" w:line="360" w:lineRule="auto"/>
        <w:ind w:left="1080"/>
        <w:jc w:val="both"/>
        <w:rPr>
          <w:rFonts w:ascii="Verdana" w:hAnsi="Verdana" w:eastAsia="Verdana" w:cs="Verdana"/>
          <w:sz w:val="24"/>
          <w:szCs w:val="24"/>
        </w:rPr>
      </w:pPr>
      <w:r w:rsidRPr="11835F2D">
        <w:rPr>
          <w:rFonts w:ascii="Verdana" w:hAnsi="Verdana" w:eastAsia="Verdana" w:cs="Verdana"/>
          <w:sz w:val="24"/>
          <w:szCs w:val="24"/>
        </w:rPr>
        <w:t xml:space="preserve">Adquisición del sistema tecnológico para la gestión documental electrónica. </w:t>
      </w:r>
    </w:p>
    <w:p w:rsidR="7C368924" w:rsidRDefault="7C368924" w14:paraId="56129D36" w14:textId="77777777">
      <w:pPr>
        <w:pStyle w:val="Prrafodelista"/>
        <w:numPr>
          <w:ilvl w:val="0"/>
          <w:numId w:val="25"/>
        </w:numPr>
        <w:spacing w:after="0" w:line="360" w:lineRule="auto"/>
        <w:ind w:left="1080"/>
        <w:jc w:val="both"/>
        <w:rPr>
          <w:rFonts w:ascii="Verdana" w:hAnsi="Verdana" w:eastAsia="Verdana" w:cs="Verdana"/>
          <w:sz w:val="24"/>
          <w:szCs w:val="24"/>
        </w:rPr>
      </w:pPr>
      <w:r w:rsidRPr="11835F2D">
        <w:rPr>
          <w:rFonts w:ascii="Verdana" w:hAnsi="Verdana" w:eastAsia="Verdana" w:cs="Verdana"/>
          <w:sz w:val="24"/>
          <w:szCs w:val="24"/>
        </w:rPr>
        <w:t xml:space="preserve">Automatización de procesos dentro del SGDEA.  </w:t>
      </w:r>
    </w:p>
    <w:p w:rsidR="7C368924" w:rsidRDefault="7C368924" w14:paraId="23260B51" w14:textId="77777777">
      <w:pPr>
        <w:pStyle w:val="Prrafodelista"/>
        <w:numPr>
          <w:ilvl w:val="0"/>
          <w:numId w:val="24"/>
        </w:numPr>
        <w:spacing w:after="0" w:line="360" w:lineRule="auto"/>
        <w:ind w:left="1080"/>
        <w:jc w:val="both"/>
        <w:rPr>
          <w:rFonts w:ascii="Verdana" w:hAnsi="Verdana" w:eastAsia="Verdana" w:cs="Verdana"/>
          <w:sz w:val="24"/>
          <w:szCs w:val="24"/>
        </w:rPr>
      </w:pPr>
      <w:r w:rsidRPr="11835F2D">
        <w:rPr>
          <w:rFonts w:ascii="Verdana" w:hAnsi="Verdana" w:eastAsia="Verdana" w:cs="Verdana"/>
          <w:sz w:val="24"/>
          <w:szCs w:val="24"/>
        </w:rPr>
        <w:t xml:space="preserve">Implementación de servicios de firma electrónica y estampado cronológico.  </w:t>
      </w:r>
    </w:p>
    <w:p w:rsidR="7C368924" w:rsidRDefault="7C368924" w14:paraId="058CEF15" w14:textId="77777777">
      <w:pPr>
        <w:pStyle w:val="Prrafodelista"/>
        <w:numPr>
          <w:ilvl w:val="0"/>
          <w:numId w:val="23"/>
        </w:numPr>
        <w:spacing w:after="0" w:line="360" w:lineRule="auto"/>
        <w:ind w:left="1080"/>
        <w:jc w:val="both"/>
        <w:rPr>
          <w:rFonts w:ascii="Verdana" w:hAnsi="Verdana" w:eastAsia="Verdana" w:cs="Verdana"/>
          <w:sz w:val="24"/>
          <w:szCs w:val="24"/>
        </w:rPr>
      </w:pPr>
      <w:r w:rsidRPr="11835F2D">
        <w:rPr>
          <w:rFonts w:ascii="Verdana" w:hAnsi="Verdana" w:eastAsia="Verdana" w:cs="Verdana"/>
          <w:sz w:val="24"/>
          <w:szCs w:val="24"/>
        </w:rPr>
        <w:t xml:space="preserve">Fortalecimiento de competencias institucionales para el uso del sistema.  </w:t>
      </w:r>
    </w:p>
    <w:p w:rsidR="7C368924" w:rsidRDefault="7C368924" w14:paraId="0ABCA524" w14:textId="77777777">
      <w:pPr>
        <w:pStyle w:val="Prrafodelista"/>
        <w:numPr>
          <w:ilvl w:val="0"/>
          <w:numId w:val="22"/>
        </w:numPr>
        <w:spacing w:after="0" w:line="360" w:lineRule="auto"/>
        <w:ind w:left="1080"/>
        <w:jc w:val="both"/>
        <w:rPr>
          <w:rFonts w:ascii="Verdana" w:hAnsi="Verdana" w:eastAsia="Verdana" w:cs="Verdana"/>
          <w:sz w:val="24"/>
          <w:szCs w:val="24"/>
        </w:rPr>
      </w:pPr>
      <w:r w:rsidRPr="11835F2D">
        <w:rPr>
          <w:rFonts w:ascii="Verdana" w:hAnsi="Verdana" w:eastAsia="Verdana" w:cs="Verdana"/>
          <w:sz w:val="24"/>
          <w:szCs w:val="24"/>
        </w:rPr>
        <w:t xml:space="preserve">Seguimiento y monitoreo permanente al modelo implementado.  </w:t>
      </w:r>
    </w:p>
    <w:p w:rsidR="7C368924" w:rsidP="005358E1" w:rsidRDefault="7C368924" w14:paraId="02180583" w14:textId="77777777">
      <w:pPr>
        <w:spacing w:after="0" w:line="360" w:lineRule="auto"/>
        <w:jc w:val="both"/>
      </w:pPr>
      <w:r w:rsidRPr="11835F2D">
        <w:rPr>
          <w:rFonts w:ascii="Verdana" w:hAnsi="Verdana" w:eastAsia="Verdana" w:cs="Verdana"/>
          <w:sz w:val="24"/>
          <w:szCs w:val="24"/>
        </w:rPr>
        <w:t xml:space="preserve">  </w:t>
      </w:r>
    </w:p>
    <w:p w:rsidR="7C368924" w:rsidP="005358E1" w:rsidRDefault="7C368924" w14:paraId="6E98253D" w14:textId="77777777">
      <w:pPr>
        <w:spacing w:after="0" w:line="360" w:lineRule="auto"/>
        <w:jc w:val="both"/>
      </w:pPr>
      <w:r w:rsidRPr="11835F2D">
        <w:rPr>
          <w:rFonts w:ascii="Verdana" w:hAnsi="Verdana" w:eastAsia="Verdana" w:cs="Verdana"/>
          <w:sz w:val="24"/>
          <w:szCs w:val="24"/>
        </w:rPr>
        <w:t xml:space="preserve">Como resultado de esta estrategia, el Ministerio logró la adquisición e implementación del Sistema de Gestión de Documentos Electrónicos de Archivo (SGDEA) denominado ARGO, herramienta tecnológica que actualmente soporta la gestión documental electrónica institucional y que fue implementada de manera progresiva mediante diferentes procesos contractuales desarrollados desde el año 2020 y hasta la presente vigencia. </w:t>
      </w:r>
    </w:p>
    <w:p w:rsidR="7C368924" w:rsidP="005358E1" w:rsidRDefault="7C368924" w14:paraId="5DD98D45" w14:textId="77777777">
      <w:pPr>
        <w:spacing w:after="0" w:line="360" w:lineRule="auto"/>
        <w:jc w:val="both"/>
      </w:pPr>
      <w:r w:rsidRPr="11835F2D">
        <w:rPr>
          <w:rFonts w:ascii="Verdana" w:hAnsi="Verdana" w:eastAsia="Verdana" w:cs="Verdana"/>
          <w:sz w:val="24"/>
          <w:szCs w:val="24"/>
        </w:rPr>
        <w:t xml:space="preserve">  </w:t>
      </w:r>
    </w:p>
    <w:p w:rsidR="7C368924" w:rsidP="005358E1" w:rsidRDefault="7C368924" w14:paraId="7E0D876C" w14:textId="77777777">
      <w:pPr>
        <w:spacing w:after="0" w:line="360" w:lineRule="auto"/>
        <w:jc w:val="both"/>
      </w:pPr>
      <w:r w:rsidRPr="11835F2D">
        <w:rPr>
          <w:rFonts w:ascii="Verdana" w:hAnsi="Verdana" w:eastAsia="Verdana" w:cs="Verdana"/>
          <w:sz w:val="24"/>
          <w:szCs w:val="24"/>
        </w:rPr>
        <w:t xml:space="preserve">Estas fases permitieron consolidar la adquisición inicial del software, fortalecer progresivamente sus funcionalidades, automatizar procesos documentales, incorporar servicios digitales complementarios y avanzar en procesos de interoperabilidad con otros sistemas institucionales. Como resultado, actualmente ARGO presenta un nivel de cumplimiento superior al 90% frente al Modelo de Requisitos para la Gestión de Documentos Electrónicos de Archivo (MOREQ), consolidándose como una herramienta estratégica para la gestión documental del Ministerio y para el cumplimiento de los lineamientos establecidos por el Archivo General de la Nación. </w:t>
      </w:r>
    </w:p>
    <w:p w:rsidR="7C368924" w:rsidP="005358E1" w:rsidRDefault="7C368924" w14:paraId="681147FF" w14:textId="77777777">
      <w:pPr>
        <w:spacing w:after="0" w:line="360" w:lineRule="auto"/>
        <w:jc w:val="both"/>
      </w:pPr>
      <w:r w:rsidRPr="11835F2D">
        <w:rPr>
          <w:rFonts w:ascii="Verdana" w:hAnsi="Verdana" w:eastAsia="Verdana" w:cs="Verdana"/>
          <w:sz w:val="24"/>
          <w:szCs w:val="24"/>
        </w:rPr>
        <w:t xml:space="preserve">  </w:t>
      </w:r>
    </w:p>
    <w:p w:rsidR="7C368924" w:rsidP="005358E1" w:rsidRDefault="7C368924" w14:paraId="7A03F4F3" w14:textId="77777777">
      <w:pPr>
        <w:spacing w:after="0" w:line="360" w:lineRule="auto"/>
        <w:jc w:val="both"/>
      </w:pPr>
      <w:r w:rsidRPr="11835F2D">
        <w:rPr>
          <w:rFonts w:ascii="Verdana" w:hAnsi="Verdana" w:eastAsia="Verdana" w:cs="Verdana"/>
          <w:sz w:val="24"/>
          <w:szCs w:val="24"/>
        </w:rPr>
        <w:t xml:space="preserve">Durante el periodo evaluado también se adelantaron actividades permanentes de mejora continua sobre ARGO, orientadas al fortalecimiento funcional del sistema y a su evolución técnica. Estas acciones han permitido fortalecer el cumplimiento de los lineamientos definidos por el Archivo General de la Nación y mejorar la experiencia de uso por parte de los usuarios institucionales, garantizando una herramienta cada vez más robusta y alineada con las necesidades operativas de la entidad. </w:t>
      </w:r>
    </w:p>
    <w:p w:rsidR="7C368924" w:rsidP="005358E1" w:rsidRDefault="7C368924" w14:paraId="04D8FD06" w14:textId="77777777">
      <w:pPr>
        <w:spacing w:after="0" w:line="360" w:lineRule="auto"/>
        <w:jc w:val="both"/>
      </w:pPr>
      <w:r w:rsidRPr="11835F2D">
        <w:rPr>
          <w:rFonts w:ascii="Verdana" w:hAnsi="Verdana" w:eastAsia="Verdana" w:cs="Verdana"/>
          <w:sz w:val="24"/>
          <w:szCs w:val="24"/>
        </w:rPr>
        <w:t xml:space="preserve">  </w:t>
      </w:r>
    </w:p>
    <w:p w:rsidR="7C368924" w:rsidP="005358E1" w:rsidRDefault="7C368924" w14:paraId="136F94A4" w14:textId="77777777">
      <w:pPr>
        <w:spacing w:after="0" w:line="360" w:lineRule="auto"/>
        <w:jc w:val="both"/>
      </w:pPr>
      <w:r w:rsidRPr="11835F2D">
        <w:rPr>
          <w:rFonts w:ascii="Verdana" w:hAnsi="Verdana" w:eastAsia="Verdana" w:cs="Verdana"/>
          <w:sz w:val="24"/>
          <w:szCs w:val="24"/>
        </w:rPr>
        <w:t xml:space="preserve">De manera complementaria, el proyecto permitió implementar servicios digitales fundamentales para garantizar la validez jurídica de los documentos electrónicos, tales como firma digital, estampado cronológico y correo electrónico certificado, fortaleciendo así la autenticidad, integridad, trazabilidad y valor probatorio de los documentos electrónicos gestionados por el Ministerio. </w:t>
      </w:r>
    </w:p>
    <w:p w:rsidR="7C368924" w:rsidP="005358E1" w:rsidRDefault="7C368924" w14:paraId="3AA619AA" w14:textId="77777777">
      <w:pPr>
        <w:spacing w:after="0" w:line="360" w:lineRule="auto"/>
        <w:jc w:val="both"/>
      </w:pPr>
      <w:r w:rsidRPr="11835F2D">
        <w:rPr>
          <w:rFonts w:ascii="Verdana" w:hAnsi="Verdana" w:eastAsia="Verdana" w:cs="Verdana"/>
          <w:sz w:val="24"/>
          <w:szCs w:val="24"/>
        </w:rPr>
        <w:t xml:space="preserve">  </w:t>
      </w:r>
    </w:p>
    <w:p w:rsidR="7C368924" w:rsidP="005358E1" w:rsidRDefault="7C368924" w14:paraId="1133708B" w14:textId="77777777">
      <w:pPr>
        <w:spacing w:after="0" w:line="360" w:lineRule="auto"/>
        <w:jc w:val="both"/>
      </w:pPr>
      <w:r w:rsidRPr="11835F2D">
        <w:rPr>
          <w:rFonts w:ascii="Verdana" w:hAnsi="Verdana" w:eastAsia="Verdana" w:cs="Verdana"/>
          <w:sz w:val="24"/>
          <w:szCs w:val="24"/>
        </w:rPr>
        <w:t xml:space="preserve">Uno de los componentes más relevantes del proyecto estuvo orientado al fortalecimiento de competencias institucionales y a la apropiación tecnológica por parte de los usuarios. En este sentido, durante las vigencias comprendidas entre 2021 y 2026 se desarrollaron jornadas de capacitación presencial y virtual, cursos de formación, acompañamientos personalizados y atención permanente mediante mesa de ayuda. Como resultado de esta estrategia, se han capacitado más de 5.000 usuarios entre servidores públicos y contratistas del Ministerio, fortaleciendo sus capacidades frente al manejo adecuado de los documentos electrónicos de archivo y promoviendo el uso efectivo del sistema ARGO. </w:t>
      </w:r>
    </w:p>
    <w:p w:rsidR="7C368924" w:rsidP="005358E1" w:rsidRDefault="7C368924" w14:paraId="7D71398B" w14:textId="77777777">
      <w:pPr>
        <w:spacing w:after="0" w:line="360" w:lineRule="auto"/>
        <w:jc w:val="both"/>
      </w:pPr>
      <w:r w:rsidRPr="11835F2D">
        <w:rPr>
          <w:rFonts w:ascii="Verdana" w:hAnsi="Verdana" w:eastAsia="Verdana" w:cs="Verdana"/>
          <w:sz w:val="24"/>
          <w:szCs w:val="24"/>
        </w:rPr>
        <w:t xml:space="preserve">  </w:t>
      </w:r>
    </w:p>
    <w:p w:rsidR="7C368924" w:rsidP="005358E1" w:rsidRDefault="7C368924" w14:paraId="7BB97A69" w14:textId="77777777">
      <w:pPr>
        <w:spacing w:after="0" w:line="360" w:lineRule="auto"/>
        <w:jc w:val="both"/>
      </w:pPr>
      <w:r w:rsidRPr="11835F2D">
        <w:rPr>
          <w:rFonts w:ascii="Verdana" w:hAnsi="Verdana" w:eastAsia="Verdana" w:cs="Verdana"/>
          <w:sz w:val="24"/>
          <w:szCs w:val="24"/>
        </w:rPr>
        <w:t xml:space="preserve">Como parte del proceso de mejora continua de esta estrategia pedagógica, y a partir del análisis de las jornadas desarrolladas durante las vigencias 2021, 2022 y 2023, para el año 2024 se redefinió el modelo de formación, estableciendo grupos focalizados de usuarios de acuerdo con sus roles y necesidades específicas de información. Bajo este esquema, se estructuraron las siguientes líneas de capacitación: </w:t>
      </w:r>
    </w:p>
    <w:p w:rsidR="7C368924" w:rsidP="005358E1" w:rsidRDefault="7C368924" w14:paraId="159A0429" w14:textId="77777777">
      <w:pPr>
        <w:spacing w:after="0" w:line="360" w:lineRule="auto"/>
        <w:jc w:val="both"/>
      </w:pPr>
      <w:r w:rsidRPr="11835F2D">
        <w:rPr>
          <w:rFonts w:ascii="Verdana" w:hAnsi="Verdana" w:eastAsia="Verdana" w:cs="Verdana"/>
          <w:sz w:val="24"/>
          <w:szCs w:val="24"/>
        </w:rPr>
        <w:t xml:space="preserve">  </w:t>
      </w:r>
    </w:p>
    <w:p w:rsidR="7C368924" w:rsidP="00387379" w:rsidRDefault="59EDC940" w14:paraId="509E4FAB" w14:textId="799D63B7">
      <w:pPr>
        <w:spacing w:after="0" w:line="240" w:lineRule="auto"/>
        <w:jc w:val="center"/>
      </w:pPr>
      <w:r w:rsidRPr="180099B3">
        <w:rPr>
          <w:rFonts w:ascii="Verdana" w:hAnsi="Verdana" w:eastAsia="Verdana" w:cs="Verdana"/>
          <w:sz w:val="18"/>
          <w:szCs w:val="18"/>
        </w:rPr>
        <w:t xml:space="preserve">Tabla </w:t>
      </w:r>
      <w:r w:rsidRPr="180099B3">
        <w:rPr>
          <w:rFonts w:ascii="Verdana" w:hAnsi="Verdana" w:eastAsia="Verdana" w:cs="Verdana"/>
          <w:color w:val="000000" w:themeColor="text1"/>
          <w:sz w:val="18"/>
          <w:szCs w:val="18"/>
        </w:rPr>
        <w:t>No.</w:t>
      </w:r>
      <w:r w:rsidRPr="180099B3" w:rsidR="1C69C859">
        <w:rPr>
          <w:rFonts w:ascii="Verdana" w:hAnsi="Verdana" w:eastAsia="Verdana" w:cs="Verdana"/>
          <w:color w:val="000000" w:themeColor="text1"/>
          <w:sz w:val="18"/>
          <w:szCs w:val="18"/>
        </w:rPr>
        <w:t xml:space="preserve"> 7</w:t>
      </w:r>
      <w:r w:rsidR="00770ECF">
        <w:rPr>
          <w:rFonts w:ascii="Verdana" w:hAnsi="Verdana" w:eastAsia="Verdana" w:cs="Verdana"/>
          <w:color w:val="000000" w:themeColor="text1"/>
          <w:sz w:val="18"/>
          <w:szCs w:val="18"/>
        </w:rPr>
        <w:t>3</w:t>
      </w:r>
      <w:r w:rsidRPr="180099B3" w:rsidR="1C69C859">
        <w:rPr>
          <w:rFonts w:ascii="Verdana" w:hAnsi="Verdana" w:eastAsia="Verdana" w:cs="Verdana"/>
          <w:color w:val="000000" w:themeColor="text1"/>
          <w:sz w:val="18"/>
          <w:szCs w:val="18"/>
        </w:rPr>
        <w:t>.</w:t>
      </w:r>
      <w:r w:rsidRPr="180099B3">
        <w:rPr>
          <w:rFonts w:ascii="Verdana" w:hAnsi="Verdana" w:eastAsia="Verdana" w:cs="Verdana"/>
          <w:sz w:val="18"/>
          <w:szCs w:val="18"/>
        </w:rPr>
        <w:t xml:space="preserve"> Metodología grupos focalizados capacitación SGDEA</w:t>
      </w:r>
    </w:p>
    <w:tbl>
      <w:tblPr>
        <w:tblW w:w="5000" w:type="pct"/>
        <w:tblBorders>
          <w:top w:val="single" w:color="auto" w:sz="6" w:space="0"/>
          <w:left w:val="single" w:color="auto" w:sz="6" w:space="0"/>
          <w:bottom w:val="single" w:color="auto" w:sz="6" w:space="0"/>
          <w:right w:val="single" w:color="auto" w:sz="6" w:space="0"/>
        </w:tblBorders>
        <w:tblLook w:val="04A0" w:firstRow="1" w:lastRow="0" w:firstColumn="1" w:lastColumn="0" w:noHBand="0" w:noVBand="1"/>
      </w:tblPr>
      <w:tblGrid>
        <w:gridCol w:w="4418"/>
        <w:gridCol w:w="2564"/>
        <w:gridCol w:w="1836"/>
      </w:tblGrid>
      <w:tr w:rsidRPr="00387379" w:rsidR="11835F2D" w:rsidTr="180099B3" w14:paraId="694FE57D" w14:textId="77777777">
        <w:trPr>
          <w:trHeight w:val="285"/>
        </w:trPr>
        <w:tc>
          <w:tcPr>
            <w:tcW w:w="2505" w:type="pct"/>
            <w:tcBorders>
              <w:top w:val="single" w:color="auto" w:sz="8" w:space="0"/>
              <w:left w:val="single" w:color="auto" w:sz="8" w:space="0"/>
              <w:bottom w:val="single" w:color="auto" w:sz="8" w:space="0"/>
              <w:right w:val="single" w:color="auto" w:sz="8" w:space="0"/>
            </w:tcBorders>
            <w:shd w:val="clear" w:color="auto" w:fill="BFBFBF" w:themeFill="background1" w:themeFillShade="BF"/>
            <w:vAlign w:val="center"/>
          </w:tcPr>
          <w:p w:rsidRPr="00387379" w:rsidR="11835F2D" w:rsidP="00387379" w:rsidRDefault="11835F2D" w14:paraId="6463247E" w14:textId="77777777">
            <w:pPr>
              <w:spacing w:after="0" w:line="240" w:lineRule="auto"/>
              <w:jc w:val="center"/>
              <w:rPr>
                <w:b/>
                <w:bCs/>
              </w:rPr>
            </w:pPr>
            <w:r w:rsidRPr="00387379">
              <w:rPr>
                <w:rFonts w:ascii="Verdana" w:hAnsi="Verdana" w:eastAsia="Verdana" w:cs="Verdana"/>
                <w:b/>
                <w:bCs/>
                <w:color w:val="000000" w:themeColor="text1"/>
                <w:sz w:val="18"/>
                <w:szCs w:val="18"/>
              </w:rPr>
              <w:t>TIPO DE USUARIOS</w:t>
            </w:r>
          </w:p>
        </w:tc>
        <w:tc>
          <w:tcPr>
            <w:tcW w:w="1454" w:type="pct"/>
            <w:tcBorders>
              <w:top w:val="single" w:color="auto" w:sz="8" w:space="0"/>
              <w:left w:val="single" w:color="auto" w:sz="8" w:space="0"/>
              <w:bottom w:val="single" w:color="auto" w:sz="8" w:space="0"/>
              <w:right w:val="single" w:color="auto" w:sz="8" w:space="0"/>
            </w:tcBorders>
            <w:shd w:val="clear" w:color="auto" w:fill="BFBFBF" w:themeFill="background1" w:themeFillShade="BF"/>
            <w:vAlign w:val="center"/>
          </w:tcPr>
          <w:p w:rsidRPr="00387379" w:rsidR="11835F2D" w:rsidP="00387379" w:rsidRDefault="11835F2D" w14:paraId="4A7BD9A7" w14:textId="77777777">
            <w:pPr>
              <w:spacing w:after="0" w:line="240" w:lineRule="auto"/>
              <w:jc w:val="center"/>
              <w:rPr>
                <w:b/>
                <w:bCs/>
              </w:rPr>
            </w:pPr>
            <w:r w:rsidRPr="00387379">
              <w:rPr>
                <w:rFonts w:ascii="Verdana" w:hAnsi="Verdana" w:eastAsia="Verdana" w:cs="Verdana"/>
                <w:b/>
                <w:bCs/>
                <w:color w:val="000000" w:themeColor="text1"/>
                <w:sz w:val="18"/>
                <w:szCs w:val="18"/>
              </w:rPr>
              <w:t>TEMÁTICA REQUERIDA</w:t>
            </w:r>
          </w:p>
        </w:tc>
        <w:tc>
          <w:tcPr>
            <w:tcW w:w="1041" w:type="pct"/>
            <w:tcBorders>
              <w:top w:val="single" w:color="auto" w:sz="8" w:space="0"/>
              <w:left w:val="single" w:color="auto" w:sz="8" w:space="0"/>
              <w:bottom w:val="single" w:color="auto" w:sz="8" w:space="0"/>
              <w:right w:val="single" w:color="auto" w:sz="8" w:space="0"/>
            </w:tcBorders>
            <w:shd w:val="clear" w:color="auto" w:fill="BFBFBF" w:themeFill="background1" w:themeFillShade="BF"/>
            <w:vAlign w:val="center"/>
          </w:tcPr>
          <w:p w:rsidRPr="00387379" w:rsidR="11835F2D" w:rsidP="00387379" w:rsidRDefault="11835F2D" w14:paraId="0C59BA61" w14:textId="77777777">
            <w:pPr>
              <w:spacing w:after="0" w:line="240" w:lineRule="auto"/>
              <w:jc w:val="center"/>
              <w:rPr>
                <w:b/>
                <w:bCs/>
              </w:rPr>
            </w:pPr>
            <w:r w:rsidRPr="00387379">
              <w:rPr>
                <w:rFonts w:ascii="Verdana" w:hAnsi="Verdana" w:eastAsia="Verdana" w:cs="Verdana"/>
                <w:b/>
                <w:bCs/>
                <w:color w:val="000000" w:themeColor="text1"/>
                <w:sz w:val="18"/>
                <w:szCs w:val="18"/>
              </w:rPr>
              <w:t>NIVEL</w:t>
            </w:r>
          </w:p>
        </w:tc>
      </w:tr>
      <w:tr w:rsidR="11835F2D" w:rsidTr="180099B3" w14:paraId="70077346" w14:textId="77777777">
        <w:trPr>
          <w:trHeight w:val="285"/>
        </w:trPr>
        <w:tc>
          <w:tcPr>
            <w:tcW w:w="2505" w:type="pct"/>
            <w:tcBorders>
              <w:top w:val="single" w:color="auto" w:sz="8" w:space="0"/>
              <w:left w:val="single" w:color="auto" w:sz="8" w:space="0"/>
              <w:bottom w:val="single" w:color="auto" w:sz="8" w:space="0"/>
              <w:right w:val="single" w:color="auto" w:sz="8" w:space="0"/>
            </w:tcBorders>
            <w:vAlign w:val="center"/>
          </w:tcPr>
          <w:p w:rsidR="11835F2D" w:rsidP="00387379" w:rsidRDefault="11835F2D" w14:paraId="3923ECD7" w14:textId="77777777">
            <w:pPr>
              <w:spacing w:after="0" w:line="240" w:lineRule="auto"/>
              <w:jc w:val="both"/>
            </w:pPr>
            <w:r w:rsidRPr="11835F2D">
              <w:rPr>
                <w:rFonts w:ascii="Verdana" w:hAnsi="Verdana" w:eastAsia="Verdana" w:cs="Verdana"/>
                <w:sz w:val="18"/>
                <w:szCs w:val="18"/>
              </w:rPr>
              <w:t xml:space="preserve">Usuarios nuevos con necesidades informacionales básicas respecto al manejo de ARGO. </w:t>
            </w:r>
          </w:p>
        </w:tc>
        <w:tc>
          <w:tcPr>
            <w:tcW w:w="1454" w:type="pct"/>
            <w:tcBorders>
              <w:top w:val="single" w:color="auto" w:sz="8" w:space="0"/>
              <w:left w:val="single" w:color="auto" w:sz="8" w:space="0"/>
              <w:bottom w:val="single" w:color="auto" w:sz="8" w:space="0"/>
              <w:right w:val="single" w:color="auto" w:sz="8" w:space="0"/>
            </w:tcBorders>
            <w:vAlign w:val="center"/>
          </w:tcPr>
          <w:p w:rsidR="11835F2D" w:rsidP="00387379" w:rsidRDefault="11835F2D" w14:paraId="3241B452" w14:textId="77777777">
            <w:pPr>
              <w:spacing w:after="0" w:line="240" w:lineRule="auto"/>
              <w:jc w:val="both"/>
            </w:pPr>
            <w:r w:rsidRPr="11835F2D">
              <w:rPr>
                <w:rFonts w:ascii="Verdana" w:hAnsi="Verdana" w:eastAsia="Verdana" w:cs="Verdana"/>
                <w:sz w:val="18"/>
                <w:szCs w:val="18"/>
              </w:rPr>
              <w:t xml:space="preserve">Manejo básico de ARGO </w:t>
            </w:r>
          </w:p>
        </w:tc>
        <w:tc>
          <w:tcPr>
            <w:tcW w:w="1041" w:type="pct"/>
            <w:tcBorders>
              <w:top w:val="single" w:color="auto" w:sz="8" w:space="0"/>
              <w:left w:val="single" w:color="auto" w:sz="8" w:space="0"/>
              <w:bottom w:val="single" w:color="auto" w:sz="8" w:space="0"/>
              <w:right w:val="single" w:color="auto" w:sz="8" w:space="0"/>
            </w:tcBorders>
            <w:vAlign w:val="center"/>
          </w:tcPr>
          <w:p w:rsidR="11835F2D" w:rsidP="00387379" w:rsidRDefault="11835F2D" w14:paraId="1DAF7AD1" w14:textId="77777777">
            <w:pPr>
              <w:spacing w:after="0" w:line="240" w:lineRule="auto"/>
              <w:jc w:val="center"/>
            </w:pPr>
            <w:r w:rsidRPr="11835F2D">
              <w:rPr>
                <w:rFonts w:ascii="Verdana" w:hAnsi="Verdana" w:eastAsia="Verdana" w:cs="Verdana"/>
                <w:sz w:val="18"/>
                <w:szCs w:val="18"/>
              </w:rPr>
              <w:t>1</w:t>
            </w:r>
          </w:p>
        </w:tc>
      </w:tr>
      <w:tr w:rsidR="11835F2D" w:rsidTr="180099B3" w14:paraId="5122E3D6" w14:textId="77777777">
        <w:trPr>
          <w:trHeight w:val="285"/>
        </w:trPr>
        <w:tc>
          <w:tcPr>
            <w:tcW w:w="2505" w:type="pct"/>
            <w:tcBorders>
              <w:top w:val="single" w:color="auto" w:sz="8" w:space="0"/>
              <w:left w:val="single" w:color="auto" w:sz="8" w:space="0"/>
              <w:bottom w:val="single" w:color="auto" w:sz="8" w:space="0"/>
              <w:right w:val="single" w:color="auto" w:sz="8" w:space="0"/>
            </w:tcBorders>
            <w:vAlign w:val="center"/>
          </w:tcPr>
          <w:p w:rsidR="11835F2D" w:rsidP="00387379" w:rsidRDefault="11835F2D" w14:paraId="68DE2BFA" w14:textId="77777777">
            <w:pPr>
              <w:spacing w:after="0" w:line="240" w:lineRule="auto"/>
              <w:jc w:val="both"/>
            </w:pPr>
            <w:r w:rsidRPr="11835F2D">
              <w:rPr>
                <w:rFonts w:ascii="Verdana" w:hAnsi="Verdana" w:eastAsia="Verdana" w:cs="Verdana"/>
                <w:sz w:val="18"/>
                <w:szCs w:val="18"/>
              </w:rPr>
              <w:t xml:space="preserve">Usuarios con conocimiento básicos en el manejo de ARGO </w:t>
            </w:r>
          </w:p>
        </w:tc>
        <w:tc>
          <w:tcPr>
            <w:tcW w:w="1454" w:type="pct"/>
            <w:tcBorders>
              <w:top w:val="single" w:color="auto" w:sz="8" w:space="0"/>
              <w:left w:val="single" w:color="auto" w:sz="8" w:space="0"/>
              <w:bottom w:val="single" w:color="auto" w:sz="8" w:space="0"/>
              <w:right w:val="single" w:color="auto" w:sz="8" w:space="0"/>
            </w:tcBorders>
            <w:vAlign w:val="center"/>
          </w:tcPr>
          <w:p w:rsidR="11835F2D" w:rsidP="00387379" w:rsidRDefault="11835F2D" w14:paraId="2E4A1739" w14:textId="77777777">
            <w:pPr>
              <w:spacing w:after="0" w:line="240" w:lineRule="auto"/>
              <w:jc w:val="both"/>
            </w:pPr>
            <w:r w:rsidRPr="11835F2D">
              <w:rPr>
                <w:rFonts w:ascii="Verdana" w:hAnsi="Verdana" w:eastAsia="Verdana" w:cs="Verdana"/>
                <w:sz w:val="18"/>
                <w:szCs w:val="18"/>
              </w:rPr>
              <w:t xml:space="preserve">Funcionalidades avanzadas de ARGO </w:t>
            </w:r>
          </w:p>
        </w:tc>
        <w:tc>
          <w:tcPr>
            <w:tcW w:w="1041" w:type="pct"/>
            <w:tcBorders>
              <w:top w:val="single" w:color="auto" w:sz="8" w:space="0"/>
              <w:left w:val="single" w:color="auto" w:sz="8" w:space="0"/>
              <w:bottom w:val="single" w:color="auto" w:sz="8" w:space="0"/>
              <w:right w:val="single" w:color="auto" w:sz="8" w:space="0"/>
            </w:tcBorders>
            <w:vAlign w:val="center"/>
          </w:tcPr>
          <w:p w:rsidR="11835F2D" w:rsidP="00387379" w:rsidRDefault="11835F2D" w14:paraId="6B69B3C8" w14:textId="77777777">
            <w:pPr>
              <w:spacing w:after="0" w:line="240" w:lineRule="auto"/>
              <w:jc w:val="center"/>
            </w:pPr>
            <w:r w:rsidRPr="11835F2D">
              <w:rPr>
                <w:rFonts w:ascii="Verdana" w:hAnsi="Verdana" w:eastAsia="Verdana" w:cs="Verdana"/>
                <w:sz w:val="18"/>
                <w:szCs w:val="18"/>
              </w:rPr>
              <w:t>2</w:t>
            </w:r>
          </w:p>
        </w:tc>
      </w:tr>
      <w:tr w:rsidR="11835F2D" w:rsidTr="180099B3" w14:paraId="50AA6194" w14:textId="77777777">
        <w:trPr>
          <w:trHeight w:val="285"/>
        </w:trPr>
        <w:tc>
          <w:tcPr>
            <w:tcW w:w="2505" w:type="pct"/>
            <w:tcBorders>
              <w:top w:val="single" w:color="auto" w:sz="8" w:space="0"/>
              <w:left w:val="single" w:color="auto" w:sz="8" w:space="0"/>
              <w:bottom w:val="single" w:color="auto" w:sz="8" w:space="0"/>
              <w:right w:val="single" w:color="auto" w:sz="8" w:space="0"/>
            </w:tcBorders>
            <w:vAlign w:val="center"/>
          </w:tcPr>
          <w:p w:rsidR="11835F2D" w:rsidP="00387379" w:rsidRDefault="11835F2D" w14:paraId="428B5D09" w14:textId="77777777">
            <w:pPr>
              <w:spacing w:after="0" w:line="240" w:lineRule="auto"/>
              <w:jc w:val="both"/>
            </w:pPr>
            <w:r w:rsidRPr="11835F2D">
              <w:rPr>
                <w:rFonts w:ascii="Verdana" w:hAnsi="Verdana" w:eastAsia="Verdana" w:cs="Verdana"/>
                <w:sz w:val="18"/>
                <w:szCs w:val="18"/>
              </w:rPr>
              <w:t xml:space="preserve">Usuarios con rol de “Gestores” con conocimiento básico en el manejo de ARGO </w:t>
            </w:r>
          </w:p>
        </w:tc>
        <w:tc>
          <w:tcPr>
            <w:tcW w:w="1454" w:type="pct"/>
            <w:tcBorders>
              <w:top w:val="single" w:color="auto" w:sz="8" w:space="0"/>
              <w:left w:val="single" w:color="auto" w:sz="8" w:space="0"/>
              <w:bottom w:val="single" w:color="auto" w:sz="8" w:space="0"/>
              <w:right w:val="single" w:color="auto" w:sz="8" w:space="0"/>
            </w:tcBorders>
            <w:vAlign w:val="center"/>
          </w:tcPr>
          <w:p w:rsidR="11835F2D" w:rsidP="00387379" w:rsidRDefault="11835F2D" w14:paraId="777D095E" w14:textId="77777777">
            <w:pPr>
              <w:spacing w:after="0" w:line="240" w:lineRule="auto"/>
              <w:jc w:val="both"/>
            </w:pPr>
            <w:r w:rsidRPr="11835F2D">
              <w:rPr>
                <w:rFonts w:ascii="Verdana" w:hAnsi="Verdana" w:eastAsia="Verdana" w:cs="Verdana"/>
                <w:sz w:val="18"/>
                <w:szCs w:val="18"/>
              </w:rPr>
              <w:t xml:space="preserve">Gestores documentales </w:t>
            </w:r>
          </w:p>
        </w:tc>
        <w:tc>
          <w:tcPr>
            <w:tcW w:w="1041" w:type="pct"/>
            <w:tcBorders>
              <w:top w:val="single" w:color="auto" w:sz="8" w:space="0"/>
              <w:left w:val="single" w:color="auto" w:sz="8" w:space="0"/>
              <w:bottom w:val="single" w:color="auto" w:sz="8" w:space="0"/>
              <w:right w:val="single" w:color="auto" w:sz="8" w:space="0"/>
            </w:tcBorders>
            <w:vAlign w:val="center"/>
          </w:tcPr>
          <w:p w:rsidR="11835F2D" w:rsidP="00387379" w:rsidRDefault="11835F2D" w14:paraId="12DD58F5" w14:textId="77777777">
            <w:pPr>
              <w:spacing w:after="0" w:line="240" w:lineRule="auto"/>
              <w:jc w:val="center"/>
            </w:pPr>
            <w:r w:rsidRPr="11835F2D">
              <w:rPr>
                <w:rFonts w:ascii="Verdana" w:hAnsi="Verdana" w:eastAsia="Verdana" w:cs="Verdana"/>
                <w:sz w:val="18"/>
                <w:szCs w:val="18"/>
              </w:rPr>
              <w:t>3</w:t>
            </w:r>
          </w:p>
        </w:tc>
      </w:tr>
      <w:tr w:rsidR="11835F2D" w:rsidTr="180099B3" w14:paraId="4E6419B0" w14:textId="77777777">
        <w:trPr>
          <w:trHeight w:val="285"/>
        </w:trPr>
        <w:tc>
          <w:tcPr>
            <w:tcW w:w="2505" w:type="pct"/>
            <w:tcBorders>
              <w:top w:val="single" w:color="auto" w:sz="8" w:space="0"/>
              <w:left w:val="single" w:color="auto" w:sz="8" w:space="0"/>
              <w:bottom w:val="single" w:color="auto" w:sz="8" w:space="0"/>
              <w:right w:val="single" w:color="auto" w:sz="8" w:space="0"/>
            </w:tcBorders>
            <w:vAlign w:val="center"/>
          </w:tcPr>
          <w:p w:rsidR="11835F2D" w:rsidP="00387379" w:rsidRDefault="11835F2D" w14:paraId="336E5BE9" w14:textId="77777777">
            <w:pPr>
              <w:spacing w:after="0" w:line="240" w:lineRule="auto"/>
              <w:jc w:val="both"/>
            </w:pPr>
            <w:r w:rsidRPr="11835F2D">
              <w:rPr>
                <w:rFonts w:ascii="Verdana" w:hAnsi="Verdana" w:eastAsia="Verdana" w:cs="Verdana"/>
                <w:sz w:val="18"/>
                <w:szCs w:val="18"/>
              </w:rPr>
              <w:t xml:space="preserve">Usuarios con rol de jefes o coordinadores con conocimiento básico en el manejo de ARGO </w:t>
            </w:r>
          </w:p>
        </w:tc>
        <w:tc>
          <w:tcPr>
            <w:tcW w:w="1454" w:type="pct"/>
            <w:tcBorders>
              <w:top w:val="single" w:color="auto" w:sz="8" w:space="0"/>
              <w:left w:val="single" w:color="auto" w:sz="8" w:space="0"/>
              <w:bottom w:val="single" w:color="auto" w:sz="8" w:space="0"/>
              <w:right w:val="single" w:color="auto" w:sz="8" w:space="0"/>
            </w:tcBorders>
            <w:vAlign w:val="center"/>
          </w:tcPr>
          <w:p w:rsidR="11835F2D" w:rsidP="00387379" w:rsidRDefault="11835F2D" w14:paraId="2BC8B7C3" w14:textId="77777777">
            <w:pPr>
              <w:spacing w:after="0" w:line="240" w:lineRule="auto"/>
              <w:jc w:val="both"/>
            </w:pPr>
            <w:r w:rsidRPr="11835F2D">
              <w:rPr>
                <w:rFonts w:ascii="Verdana" w:hAnsi="Verdana" w:eastAsia="Verdana" w:cs="Verdana"/>
                <w:sz w:val="18"/>
                <w:szCs w:val="18"/>
              </w:rPr>
              <w:t xml:space="preserve">Gestión de aprobación y firma de comunicaciones en ARGO </w:t>
            </w:r>
          </w:p>
        </w:tc>
        <w:tc>
          <w:tcPr>
            <w:tcW w:w="1041" w:type="pct"/>
            <w:tcBorders>
              <w:top w:val="single" w:color="auto" w:sz="8" w:space="0"/>
              <w:left w:val="single" w:color="auto" w:sz="8" w:space="0"/>
              <w:bottom w:val="single" w:color="auto" w:sz="8" w:space="0"/>
              <w:right w:val="single" w:color="auto" w:sz="8" w:space="0"/>
            </w:tcBorders>
            <w:vAlign w:val="center"/>
          </w:tcPr>
          <w:p w:rsidR="11835F2D" w:rsidP="00387379" w:rsidRDefault="11835F2D" w14:paraId="4E3E7D92" w14:textId="77777777">
            <w:pPr>
              <w:spacing w:after="0" w:line="240" w:lineRule="auto"/>
              <w:jc w:val="center"/>
            </w:pPr>
            <w:r w:rsidRPr="11835F2D">
              <w:rPr>
                <w:rFonts w:ascii="Verdana" w:hAnsi="Verdana" w:eastAsia="Verdana" w:cs="Verdana"/>
                <w:sz w:val="18"/>
                <w:szCs w:val="18"/>
              </w:rPr>
              <w:t>Especializado</w:t>
            </w:r>
          </w:p>
        </w:tc>
      </w:tr>
      <w:tr w:rsidR="11835F2D" w:rsidTr="180099B3" w14:paraId="69B59613" w14:textId="77777777">
        <w:trPr>
          <w:trHeight w:val="285"/>
        </w:trPr>
        <w:tc>
          <w:tcPr>
            <w:tcW w:w="2505" w:type="pct"/>
            <w:tcBorders>
              <w:top w:val="single" w:color="auto" w:sz="8" w:space="0"/>
              <w:left w:val="single" w:color="auto" w:sz="8" w:space="0"/>
              <w:bottom w:val="single" w:color="auto" w:sz="8" w:space="0"/>
              <w:right w:val="single" w:color="auto" w:sz="8" w:space="0"/>
            </w:tcBorders>
            <w:vAlign w:val="center"/>
          </w:tcPr>
          <w:p w:rsidR="11835F2D" w:rsidP="00387379" w:rsidRDefault="11835F2D" w14:paraId="713A51FF" w14:textId="77777777">
            <w:pPr>
              <w:spacing w:after="0" w:line="240" w:lineRule="auto"/>
              <w:jc w:val="both"/>
            </w:pPr>
            <w:r w:rsidRPr="11835F2D">
              <w:rPr>
                <w:rFonts w:ascii="Verdana" w:hAnsi="Verdana" w:eastAsia="Verdana" w:cs="Verdana"/>
                <w:sz w:val="18"/>
                <w:szCs w:val="18"/>
              </w:rPr>
              <w:t xml:space="preserve">Usuarios generales y usuarios con rol de “Gestores” con conocimiento básicos en el manejo de ARGO. </w:t>
            </w:r>
          </w:p>
        </w:tc>
        <w:tc>
          <w:tcPr>
            <w:tcW w:w="1454" w:type="pct"/>
            <w:tcBorders>
              <w:top w:val="single" w:color="auto" w:sz="8" w:space="0"/>
              <w:left w:val="single" w:color="auto" w:sz="8" w:space="0"/>
              <w:bottom w:val="single" w:color="auto" w:sz="8" w:space="0"/>
              <w:right w:val="single" w:color="auto" w:sz="8" w:space="0"/>
            </w:tcBorders>
            <w:vAlign w:val="center"/>
          </w:tcPr>
          <w:p w:rsidR="11835F2D" w:rsidP="00387379" w:rsidRDefault="11835F2D" w14:paraId="65689467" w14:textId="77777777">
            <w:pPr>
              <w:spacing w:after="0" w:line="240" w:lineRule="auto"/>
              <w:jc w:val="both"/>
            </w:pPr>
            <w:r w:rsidRPr="11835F2D">
              <w:rPr>
                <w:rFonts w:ascii="Verdana" w:hAnsi="Verdana" w:eastAsia="Verdana" w:cs="Verdana"/>
                <w:sz w:val="18"/>
                <w:szCs w:val="18"/>
              </w:rPr>
              <w:t xml:space="preserve">Transferencias electrónicas </w:t>
            </w:r>
          </w:p>
        </w:tc>
        <w:tc>
          <w:tcPr>
            <w:tcW w:w="1041" w:type="pct"/>
            <w:tcBorders>
              <w:top w:val="single" w:color="auto" w:sz="8" w:space="0"/>
              <w:left w:val="single" w:color="auto" w:sz="8" w:space="0"/>
              <w:bottom w:val="single" w:color="auto" w:sz="8" w:space="0"/>
              <w:right w:val="single" w:color="auto" w:sz="8" w:space="0"/>
            </w:tcBorders>
            <w:vAlign w:val="center"/>
          </w:tcPr>
          <w:p w:rsidR="11835F2D" w:rsidP="00387379" w:rsidRDefault="11835F2D" w14:paraId="78121B7E" w14:textId="77777777">
            <w:pPr>
              <w:spacing w:after="0" w:line="240" w:lineRule="auto"/>
              <w:jc w:val="center"/>
            </w:pPr>
            <w:r w:rsidRPr="11835F2D">
              <w:rPr>
                <w:rFonts w:ascii="Verdana" w:hAnsi="Verdana" w:eastAsia="Verdana" w:cs="Verdana"/>
                <w:sz w:val="18"/>
                <w:szCs w:val="18"/>
              </w:rPr>
              <w:t>Especializado</w:t>
            </w:r>
          </w:p>
        </w:tc>
      </w:tr>
    </w:tbl>
    <w:p w:rsidR="7C368924" w:rsidP="00387379" w:rsidRDefault="59EDC940" w14:paraId="764B46EB" w14:textId="77777777">
      <w:pPr>
        <w:spacing w:after="0" w:line="240" w:lineRule="auto"/>
        <w:jc w:val="center"/>
      </w:pPr>
      <w:r w:rsidRPr="180099B3">
        <w:rPr>
          <w:rFonts w:ascii="Verdana" w:hAnsi="Verdana" w:eastAsia="Verdana" w:cs="Verdana"/>
          <w:sz w:val="18"/>
          <w:szCs w:val="18"/>
        </w:rPr>
        <w:t xml:space="preserve">Fuente: </w:t>
      </w:r>
      <w:r w:rsidRPr="180099B3" w:rsidR="46B2830B">
        <w:rPr>
          <w:rFonts w:ascii="Verdana" w:hAnsi="Verdana" w:eastAsia="Verdana" w:cs="Verdana"/>
          <w:sz w:val="18"/>
          <w:szCs w:val="18"/>
        </w:rPr>
        <w:t>Grupo de Relacionamiento con el Ciudadano</w:t>
      </w:r>
    </w:p>
    <w:p w:rsidR="7C368924" w:rsidP="005358E1" w:rsidRDefault="7C368924" w14:paraId="40EC946A" w14:textId="77777777">
      <w:pPr>
        <w:spacing w:after="0" w:line="360" w:lineRule="auto"/>
        <w:jc w:val="both"/>
      </w:pPr>
      <w:r w:rsidRPr="11835F2D">
        <w:rPr>
          <w:rFonts w:ascii="Verdana" w:hAnsi="Verdana" w:eastAsia="Verdana" w:cs="Verdana"/>
          <w:sz w:val="24"/>
          <w:szCs w:val="24"/>
        </w:rPr>
        <w:t xml:space="preserve"> </w:t>
      </w:r>
    </w:p>
    <w:p w:rsidRPr="00387379" w:rsidR="7C368924" w:rsidP="005358E1" w:rsidRDefault="59EDC940" w14:paraId="4F0687D7" w14:textId="77777777">
      <w:pPr>
        <w:spacing w:after="0" w:line="360" w:lineRule="auto"/>
        <w:jc w:val="both"/>
        <w:rPr>
          <w:rFonts w:ascii="Verdana" w:hAnsi="Verdana" w:eastAsia="Verdana" w:cs="Verdana"/>
          <w:sz w:val="24"/>
          <w:szCs w:val="24"/>
        </w:rPr>
      </w:pPr>
      <w:r w:rsidRPr="180099B3">
        <w:rPr>
          <w:rFonts w:ascii="Verdana" w:hAnsi="Verdana" w:eastAsia="Verdana" w:cs="Verdana"/>
          <w:sz w:val="24"/>
          <w:szCs w:val="24"/>
        </w:rPr>
        <w:t xml:space="preserve">Esta segmentación permitió fortalecer la apropiación funcional del sistema y responder de manera más precisa a las necesidades operativas de cada tipo de usuario.  </w:t>
      </w:r>
    </w:p>
    <w:p w:rsidR="180099B3" w:rsidP="005358E1" w:rsidRDefault="180099B3" w14:paraId="48961B12" w14:textId="77777777">
      <w:pPr>
        <w:spacing w:after="0" w:line="360" w:lineRule="auto"/>
        <w:jc w:val="both"/>
        <w:rPr>
          <w:rFonts w:ascii="Verdana" w:hAnsi="Verdana" w:eastAsia="Verdana" w:cs="Verdana"/>
          <w:sz w:val="24"/>
          <w:szCs w:val="24"/>
        </w:rPr>
      </w:pPr>
    </w:p>
    <w:p w:rsidR="7C368924" w:rsidP="005358E1" w:rsidRDefault="7C368924" w14:paraId="419964D2" w14:textId="77777777">
      <w:pPr>
        <w:spacing w:after="0" w:line="360" w:lineRule="auto"/>
        <w:jc w:val="both"/>
      </w:pPr>
      <w:r w:rsidRPr="11835F2D">
        <w:rPr>
          <w:rFonts w:ascii="Verdana" w:hAnsi="Verdana" w:eastAsia="Verdana" w:cs="Verdana"/>
          <w:sz w:val="24"/>
          <w:szCs w:val="24"/>
        </w:rPr>
        <w:t xml:space="preserve">En términos generales, durante el periodo de gobierno 2022–2026 el Ministerio de Minas y Energía logró consolidar las bases tecnológicas, funcionales y operativas necesarias para fortalecer su modelo de gestión documental electrónica, avanzar en la transformación digital de sus procesos documentales, reducir riesgos asociados a la pérdida de información, mejorar la trazabilidad documental y fortalecer el cumplimiento normativo en materia archivística, dejando capacidades instaladas para la sostenibilidad y evolución futura del sistema. </w:t>
      </w:r>
    </w:p>
    <w:p w:rsidR="005358E1" w:rsidP="005358E1" w:rsidRDefault="005358E1" w14:paraId="31DCC844" w14:textId="77777777">
      <w:pPr>
        <w:spacing w:after="0" w:line="360" w:lineRule="auto"/>
        <w:jc w:val="both"/>
        <w:rPr>
          <w:rFonts w:ascii="Verdana" w:hAnsi="Verdana" w:eastAsia="Verdana" w:cs="Verdana"/>
          <w:sz w:val="24"/>
          <w:szCs w:val="24"/>
        </w:rPr>
      </w:pPr>
    </w:p>
    <w:p w:rsidR="7C368924" w:rsidP="005358E1" w:rsidRDefault="59EDC940" w14:paraId="34BD999E" w14:textId="4FF62B02">
      <w:pPr>
        <w:spacing w:after="0" w:line="360" w:lineRule="auto"/>
        <w:jc w:val="both"/>
      </w:pPr>
      <w:r w:rsidRPr="180099B3">
        <w:rPr>
          <w:rFonts w:ascii="Verdana" w:hAnsi="Verdana" w:eastAsia="Verdana" w:cs="Verdana"/>
          <w:sz w:val="24"/>
          <w:szCs w:val="24"/>
        </w:rPr>
        <w:t xml:space="preserve">El Programa de Gestión Documental PGD, fue formulado y aprobado por el Comité Institucional de Gestión y Desempeño para las vigencias 2023-2026, como un instrumento archivístico fundamental para trazar la ruta de acción, en cada uno de los 8 procesos de la gestión documental, así como desarrollar los proyectos asociados para la mejora continua en la entidad. Por tanto, durante este periodo de tiempo se registran los siguientes logros por proceso: </w:t>
      </w:r>
    </w:p>
    <w:p w:rsidR="180099B3" w:rsidP="005358E1" w:rsidRDefault="180099B3" w14:paraId="68BB0741" w14:textId="77777777">
      <w:pPr>
        <w:spacing w:after="0" w:line="360" w:lineRule="auto"/>
        <w:jc w:val="both"/>
        <w:rPr>
          <w:rFonts w:ascii="Verdana" w:hAnsi="Verdana" w:eastAsia="Verdana" w:cs="Verdana"/>
          <w:sz w:val="24"/>
          <w:szCs w:val="24"/>
        </w:rPr>
      </w:pPr>
    </w:p>
    <w:p w:rsidR="7C368924" w:rsidP="005358E1" w:rsidRDefault="7C368924" w14:paraId="6A12460A" w14:textId="77777777">
      <w:pPr>
        <w:spacing w:after="0" w:line="360" w:lineRule="auto"/>
        <w:jc w:val="both"/>
      </w:pPr>
      <w:r w:rsidRPr="11835F2D">
        <w:rPr>
          <w:rFonts w:ascii="Verdana" w:hAnsi="Verdana" w:eastAsia="Verdana" w:cs="Verdana"/>
          <w:sz w:val="24"/>
          <w:szCs w:val="24"/>
        </w:rPr>
        <w:t>Proceso de Planeación</w:t>
      </w:r>
      <w:r w:rsidR="00387379">
        <w:rPr>
          <w:rFonts w:ascii="Verdana" w:hAnsi="Verdana" w:eastAsia="Verdana" w:cs="Verdana"/>
          <w:sz w:val="24"/>
          <w:szCs w:val="24"/>
        </w:rPr>
        <w:t>:</w:t>
      </w:r>
      <w:r w:rsidRPr="11835F2D">
        <w:rPr>
          <w:rFonts w:ascii="Verdana" w:hAnsi="Verdana" w:eastAsia="Verdana" w:cs="Verdana"/>
          <w:sz w:val="24"/>
          <w:szCs w:val="24"/>
        </w:rPr>
        <w:t xml:space="preserve"> </w:t>
      </w:r>
    </w:p>
    <w:p w:rsidR="7C368924" w:rsidRDefault="7C368924" w14:paraId="5A15F062" w14:textId="77777777">
      <w:pPr>
        <w:pStyle w:val="Prrafodelista"/>
        <w:numPr>
          <w:ilvl w:val="0"/>
          <w:numId w:val="21"/>
        </w:numPr>
        <w:spacing w:after="0" w:line="360" w:lineRule="auto"/>
        <w:ind w:left="1080"/>
        <w:jc w:val="both"/>
        <w:rPr>
          <w:rFonts w:ascii="Verdana" w:hAnsi="Verdana" w:eastAsia="Verdana" w:cs="Verdana"/>
          <w:sz w:val="24"/>
          <w:szCs w:val="24"/>
        </w:rPr>
      </w:pPr>
      <w:r w:rsidRPr="11835F2D">
        <w:rPr>
          <w:rFonts w:ascii="Verdana" w:hAnsi="Verdana" w:eastAsia="Verdana" w:cs="Verdana"/>
          <w:sz w:val="24"/>
          <w:szCs w:val="24"/>
        </w:rPr>
        <w:t xml:space="preserve">Se elaboraron, aprobaron y convalidaron ante el Archivo General de la Nación, las Tablas de Valoración Documental TVD del Ministerio de Minas y Energía  </w:t>
      </w:r>
    </w:p>
    <w:p w:rsidR="7C368924" w:rsidRDefault="7C368924" w14:paraId="16B3B805" w14:textId="77777777">
      <w:pPr>
        <w:pStyle w:val="Prrafodelista"/>
        <w:numPr>
          <w:ilvl w:val="0"/>
          <w:numId w:val="20"/>
        </w:numPr>
        <w:spacing w:after="0" w:line="360" w:lineRule="auto"/>
        <w:ind w:left="1080"/>
        <w:jc w:val="both"/>
        <w:rPr>
          <w:rFonts w:ascii="Verdana" w:hAnsi="Verdana" w:eastAsia="Verdana" w:cs="Verdana"/>
          <w:sz w:val="24"/>
          <w:szCs w:val="24"/>
        </w:rPr>
      </w:pPr>
      <w:r w:rsidRPr="11835F2D">
        <w:rPr>
          <w:rFonts w:ascii="Verdana" w:hAnsi="Verdana" w:eastAsia="Verdana" w:cs="Verdana"/>
          <w:sz w:val="24"/>
          <w:szCs w:val="24"/>
        </w:rPr>
        <w:t xml:space="preserve">Se actualizó la Política de Gestión Documental </w:t>
      </w:r>
    </w:p>
    <w:p w:rsidR="7C368924" w:rsidRDefault="7C368924" w14:paraId="07A7582F" w14:textId="77777777">
      <w:pPr>
        <w:pStyle w:val="Prrafodelista"/>
        <w:numPr>
          <w:ilvl w:val="0"/>
          <w:numId w:val="19"/>
        </w:numPr>
        <w:spacing w:after="0" w:line="360" w:lineRule="auto"/>
        <w:ind w:left="1080"/>
        <w:jc w:val="both"/>
        <w:rPr>
          <w:rFonts w:ascii="Verdana" w:hAnsi="Verdana" w:eastAsia="Verdana" w:cs="Verdana"/>
          <w:sz w:val="24"/>
          <w:szCs w:val="24"/>
        </w:rPr>
      </w:pPr>
      <w:r w:rsidRPr="11835F2D">
        <w:rPr>
          <w:rFonts w:ascii="Verdana" w:hAnsi="Verdana" w:eastAsia="Verdana" w:cs="Verdana"/>
          <w:sz w:val="24"/>
          <w:szCs w:val="24"/>
        </w:rPr>
        <w:t xml:space="preserve">Se efectuó el análisis y mejora de los procedimientos y documentos asociados al proceso de gestión documental. </w:t>
      </w:r>
    </w:p>
    <w:p w:rsidR="7C368924" w:rsidRDefault="7C368924" w14:paraId="39EEB7AD" w14:textId="77777777">
      <w:pPr>
        <w:pStyle w:val="Prrafodelista"/>
        <w:numPr>
          <w:ilvl w:val="0"/>
          <w:numId w:val="18"/>
        </w:numPr>
        <w:spacing w:after="0" w:line="360" w:lineRule="auto"/>
        <w:ind w:left="1080"/>
        <w:jc w:val="both"/>
        <w:rPr>
          <w:rFonts w:ascii="Verdana" w:hAnsi="Verdana" w:eastAsia="Verdana" w:cs="Verdana"/>
          <w:sz w:val="24"/>
          <w:szCs w:val="24"/>
        </w:rPr>
      </w:pPr>
      <w:r w:rsidRPr="11835F2D">
        <w:rPr>
          <w:rFonts w:ascii="Verdana" w:hAnsi="Verdana" w:eastAsia="Verdana" w:cs="Verdana"/>
          <w:sz w:val="24"/>
          <w:szCs w:val="24"/>
        </w:rPr>
        <w:t xml:space="preserve">Se elaboró y se efectuó seguimiento periódico a la matriz de riesgos asociados a gestión documental  </w:t>
      </w:r>
    </w:p>
    <w:p w:rsidR="7C368924" w:rsidRDefault="7C368924" w14:paraId="16092EF5" w14:textId="77777777">
      <w:pPr>
        <w:pStyle w:val="Prrafodelista"/>
        <w:numPr>
          <w:ilvl w:val="0"/>
          <w:numId w:val="17"/>
        </w:numPr>
        <w:spacing w:after="0" w:line="360" w:lineRule="auto"/>
        <w:ind w:left="1080"/>
        <w:jc w:val="both"/>
        <w:rPr>
          <w:rFonts w:ascii="Verdana" w:hAnsi="Verdana" w:eastAsia="Verdana" w:cs="Verdana"/>
          <w:sz w:val="24"/>
          <w:szCs w:val="24"/>
        </w:rPr>
      </w:pPr>
      <w:r w:rsidRPr="11835F2D">
        <w:rPr>
          <w:rFonts w:ascii="Verdana" w:hAnsi="Verdana" w:eastAsia="Verdana" w:cs="Verdana"/>
          <w:sz w:val="24"/>
          <w:szCs w:val="24"/>
        </w:rPr>
        <w:t xml:space="preserve">Se ha implementado de manera escalonada el Sistema de Gestión Documental – SGDEA ARGO. </w:t>
      </w:r>
    </w:p>
    <w:p w:rsidR="00387379" w:rsidP="005358E1" w:rsidRDefault="00387379" w14:paraId="795B2EF0" w14:textId="77777777">
      <w:pPr>
        <w:pStyle w:val="Prrafodelista"/>
        <w:spacing w:after="0" w:line="360" w:lineRule="auto"/>
        <w:ind w:left="1080"/>
        <w:jc w:val="both"/>
        <w:rPr>
          <w:rFonts w:ascii="Verdana" w:hAnsi="Verdana" w:eastAsia="Verdana" w:cs="Verdana"/>
          <w:sz w:val="24"/>
          <w:szCs w:val="24"/>
        </w:rPr>
      </w:pPr>
    </w:p>
    <w:p w:rsidR="7C368924" w:rsidP="005358E1" w:rsidRDefault="7C368924" w14:paraId="3A24A765" w14:textId="77777777">
      <w:pPr>
        <w:spacing w:after="0" w:line="360" w:lineRule="auto"/>
        <w:jc w:val="both"/>
      </w:pPr>
      <w:r w:rsidRPr="11835F2D">
        <w:rPr>
          <w:rFonts w:ascii="Verdana" w:hAnsi="Verdana" w:eastAsia="Verdana" w:cs="Verdana"/>
          <w:sz w:val="24"/>
          <w:szCs w:val="24"/>
        </w:rPr>
        <w:t xml:space="preserve">Proceso de Producción  </w:t>
      </w:r>
    </w:p>
    <w:p w:rsidR="7C368924" w:rsidRDefault="7C368924" w14:paraId="2B36B16C" w14:textId="77777777">
      <w:pPr>
        <w:pStyle w:val="Prrafodelista"/>
        <w:numPr>
          <w:ilvl w:val="0"/>
          <w:numId w:val="16"/>
        </w:numPr>
        <w:spacing w:after="0" w:line="360" w:lineRule="auto"/>
        <w:ind w:left="1080"/>
        <w:jc w:val="both"/>
        <w:rPr>
          <w:rFonts w:ascii="Verdana" w:hAnsi="Verdana" w:eastAsia="Verdana" w:cs="Verdana"/>
          <w:sz w:val="24"/>
          <w:szCs w:val="24"/>
        </w:rPr>
      </w:pPr>
      <w:r w:rsidRPr="11835F2D">
        <w:rPr>
          <w:rFonts w:ascii="Verdana" w:hAnsi="Verdana" w:eastAsia="Verdana" w:cs="Verdana"/>
          <w:sz w:val="24"/>
          <w:szCs w:val="24"/>
        </w:rPr>
        <w:t xml:space="preserve">Implementación de mecanismos de autenticación, tales como firma digital, electrónica, y estampado cronológico  </w:t>
      </w:r>
    </w:p>
    <w:p w:rsidR="7C368924" w:rsidRDefault="7C368924" w14:paraId="6C414D01" w14:textId="77777777">
      <w:pPr>
        <w:pStyle w:val="Prrafodelista"/>
        <w:numPr>
          <w:ilvl w:val="0"/>
          <w:numId w:val="15"/>
        </w:numPr>
        <w:spacing w:after="0" w:line="360" w:lineRule="auto"/>
        <w:ind w:left="1080"/>
        <w:jc w:val="both"/>
        <w:rPr>
          <w:rFonts w:ascii="Verdana" w:hAnsi="Verdana" w:eastAsia="Verdana" w:cs="Verdana"/>
          <w:sz w:val="24"/>
          <w:szCs w:val="24"/>
        </w:rPr>
      </w:pPr>
      <w:r w:rsidRPr="11835F2D">
        <w:rPr>
          <w:rFonts w:ascii="Verdana" w:hAnsi="Verdana" w:eastAsia="Verdana" w:cs="Verdana"/>
          <w:sz w:val="24"/>
          <w:szCs w:val="24"/>
        </w:rPr>
        <w:t xml:space="preserve">Se adelantó seguimiento periódico a la oportuna gestión de información en el SGDEA ARGO </w:t>
      </w:r>
    </w:p>
    <w:p w:rsidR="00387379" w:rsidP="005358E1" w:rsidRDefault="00387379" w14:paraId="2034183A" w14:textId="77777777">
      <w:pPr>
        <w:pStyle w:val="Prrafodelista"/>
        <w:spacing w:after="0" w:line="360" w:lineRule="auto"/>
        <w:ind w:left="1080"/>
        <w:jc w:val="both"/>
        <w:rPr>
          <w:rFonts w:ascii="Verdana" w:hAnsi="Verdana" w:eastAsia="Verdana" w:cs="Verdana"/>
          <w:sz w:val="24"/>
          <w:szCs w:val="24"/>
        </w:rPr>
      </w:pPr>
    </w:p>
    <w:p w:rsidR="7C368924" w:rsidP="005358E1" w:rsidRDefault="7C368924" w14:paraId="09921C1A" w14:textId="77777777">
      <w:pPr>
        <w:spacing w:after="0" w:line="360" w:lineRule="auto"/>
        <w:jc w:val="both"/>
      </w:pPr>
      <w:r w:rsidRPr="11835F2D">
        <w:rPr>
          <w:rFonts w:ascii="Verdana" w:hAnsi="Verdana" w:eastAsia="Verdana" w:cs="Verdana"/>
          <w:sz w:val="24"/>
          <w:szCs w:val="24"/>
        </w:rPr>
        <w:t xml:space="preserve">Proceso de Gestión y Trámite </w:t>
      </w:r>
    </w:p>
    <w:p w:rsidR="7C368924" w:rsidRDefault="7C368924" w14:paraId="454CB94F" w14:textId="77777777">
      <w:pPr>
        <w:pStyle w:val="Prrafodelista"/>
        <w:numPr>
          <w:ilvl w:val="0"/>
          <w:numId w:val="14"/>
        </w:numPr>
        <w:spacing w:after="0" w:line="360" w:lineRule="auto"/>
        <w:ind w:left="1080"/>
        <w:jc w:val="both"/>
        <w:rPr>
          <w:rFonts w:ascii="Verdana" w:hAnsi="Verdana" w:eastAsia="Verdana" w:cs="Verdana"/>
          <w:sz w:val="24"/>
          <w:szCs w:val="24"/>
        </w:rPr>
      </w:pPr>
      <w:r w:rsidRPr="11835F2D">
        <w:rPr>
          <w:rFonts w:ascii="Verdana" w:hAnsi="Verdana" w:eastAsia="Verdana" w:cs="Verdana"/>
          <w:sz w:val="24"/>
          <w:szCs w:val="24"/>
        </w:rPr>
        <w:t xml:space="preserve">Se actualizaron los lineamientos de las herramientas de descripción documental de la mano con el esquema de metadatos, teniendo en cuenta la información física, electrónica o híbrida. </w:t>
      </w:r>
    </w:p>
    <w:p w:rsidR="00387379" w:rsidP="005358E1" w:rsidRDefault="00387379" w14:paraId="2B6DD774" w14:textId="77777777">
      <w:pPr>
        <w:pStyle w:val="Prrafodelista"/>
        <w:spacing w:after="0" w:line="360" w:lineRule="auto"/>
        <w:ind w:left="1080"/>
        <w:jc w:val="both"/>
        <w:rPr>
          <w:rFonts w:ascii="Verdana" w:hAnsi="Verdana" w:eastAsia="Verdana" w:cs="Verdana"/>
          <w:sz w:val="24"/>
          <w:szCs w:val="24"/>
        </w:rPr>
      </w:pPr>
    </w:p>
    <w:p w:rsidR="7C368924" w:rsidP="005358E1" w:rsidRDefault="7C368924" w14:paraId="2FEF491F" w14:textId="77777777">
      <w:pPr>
        <w:spacing w:after="0" w:line="360" w:lineRule="auto"/>
        <w:jc w:val="both"/>
      </w:pPr>
      <w:r w:rsidRPr="11835F2D">
        <w:rPr>
          <w:rFonts w:ascii="Verdana" w:hAnsi="Verdana" w:eastAsia="Verdana" w:cs="Verdana"/>
          <w:sz w:val="24"/>
          <w:szCs w:val="24"/>
        </w:rPr>
        <w:t xml:space="preserve">Proceso de Organización </w:t>
      </w:r>
    </w:p>
    <w:p w:rsidR="7C368924" w:rsidRDefault="7C368924" w14:paraId="09D4E4C9" w14:textId="77777777">
      <w:pPr>
        <w:pStyle w:val="Prrafodelista"/>
        <w:numPr>
          <w:ilvl w:val="0"/>
          <w:numId w:val="13"/>
        </w:numPr>
        <w:spacing w:after="0" w:line="360" w:lineRule="auto"/>
        <w:ind w:left="1080"/>
        <w:jc w:val="both"/>
        <w:rPr>
          <w:rFonts w:ascii="Verdana" w:hAnsi="Verdana" w:eastAsia="Verdana" w:cs="Verdana"/>
          <w:sz w:val="24"/>
          <w:szCs w:val="24"/>
        </w:rPr>
      </w:pPr>
      <w:r w:rsidRPr="11835F2D">
        <w:rPr>
          <w:rFonts w:ascii="Verdana" w:hAnsi="Verdana" w:eastAsia="Verdana" w:cs="Verdana"/>
          <w:sz w:val="24"/>
          <w:szCs w:val="24"/>
        </w:rPr>
        <w:t xml:space="preserve">Se ha realizado la actualización, publicación, difusión y seguimiento de los instrumentos archivísticos. </w:t>
      </w:r>
    </w:p>
    <w:p w:rsidR="7C368924" w:rsidRDefault="7C368924" w14:paraId="4759A12D" w14:textId="77777777">
      <w:pPr>
        <w:pStyle w:val="Prrafodelista"/>
        <w:numPr>
          <w:ilvl w:val="0"/>
          <w:numId w:val="12"/>
        </w:numPr>
        <w:spacing w:after="0" w:line="360" w:lineRule="auto"/>
        <w:ind w:left="1080"/>
        <w:jc w:val="both"/>
        <w:rPr>
          <w:rFonts w:ascii="Verdana" w:hAnsi="Verdana" w:eastAsia="Verdana" w:cs="Verdana"/>
          <w:sz w:val="24"/>
          <w:szCs w:val="24"/>
        </w:rPr>
      </w:pPr>
      <w:r w:rsidRPr="11835F2D">
        <w:rPr>
          <w:rFonts w:ascii="Verdana" w:hAnsi="Verdana" w:eastAsia="Verdana" w:cs="Verdana"/>
          <w:sz w:val="24"/>
          <w:szCs w:val="24"/>
        </w:rPr>
        <w:t xml:space="preserve">Se ha definido e implementado periódicamente el cronograma de transferencias documentales </w:t>
      </w:r>
    </w:p>
    <w:p w:rsidR="00387379" w:rsidP="005358E1" w:rsidRDefault="00387379" w14:paraId="548910FD" w14:textId="77777777">
      <w:pPr>
        <w:pStyle w:val="Prrafodelista"/>
        <w:spacing w:after="0" w:line="360" w:lineRule="auto"/>
        <w:ind w:left="1080"/>
        <w:jc w:val="both"/>
        <w:rPr>
          <w:rFonts w:ascii="Verdana" w:hAnsi="Verdana" w:eastAsia="Verdana" w:cs="Verdana"/>
          <w:sz w:val="24"/>
          <w:szCs w:val="24"/>
        </w:rPr>
      </w:pPr>
    </w:p>
    <w:p w:rsidR="7C368924" w:rsidP="005358E1" w:rsidRDefault="7C368924" w14:paraId="295DAB5A" w14:textId="77777777">
      <w:pPr>
        <w:spacing w:after="0" w:line="360" w:lineRule="auto"/>
        <w:jc w:val="both"/>
      </w:pPr>
      <w:r w:rsidRPr="11835F2D">
        <w:rPr>
          <w:rFonts w:ascii="Verdana" w:hAnsi="Verdana" w:eastAsia="Verdana" w:cs="Verdana"/>
          <w:sz w:val="24"/>
          <w:szCs w:val="24"/>
        </w:rPr>
        <w:t xml:space="preserve">Proceso de Transferencia </w:t>
      </w:r>
    </w:p>
    <w:p w:rsidR="7C368924" w:rsidRDefault="7C368924" w14:paraId="098375B0" w14:textId="77777777">
      <w:pPr>
        <w:pStyle w:val="Prrafodelista"/>
        <w:numPr>
          <w:ilvl w:val="0"/>
          <w:numId w:val="11"/>
        </w:numPr>
        <w:spacing w:after="0" w:line="360" w:lineRule="auto"/>
        <w:ind w:left="1080"/>
        <w:jc w:val="both"/>
        <w:rPr>
          <w:rFonts w:ascii="Verdana" w:hAnsi="Verdana" w:eastAsia="Verdana" w:cs="Verdana"/>
          <w:sz w:val="24"/>
          <w:szCs w:val="24"/>
        </w:rPr>
      </w:pPr>
      <w:r w:rsidRPr="11835F2D">
        <w:rPr>
          <w:rFonts w:ascii="Verdana" w:hAnsi="Verdana" w:eastAsia="Verdana" w:cs="Verdana"/>
          <w:sz w:val="24"/>
          <w:szCs w:val="24"/>
        </w:rPr>
        <w:t xml:space="preserve">Se actualizó el Plan de Preservación Digital a largo plazo </w:t>
      </w:r>
    </w:p>
    <w:p w:rsidR="7C368924" w:rsidRDefault="7C368924" w14:paraId="13469A30" w14:textId="77777777">
      <w:pPr>
        <w:pStyle w:val="Prrafodelista"/>
        <w:numPr>
          <w:ilvl w:val="0"/>
          <w:numId w:val="10"/>
        </w:numPr>
        <w:spacing w:after="0" w:line="360" w:lineRule="auto"/>
        <w:ind w:left="1080"/>
        <w:jc w:val="both"/>
        <w:rPr>
          <w:rFonts w:ascii="Verdana" w:hAnsi="Verdana" w:eastAsia="Verdana" w:cs="Verdana"/>
          <w:sz w:val="24"/>
          <w:szCs w:val="24"/>
        </w:rPr>
      </w:pPr>
      <w:r w:rsidRPr="11835F2D">
        <w:rPr>
          <w:rFonts w:ascii="Verdana" w:hAnsi="Verdana" w:eastAsia="Verdana" w:cs="Verdana"/>
          <w:sz w:val="24"/>
          <w:szCs w:val="24"/>
        </w:rPr>
        <w:t xml:space="preserve">Se implementó y se efectuó seguimiento a cada uno de los programas del Sistema Integrado de Conservación - SIC </w:t>
      </w:r>
    </w:p>
    <w:p w:rsidR="7C368924" w:rsidRDefault="7C368924" w14:paraId="1695CE39" w14:textId="77777777">
      <w:pPr>
        <w:pStyle w:val="Prrafodelista"/>
        <w:numPr>
          <w:ilvl w:val="0"/>
          <w:numId w:val="9"/>
        </w:numPr>
        <w:spacing w:after="0" w:line="360" w:lineRule="auto"/>
        <w:ind w:left="1080"/>
        <w:jc w:val="both"/>
        <w:rPr>
          <w:rFonts w:ascii="Verdana" w:hAnsi="Verdana" w:eastAsia="Verdana" w:cs="Verdana"/>
          <w:sz w:val="24"/>
          <w:szCs w:val="24"/>
        </w:rPr>
      </w:pPr>
      <w:r w:rsidRPr="11835F2D">
        <w:rPr>
          <w:rFonts w:ascii="Verdana" w:hAnsi="Verdana" w:eastAsia="Verdana" w:cs="Verdana"/>
          <w:sz w:val="24"/>
          <w:szCs w:val="24"/>
        </w:rPr>
        <w:t xml:space="preserve">Se ha realizado la intervención documental de 37,75 metros lineales de archivo, correspondientes a selección documental, de acuerdo con los tiempos establecidos en los instrumentos archivísticos de la entidad. </w:t>
      </w:r>
    </w:p>
    <w:p w:rsidR="00387379" w:rsidP="005358E1" w:rsidRDefault="00387379" w14:paraId="0C152FAF" w14:textId="77777777">
      <w:pPr>
        <w:pStyle w:val="Prrafodelista"/>
        <w:spacing w:after="0" w:line="360" w:lineRule="auto"/>
        <w:ind w:left="1080"/>
        <w:jc w:val="both"/>
        <w:rPr>
          <w:rFonts w:ascii="Verdana" w:hAnsi="Verdana" w:eastAsia="Verdana" w:cs="Verdana"/>
          <w:sz w:val="24"/>
          <w:szCs w:val="24"/>
        </w:rPr>
      </w:pPr>
    </w:p>
    <w:p w:rsidR="7C368924" w:rsidP="005358E1" w:rsidRDefault="7C368924" w14:paraId="23D31149" w14:textId="77777777">
      <w:pPr>
        <w:spacing w:after="0" w:line="360" w:lineRule="auto"/>
        <w:jc w:val="both"/>
      </w:pPr>
      <w:r w:rsidRPr="11835F2D">
        <w:rPr>
          <w:rFonts w:ascii="Verdana" w:hAnsi="Verdana" w:eastAsia="Verdana" w:cs="Verdana"/>
          <w:sz w:val="24"/>
          <w:szCs w:val="24"/>
        </w:rPr>
        <w:t xml:space="preserve">Proceso Disposición de Documentos </w:t>
      </w:r>
    </w:p>
    <w:p w:rsidR="00387379" w:rsidRDefault="7C368924" w14:paraId="734AE6A6" w14:textId="77777777">
      <w:pPr>
        <w:pStyle w:val="Prrafodelista"/>
        <w:numPr>
          <w:ilvl w:val="0"/>
          <w:numId w:val="8"/>
        </w:numPr>
        <w:spacing w:after="0" w:line="360" w:lineRule="auto"/>
        <w:ind w:left="1080"/>
        <w:jc w:val="both"/>
        <w:rPr>
          <w:rFonts w:ascii="Verdana" w:hAnsi="Verdana" w:eastAsia="Verdana" w:cs="Verdana"/>
          <w:sz w:val="24"/>
          <w:szCs w:val="24"/>
        </w:rPr>
      </w:pPr>
      <w:r w:rsidRPr="11835F2D">
        <w:rPr>
          <w:rFonts w:ascii="Verdana" w:hAnsi="Verdana" w:eastAsia="Verdana" w:cs="Verdana"/>
          <w:sz w:val="24"/>
          <w:szCs w:val="24"/>
        </w:rPr>
        <w:t xml:space="preserve">Se ha realizado la intervención documental de 35,55 metros lineales de archivo, correspondientes a eliminación documental, los cuales serán publicados en la página web de la entidad con sus respectivas actas de eliminación e inventarios, previa aprobación por el Comité Institucional de Gestión y Desempeño. </w:t>
      </w:r>
    </w:p>
    <w:p w:rsidR="7C368924" w:rsidP="005358E1" w:rsidRDefault="7C368924" w14:paraId="1B7F52F0" w14:textId="77777777">
      <w:pPr>
        <w:pStyle w:val="Prrafodelista"/>
        <w:spacing w:after="0" w:line="360" w:lineRule="auto"/>
        <w:ind w:left="1080"/>
        <w:jc w:val="both"/>
        <w:rPr>
          <w:rFonts w:ascii="Verdana" w:hAnsi="Verdana" w:eastAsia="Verdana" w:cs="Verdana"/>
          <w:sz w:val="24"/>
          <w:szCs w:val="24"/>
        </w:rPr>
      </w:pPr>
      <w:r w:rsidRPr="11835F2D">
        <w:rPr>
          <w:rFonts w:ascii="Verdana" w:hAnsi="Verdana" w:eastAsia="Verdana" w:cs="Verdana"/>
          <w:sz w:val="24"/>
          <w:szCs w:val="24"/>
        </w:rPr>
        <w:t xml:space="preserve"> </w:t>
      </w:r>
    </w:p>
    <w:p w:rsidR="7C368924" w:rsidP="005358E1" w:rsidRDefault="7C368924" w14:paraId="7E9D7290" w14:textId="77777777">
      <w:pPr>
        <w:spacing w:after="0" w:line="360" w:lineRule="auto"/>
        <w:jc w:val="both"/>
      </w:pPr>
      <w:r w:rsidRPr="11835F2D">
        <w:rPr>
          <w:rFonts w:ascii="Verdana" w:hAnsi="Verdana" w:eastAsia="Verdana" w:cs="Verdana"/>
          <w:sz w:val="24"/>
          <w:szCs w:val="24"/>
        </w:rPr>
        <w:t xml:space="preserve">Proceso de Valoración Documental </w:t>
      </w:r>
    </w:p>
    <w:p w:rsidR="7C368924" w:rsidRDefault="7C368924" w14:paraId="7940F30C" w14:textId="77777777">
      <w:pPr>
        <w:pStyle w:val="Prrafodelista"/>
        <w:numPr>
          <w:ilvl w:val="0"/>
          <w:numId w:val="7"/>
        </w:numPr>
        <w:spacing w:after="0" w:line="360" w:lineRule="auto"/>
        <w:ind w:left="1080"/>
        <w:jc w:val="both"/>
        <w:rPr>
          <w:rFonts w:ascii="Verdana" w:hAnsi="Verdana" w:eastAsia="Verdana" w:cs="Verdana"/>
          <w:sz w:val="24"/>
          <w:szCs w:val="24"/>
        </w:rPr>
      </w:pPr>
      <w:r w:rsidRPr="11835F2D">
        <w:rPr>
          <w:rFonts w:ascii="Verdana" w:hAnsi="Verdana" w:eastAsia="Verdana" w:cs="Verdana"/>
          <w:sz w:val="24"/>
          <w:szCs w:val="24"/>
        </w:rPr>
        <w:t xml:space="preserve">Se adelantó el proceso de convalidación de las Tablas de Valoración Documental aprobadas por el Comité Institucional de Gestión y Desempeño. </w:t>
      </w:r>
    </w:p>
    <w:p w:rsidR="00387379" w:rsidP="005358E1" w:rsidRDefault="00387379" w14:paraId="4BB91390" w14:textId="77777777">
      <w:pPr>
        <w:pStyle w:val="Prrafodelista"/>
        <w:spacing w:after="0" w:line="360" w:lineRule="auto"/>
        <w:ind w:left="1080"/>
        <w:jc w:val="both"/>
        <w:rPr>
          <w:rFonts w:ascii="Verdana" w:hAnsi="Verdana" w:eastAsia="Verdana" w:cs="Verdana"/>
          <w:sz w:val="24"/>
          <w:szCs w:val="24"/>
        </w:rPr>
      </w:pPr>
    </w:p>
    <w:p w:rsidR="7C368924" w:rsidP="005358E1" w:rsidRDefault="7C368924" w14:paraId="16304D10" w14:textId="77777777">
      <w:pPr>
        <w:spacing w:after="0" w:line="360" w:lineRule="auto"/>
        <w:jc w:val="both"/>
      </w:pPr>
      <w:r w:rsidRPr="11835F2D">
        <w:rPr>
          <w:rFonts w:ascii="Verdana" w:hAnsi="Verdana" w:eastAsia="Verdana" w:cs="Verdana"/>
          <w:sz w:val="24"/>
          <w:szCs w:val="24"/>
        </w:rPr>
        <w:t xml:space="preserve">Adicionalmente, en cumplimiento del acuerdo 001 de 2024 del Archivo General de la Nación, se han adelantado las siguientes actividades: </w:t>
      </w:r>
    </w:p>
    <w:p w:rsidR="7C368924" w:rsidRDefault="7C368924" w14:paraId="560918CE" w14:textId="77777777">
      <w:pPr>
        <w:pStyle w:val="Prrafodelista"/>
        <w:numPr>
          <w:ilvl w:val="0"/>
          <w:numId w:val="6"/>
        </w:numPr>
        <w:spacing w:after="0" w:line="360" w:lineRule="auto"/>
        <w:ind w:left="1080"/>
        <w:jc w:val="both"/>
        <w:rPr>
          <w:rFonts w:ascii="Verdana" w:hAnsi="Verdana" w:eastAsia="Verdana" w:cs="Verdana"/>
          <w:sz w:val="24"/>
          <w:szCs w:val="24"/>
        </w:rPr>
      </w:pPr>
      <w:r w:rsidRPr="11835F2D">
        <w:rPr>
          <w:rFonts w:ascii="Verdana" w:hAnsi="Verdana" w:eastAsia="Verdana" w:cs="Verdana"/>
          <w:sz w:val="24"/>
          <w:szCs w:val="24"/>
        </w:rPr>
        <w:t xml:space="preserve">Elaboración del documento de Historia Institucional que contiene el análisis funcional desde un enfoque sociocultural, político y económico del origen, desarrollo y transformación de la entidad a lo largo de su historia. </w:t>
      </w:r>
    </w:p>
    <w:p w:rsidR="7C368924" w:rsidRDefault="7C368924" w14:paraId="3609874E" w14:textId="77777777">
      <w:pPr>
        <w:pStyle w:val="Prrafodelista"/>
        <w:numPr>
          <w:ilvl w:val="0"/>
          <w:numId w:val="5"/>
        </w:numPr>
        <w:spacing w:after="0" w:line="360" w:lineRule="auto"/>
        <w:ind w:left="1080"/>
        <w:jc w:val="both"/>
        <w:rPr>
          <w:rFonts w:ascii="Verdana" w:hAnsi="Verdana" w:eastAsia="Verdana" w:cs="Verdana"/>
          <w:sz w:val="24"/>
          <w:szCs w:val="24"/>
        </w:rPr>
      </w:pPr>
      <w:r w:rsidRPr="11835F2D">
        <w:rPr>
          <w:rFonts w:ascii="Verdana" w:hAnsi="Verdana" w:eastAsia="Verdana" w:cs="Verdana"/>
          <w:sz w:val="24"/>
          <w:szCs w:val="24"/>
        </w:rPr>
        <w:t xml:space="preserve">Actualización del Diagnóstico integral de la gestión documental y administración de archivos. </w:t>
      </w:r>
    </w:p>
    <w:p w:rsidR="00387379" w:rsidP="005358E1" w:rsidRDefault="00387379" w14:paraId="26988777" w14:textId="77777777">
      <w:pPr>
        <w:spacing w:after="0" w:line="360" w:lineRule="auto"/>
        <w:jc w:val="both"/>
        <w:rPr>
          <w:rFonts w:ascii="Verdana" w:hAnsi="Verdana" w:eastAsia="Verdana" w:cs="Verdana"/>
          <w:sz w:val="24"/>
          <w:szCs w:val="24"/>
        </w:rPr>
      </w:pPr>
    </w:p>
    <w:p w:rsidR="7C368924" w:rsidP="005358E1" w:rsidRDefault="7C368924" w14:paraId="4491A8B0" w14:textId="77777777">
      <w:pPr>
        <w:spacing w:after="0" w:line="360" w:lineRule="auto"/>
        <w:jc w:val="both"/>
        <w:rPr>
          <w:rFonts w:ascii="Verdana" w:hAnsi="Verdana" w:eastAsia="Verdana" w:cs="Verdana"/>
          <w:sz w:val="24"/>
          <w:szCs w:val="24"/>
        </w:rPr>
      </w:pPr>
      <w:r w:rsidRPr="11835F2D">
        <w:rPr>
          <w:rFonts w:ascii="Verdana" w:hAnsi="Verdana" w:eastAsia="Verdana" w:cs="Verdana"/>
          <w:sz w:val="24"/>
          <w:szCs w:val="24"/>
        </w:rPr>
        <w:t xml:space="preserve">Elaboración del anexo técnico para la contratación de servicios profesionales en gestión documental, que contempla la actualización de instrumentos archivísticos, incluyendo el Programa de Gestión Documental y el Plan Institucional de Archivos PINAR, para las vigencias </w:t>
      </w:r>
      <w:r w:rsidRPr="11835F2D">
        <w:rPr>
          <w:rFonts w:ascii="Verdana" w:hAnsi="Verdana" w:eastAsia="Verdana" w:cs="Verdana"/>
          <w:sz w:val="24"/>
          <w:szCs w:val="24"/>
        </w:rPr>
        <w:t xml:space="preserve">2027 a 2030. Así como, la implementación del Sistema Integrado de Conservación. </w:t>
      </w:r>
    </w:p>
    <w:p w:rsidR="00387379" w:rsidP="005358E1" w:rsidRDefault="00387379" w14:paraId="23013437" w14:textId="77777777">
      <w:pPr>
        <w:spacing w:after="0" w:line="360" w:lineRule="auto"/>
        <w:jc w:val="both"/>
      </w:pPr>
    </w:p>
    <w:p w:rsidRPr="00387379" w:rsidR="00387379" w:rsidRDefault="00387379" w14:paraId="003CF861" w14:textId="77777777">
      <w:pPr>
        <w:pStyle w:val="Prrafodelista"/>
        <w:numPr>
          <w:ilvl w:val="1"/>
          <w:numId w:val="95"/>
        </w:numPr>
        <w:spacing w:after="0" w:line="360" w:lineRule="auto"/>
        <w:jc w:val="both"/>
        <w:outlineLvl w:val="1"/>
        <w:rPr>
          <w:rFonts w:ascii="Verdana" w:hAnsi="Verdana" w:eastAsia="Verdana" w:cs="Verdana"/>
          <w:sz w:val="24"/>
          <w:szCs w:val="24"/>
        </w:rPr>
      </w:pPr>
      <w:bookmarkStart w:name="_Toc233996760" w:id="43"/>
      <w:r w:rsidRPr="00387379">
        <w:rPr>
          <w:rFonts w:ascii="Verdana" w:hAnsi="Verdana"/>
          <w:b/>
          <w:bCs/>
          <w:sz w:val="24"/>
          <w:szCs w:val="24"/>
        </w:rPr>
        <w:t>Avances y beneficios de los instrumentos archivísticos</w:t>
      </w:r>
      <w:bookmarkEnd w:id="43"/>
    </w:p>
    <w:p w:rsidRPr="00387379" w:rsidR="00387379" w:rsidP="005358E1" w:rsidRDefault="00387379" w14:paraId="3E113EE9" w14:textId="77777777">
      <w:pPr>
        <w:pStyle w:val="Prrafodelista"/>
        <w:spacing w:after="0" w:line="360" w:lineRule="auto"/>
        <w:ind w:left="1080"/>
        <w:jc w:val="both"/>
        <w:rPr>
          <w:rFonts w:ascii="Verdana" w:hAnsi="Verdana" w:eastAsia="Verdana" w:cs="Verdana"/>
          <w:sz w:val="24"/>
          <w:szCs w:val="24"/>
        </w:rPr>
      </w:pPr>
      <w:r w:rsidRPr="00387379">
        <w:rPr>
          <w:rFonts w:ascii="Verdana" w:hAnsi="Verdana" w:eastAsia="Verdana" w:cs="Verdana"/>
          <w:sz w:val="24"/>
          <w:szCs w:val="24"/>
        </w:rPr>
        <w:t xml:space="preserve"> </w:t>
      </w:r>
    </w:p>
    <w:p w:rsidR="7C368924" w:rsidP="005358E1" w:rsidRDefault="59EDC940" w14:paraId="36A747CA" w14:textId="77777777">
      <w:pPr>
        <w:spacing w:after="0" w:line="360" w:lineRule="auto"/>
        <w:jc w:val="both"/>
      </w:pPr>
      <w:r w:rsidRPr="180099B3">
        <w:rPr>
          <w:rFonts w:ascii="Verdana" w:hAnsi="Verdana" w:eastAsia="Verdana" w:cs="Verdana"/>
          <w:sz w:val="24"/>
          <w:szCs w:val="24"/>
        </w:rPr>
        <w:t xml:space="preserve">En lo que respecta a los instrumentos archivísticos, la entidad logró avanzar en dos frentes, el primero relacionado con Tablas de Valoración Documental de fondos recibidos de entidades liquidadas, así como las correspondientes al fondo del Ministerio de Minas y Energía, mientras que el segundo, se enmarca en la actualización de las Tablas de Retención Documental de la entidad, de conformidad con los cambios presentados tanto en la estructura orgánica, como en las funciones propias del Ministerio.  </w:t>
      </w:r>
    </w:p>
    <w:p w:rsidR="180099B3" w:rsidP="005358E1" w:rsidRDefault="180099B3" w14:paraId="4A79DBC3" w14:textId="77777777">
      <w:pPr>
        <w:spacing w:after="0" w:line="360" w:lineRule="auto"/>
        <w:jc w:val="both"/>
        <w:rPr>
          <w:rFonts w:ascii="Verdana" w:hAnsi="Verdana" w:eastAsia="Verdana" w:cs="Verdana"/>
          <w:sz w:val="24"/>
          <w:szCs w:val="24"/>
        </w:rPr>
      </w:pPr>
    </w:p>
    <w:p w:rsidRPr="00D94015" w:rsidR="7C368924" w:rsidP="005358E1" w:rsidRDefault="7C368924" w14:paraId="3FF09757" w14:textId="77777777">
      <w:pPr>
        <w:spacing w:after="0" w:line="360" w:lineRule="auto"/>
        <w:jc w:val="both"/>
        <w:rPr>
          <w:b/>
          <w:bCs/>
        </w:rPr>
      </w:pPr>
      <w:r w:rsidRPr="00D94015">
        <w:rPr>
          <w:rFonts w:ascii="Verdana" w:hAnsi="Verdana" w:eastAsia="Verdana" w:cs="Verdana"/>
          <w:b/>
          <w:bCs/>
          <w:sz w:val="24"/>
          <w:szCs w:val="24"/>
        </w:rPr>
        <w:t xml:space="preserve">Tablas de Valoración Documental </w:t>
      </w:r>
    </w:p>
    <w:p w:rsidR="00D94015" w:rsidP="005358E1" w:rsidRDefault="00D94015" w14:paraId="286C58B9" w14:textId="77777777">
      <w:pPr>
        <w:spacing w:after="0" w:line="360" w:lineRule="auto"/>
        <w:jc w:val="both"/>
        <w:rPr>
          <w:rFonts w:ascii="Verdana" w:hAnsi="Verdana" w:eastAsia="Verdana" w:cs="Verdana"/>
          <w:sz w:val="24"/>
          <w:szCs w:val="24"/>
        </w:rPr>
      </w:pPr>
    </w:p>
    <w:p w:rsidR="7C368924" w:rsidP="005358E1" w:rsidRDefault="7C368924" w14:paraId="0BEAB3BC" w14:textId="6A17A6F1">
      <w:pPr>
        <w:spacing w:after="0" w:line="360" w:lineRule="auto"/>
        <w:jc w:val="both"/>
      </w:pPr>
      <w:r w:rsidRPr="11835F2D">
        <w:rPr>
          <w:rFonts w:ascii="Verdana" w:hAnsi="Verdana" w:eastAsia="Verdana" w:cs="Verdana"/>
          <w:sz w:val="24"/>
          <w:szCs w:val="24"/>
        </w:rPr>
        <w:t xml:space="preserve">Se elaboraron, aprobaron y presentaron ante el Archivo General de la Nación, las Tablas de Valoración Documental, correspondientes a dos fondos documentales, previo cumplimiento de todos los requisitos técnicos establecidos en la normatividad archivística vigente: </w:t>
      </w:r>
    </w:p>
    <w:p w:rsidR="7C368924" w:rsidP="005358E1" w:rsidRDefault="7C368924" w14:paraId="45FDDF94" w14:textId="77777777">
      <w:pPr>
        <w:pStyle w:val="Prrafodelista"/>
        <w:numPr>
          <w:ilvl w:val="0"/>
          <w:numId w:val="4"/>
        </w:numPr>
        <w:spacing w:after="0" w:line="360" w:lineRule="auto"/>
        <w:ind w:left="1440"/>
        <w:jc w:val="both"/>
        <w:rPr>
          <w:rFonts w:ascii="Verdana" w:hAnsi="Verdana" w:eastAsia="Verdana" w:cs="Verdana"/>
          <w:sz w:val="24"/>
          <w:szCs w:val="24"/>
        </w:rPr>
      </w:pPr>
      <w:r w:rsidRPr="11835F2D">
        <w:rPr>
          <w:rFonts w:ascii="Verdana" w:hAnsi="Verdana" w:eastAsia="Verdana" w:cs="Verdana"/>
          <w:sz w:val="24"/>
          <w:szCs w:val="24"/>
        </w:rPr>
        <w:t xml:space="preserve">Ministerio de Minas y Energía </w:t>
      </w:r>
    </w:p>
    <w:p w:rsidR="7C368924" w:rsidP="005358E1" w:rsidRDefault="59EDC940" w14:paraId="37771805" w14:textId="77777777">
      <w:pPr>
        <w:pStyle w:val="Prrafodelista"/>
        <w:numPr>
          <w:ilvl w:val="0"/>
          <w:numId w:val="3"/>
        </w:numPr>
        <w:spacing w:after="0" w:line="360" w:lineRule="auto"/>
        <w:ind w:left="1440"/>
        <w:jc w:val="both"/>
        <w:rPr>
          <w:rFonts w:ascii="Verdana" w:hAnsi="Verdana" w:eastAsia="Verdana" w:cs="Verdana"/>
          <w:sz w:val="24"/>
          <w:szCs w:val="24"/>
        </w:rPr>
      </w:pPr>
      <w:r w:rsidRPr="180099B3">
        <w:rPr>
          <w:rFonts w:ascii="Verdana" w:hAnsi="Verdana" w:eastAsia="Verdana" w:cs="Verdana"/>
          <w:sz w:val="24"/>
          <w:szCs w:val="24"/>
        </w:rPr>
        <w:t xml:space="preserve">Compañía Electrificadora de Bolívar S.A Coletribor </w:t>
      </w:r>
    </w:p>
    <w:p w:rsidR="180099B3" w:rsidP="005358E1" w:rsidRDefault="180099B3" w14:paraId="6EE136D4" w14:textId="77777777">
      <w:pPr>
        <w:spacing w:after="0" w:line="360" w:lineRule="auto"/>
        <w:jc w:val="both"/>
        <w:rPr>
          <w:rFonts w:ascii="Verdana" w:hAnsi="Verdana" w:eastAsia="Verdana" w:cs="Verdana"/>
          <w:sz w:val="24"/>
          <w:szCs w:val="24"/>
        </w:rPr>
      </w:pPr>
    </w:p>
    <w:p w:rsidR="7C368924" w:rsidP="005358E1" w:rsidRDefault="59EDC940" w14:paraId="51015A00" w14:textId="77777777">
      <w:pPr>
        <w:spacing w:after="0" w:line="360" w:lineRule="auto"/>
        <w:jc w:val="both"/>
      </w:pPr>
      <w:r w:rsidRPr="180099B3">
        <w:rPr>
          <w:rFonts w:ascii="Verdana" w:hAnsi="Verdana" w:eastAsia="Verdana" w:cs="Verdana"/>
          <w:sz w:val="24"/>
          <w:szCs w:val="24"/>
        </w:rPr>
        <w:t xml:space="preserve">Como resultado, dichos instrumentos fueron convalidados por el Archivo General de la Nación, para su respectiva aplicación en la organización de los documentos de archivo que conforman los mencionados fondos. </w:t>
      </w:r>
    </w:p>
    <w:p w:rsidR="180099B3" w:rsidP="005358E1" w:rsidRDefault="180099B3" w14:paraId="3BE69CEC" w14:textId="77777777">
      <w:pPr>
        <w:spacing w:after="0" w:line="360" w:lineRule="auto"/>
        <w:jc w:val="both"/>
        <w:rPr>
          <w:rFonts w:ascii="Verdana" w:hAnsi="Verdana" w:eastAsia="Verdana" w:cs="Verdana"/>
          <w:sz w:val="24"/>
          <w:szCs w:val="24"/>
        </w:rPr>
      </w:pPr>
    </w:p>
    <w:p w:rsidR="7C368924" w:rsidP="005358E1" w:rsidRDefault="7C368924" w14:paraId="191EEB4B" w14:textId="77777777">
      <w:pPr>
        <w:spacing w:after="0" w:line="360" w:lineRule="auto"/>
        <w:jc w:val="both"/>
      </w:pPr>
      <w:r w:rsidRPr="11835F2D">
        <w:rPr>
          <w:rFonts w:ascii="Verdana" w:hAnsi="Verdana" w:eastAsia="Verdana" w:cs="Verdana"/>
          <w:sz w:val="24"/>
          <w:szCs w:val="24"/>
        </w:rPr>
        <w:t xml:space="preserve">Adicionalmente, se logró avanzar en la elaboración de las Tablas de Valoración Documental, de los fondos documentales de las siguientes entidades liquidadas: </w:t>
      </w:r>
    </w:p>
    <w:p w:rsidR="7C368924" w:rsidP="005358E1" w:rsidRDefault="7C368924" w14:paraId="523562C1" w14:textId="77777777">
      <w:pPr>
        <w:pStyle w:val="Prrafodelista"/>
        <w:numPr>
          <w:ilvl w:val="0"/>
          <w:numId w:val="2"/>
        </w:numPr>
        <w:spacing w:after="0" w:line="360" w:lineRule="auto"/>
        <w:ind w:left="1080"/>
        <w:jc w:val="both"/>
        <w:rPr>
          <w:rFonts w:ascii="Verdana" w:hAnsi="Verdana" w:eastAsia="Verdana" w:cs="Verdana"/>
          <w:sz w:val="24"/>
          <w:szCs w:val="24"/>
        </w:rPr>
      </w:pPr>
      <w:r w:rsidRPr="11835F2D">
        <w:rPr>
          <w:rFonts w:ascii="Verdana" w:hAnsi="Verdana" w:eastAsia="Verdana" w:cs="Verdana"/>
          <w:sz w:val="24"/>
          <w:szCs w:val="24"/>
        </w:rPr>
        <w:t>Electrificadora del Chocó S.A</w:t>
      </w:r>
      <w:r w:rsidR="00387379">
        <w:rPr>
          <w:rFonts w:ascii="Verdana" w:hAnsi="Verdana" w:eastAsia="Verdana" w:cs="Verdana"/>
          <w:sz w:val="24"/>
          <w:szCs w:val="24"/>
        </w:rPr>
        <w:t>.</w:t>
      </w:r>
      <w:r w:rsidRPr="11835F2D">
        <w:rPr>
          <w:rFonts w:ascii="Verdana" w:hAnsi="Verdana" w:eastAsia="Verdana" w:cs="Verdana"/>
          <w:sz w:val="24"/>
          <w:szCs w:val="24"/>
        </w:rPr>
        <w:t xml:space="preserve"> E.S.P</w:t>
      </w:r>
      <w:r w:rsidR="00387379">
        <w:rPr>
          <w:rFonts w:ascii="Verdana" w:hAnsi="Verdana" w:eastAsia="Verdana" w:cs="Verdana"/>
          <w:sz w:val="24"/>
          <w:szCs w:val="24"/>
        </w:rPr>
        <w:t>.</w:t>
      </w:r>
      <w:r w:rsidRPr="11835F2D">
        <w:rPr>
          <w:rFonts w:ascii="Verdana" w:hAnsi="Verdana" w:eastAsia="Verdana" w:cs="Verdana"/>
          <w:sz w:val="24"/>
          <w:szCs w:val="24"/>
        </w:rPr>
        <w:t xml:space="preserve">  </w:t>
      </w:r>
    </w:p>
    <w:p w:rsidR="7C368924" w:rsidP="005358E1" w:rsidRDefault="7C368924" w14:paraId="651A5D07" w14:textId="77777777">
      <w:pPr>
        <w:pStyle w:val="Prrafodelista"/>
        <w:numPr>
          <w:ilvl w:val="0"/>
          <w:numId w:val="1"/>
        </w:numPr>
        <w:spacing w:after="0" w:line="360" w:lineRule="auto"/>
        <w:ind w:left="1080"/>
        <w:jc w:val="both"/>
        <w:rPr>
          <w:rFonts w:ascii="Verdana" w:hAnsi="Verdana" w:eastAsia="Verdana" w:cs="Verdana"/>
          <w:sz w:val="24"/>
          <w:szCs w:val="24"/>
        </w:rPr>
      </w:pPr>
      <w:r w:rsidRPr="11835F2D">
        <w:rPr>
          <w:rFonts w:ascii="Verdana" w:hAnsi="Verdana" w:eastAsia="Verdana" w:cs="Verdana"/>
          <w:sz w:val="24"/>
          <w:szCs w:val="24"/>
        </w:rPr>
        <w:t xml:space="preserve">Electrificadora de Cesar </w:t>
      </w:r>
      <w:r w:rsidR="00387379">
        <w:rPr>
          <w:rFonts w:ascii="Verdana" w:hAnsi="Verdana" w:eastAsia="Verdana" w:cs="Verdana"/>
          <w:sz w:val="24"/>
          <w:szCs w:val="24"/>
        </w:rPr>
        <w:t>S</w:t>
      </w:r>
      <w:r w:rsidRPr="11835F2D">
        <w:rPr>
          <w:rFonts w:ascii="Verdana" w:hAnsi="Verdana" w:eastAsia="Verdana" w:cs="Verdana"/>
          <w:sz w:val="24"/>
          <w:szCs w:val="24"/>
        </w:rPr>
        <w:t>.A</w:t>
      </w:r>
      <w:r w:rsidR="00387379">
        <w:rPr>
          <w:rFonts w:ascii="Verdana" w:hAnsi="Verdana" w:eastAsia="Verdana" w:cs="Verdana"/>
          <w:sz w:val="24"/>
          <w:szCs w:val="24"/>
        </w:rPr>
        <w:t>.</w:t>
      </w:r>
      <w:r w:rsidRPr="11835F2D">
        <w:rPr>
          <w:rFonts w:ascii="Verdana" w:hAnsi="Verdana" w:eastAsia="Verdana" w:cs="Verdana"/>
          <w:sz w:val="24"/>
          <w:szCs w:val="24"/>
        </w:rPr>
        <w:t xml:space="preserve"> E.S.P</w:t>
      </w:r>
      <w:r w:rsidR="00387379">
        <w:rPr>
          <w:rFonts w:ascii="Verdana" w:hAnsi="Verdana" w:eastAsia="Verdana" w:cs="Verdana"/>
          <w:sz w:val="24"/>
          <w:szCs w:val="24"/>
        </w:rPr>
        <w:t>.</w:t>
      </w:r>
      <w:r w:rsidRPr="11835F2D">
        <w:rPr>
          <w:rFonts w:ascii="Verdana" w:hAnsi="Verdana" w:eastAsia="Verdana" w:cs="Verdana"/>
          <w:sz w:val="24"/>
          <w:szCs w:val="24"/>
        </w:rPr>
        <w:t xml:space="preserve"> </w:t>
      </w:r>
    </w:p>
    <w:p w:rsidR="00387379" w:rsidP="005358E1" w:rsidRDefault="00387379" w14:paraId="3F6FCA5B" w14:textId="77777777">
      <w:pPr>
        <w:spacing w:after="0" w:line="360" w:lineRule="auto"/>
        <w:jc w:val="both"/>
        <w:rPr>
          <w:rFonts w:ascii="Verdana" w:hAnsi="Verdana" w:eastAsia="Verdana" w:cs="Verdana"/>
          <w:sz w:val="24"/>
          <w:szCs w:val="24"/>
        </w:rPr>
      </w:pPr>
    </w:p>
    <w:p w:rsidR="7C368924" w:rsidP="005358E1" w:rsidRDefault="7C368924" w14:paraId="3EB2E5B7" w14:textId="77777777">
      <w:pPr>
        <w:spacing w:after="0" w:line="360" w:lineRule="auto"/>
        <w:jc w:val="both"/>
        <w:rPr>
          <w:rFonts w:ascii="Verdana" w:hAnsi="Verdana" w:eastAsia="Verdana" w:cs="Verdana"/>
          <w:sz w:val="24"/>
          <w:szCs w:val="24"/>
        </w:rPr>
      </w:pPr>
      <w:r w:rsidRPr="11835F2D">
        <w:rPr>
          <w:rFonts w:ascii="Verdana" w:hAnsi="Verdana" w:eastAsia="Verdana" w:cs="Verdana"/>
          <w:sz w:val="24"/>
          <w:szCs w:val="24"/>
        </w:rPr>
        <w:t xml:space="preserve">Las cuales fueron presentadas ante el Archivo General de la Nación, y se encuentran en proceso de ajustes, atendiendo las recomendaciones efectuadas por el ente rector.  </w:t>
      </w:r>
    </w:p>
    <w:p w:rsidR="00387379" w:rsidP="005358E1" w:rsidRDefault="00387379" w14:paraId="70238375" w14:textId="77777777">
      <w:pPr>
        <w:spacing w:after="0" w:line="360" w:lineRule="auto"/>
        <w:jc w:val="both"/>
      </w:pPr>
    </w:p>
    <w:p w:rsidRPr="00387379" w:rsidR="7C368924" w:rsidP="005358E1" w:rsidRDefault="7C368924" w14:paraId="1D770183" w14:textId="77777777">
      <w:pPr>
        <w:spacing w:after="0" w:line="360" w:lineRule="auto"/>
        <w:jc w:val="both"/>
        <w:rPr>
          <w:rFonts w:ascii="Verdana" w:hAnsi="Verdana" w:eastAsia="Verdana" w:cs="Verdana"/>
          <w:b/>
          <w:bCs/>
          <w:sz w:val="24"/>
          <w:szCs w:val="24"/>
        </w:rPr>
      </w:pPr>
      <w:r w:rsidRPr="00387379">
        <w:rPr>
          <w:rFonts w:ascii="Verdana" w:hAnsi="Verdana" w:eastAsia="Verdana" w:cs="Verdana"/>
          <w:b/>
          <w:bCs/>
          <w:sz w:val="24"/>
          <w:szCs w:val="24"/>
        </w:rPr>
        <w:t xml:space="preserve">Tablas de Retención Documental </w:t>
      </w:r>
    </w:p>
    <w:p w:rsidR="00387379" w:rsidP="005358E1" w:rsidRDefault="00387379" w14:paraId="7981C88A" w14:textId="77777777">
      <w:pPr>
        <w:spacing w:after="0" w:line="360" w:lineRule="auto"/>
        <w:jc w:val="both"/>
      </w:pPr>
    </w:p>
    <w:p w:rsidR="7C368924" w:rsidP="005358E1" w:rsidRDefault="7C368924" w14:paraId="02F7610E" w14:textId="77777777">
      <w:pPr>
        <w:spacing w:after="0" w:line="360" w:lineRule="auto"/>
        <w:jc w:val="both"/>
      </w:pPr>
      <w:r w:rsidRPr="11835F2D">
        <w:rPr>
          <w:rFonts w:ascii="Verdana" w:hAnsi="Verdana" w:eastAsia="Verdana" w:cs="Verdana"/>
          <w:sz w:val="24"/>
          <w:szCs w:val="24"/>
        </w:rPr>
        <w:t xml:space="preserve">Teniendo en cuenta que, las TRD vigentes del Ministerio fueron convalidadas por el Archivo General de la Nación en julio de 2022, y que la entidad ha presentado cambios que impactan su estructura orgánica, a través de la conformación de Grupos Internos de Trabajo, la distribución de funciones, así como la actualización de procesos y procedimientos, fue necesario </w:t>
      </w:r>
      <w:r w:rsidRPr="11835F2D" w:rsidR="00387379">
        <w:rPr>
          <w:rFonts w:ascii="Verdana" w:hAnsi="Verdana" w:eastAsia="Verdana" w:cs="Verdana"/>
          <w:sz w:val="24"/>
          <w:szCs w:val="24"/>
        </w:rPr>
        <w:t>iniciar</w:t>
      </w:r>
      <w:r w:rsidRPr="11835F2D">
        <w:rPr>
          <w:rFonts w:ascii="Verdana" w:hAnsi="Verdana" w:eastAsia="Verdana" w:cs="Verdana"/>
          <w:sz w:val="24"/>
          <w:szCs w:val="24"/>
        </w:rPr>
        <w:t xml:space="preserve"> la actualización de dicho instrumento archivístico. </w:t>
      </w:r>
    </w:p>
    <w:p w:rsidR="00387379" w:rsidP="005358E1" w:rsidRDefault="00387379" w14:paraId="67530091" w14:textId="77777777">
      <w:pPr>
        <w:spacing w:after="0" w:line="360" w:lineRule="auto"/>
        <w:jc w:val="both"/>
        <w:rPr>
          <w:rFonts w:ascii="Verdana" w:hAnsi="Verdana" w:eastAsia="Verdana" w:cs="Verdana"/>
          <w:sz w:val="24"/>
          <w:szCs w:val="24"/>
        </w:rPr>
      </w:pPr>
    </w:p>
    <w:p w:rsidR="7C368924" w:rsidP="005358E1" w:rsidRDefault="7C368924" w14:paraId="7649BA81" w14:textId="77777777">
      <w:pPr>
        <w:spacing w:after="0" w:line="360" w:lineRule="auto"/>
        <w:jc w:val="both"/>
      </w:pPr>
      <w:r w:rsidRPr="11835F2D">
        <w:rPr>
          <w:rFonts w:ascii="Verdana" w:hAnsi="Verdana" w:eastAsia="Verdana" w:cs="Verdana"/>
          <w:sz w:val="24"/>
          <w:szCs w:val="24"/>
        </w:rPr>
        <w:t xml:space="preserve">Para tal fin, atendiendo la metodología establecida en el acuerdo 001 de 2024 del Archivo General de la Nación, se compiló la información relacionada con los cambios presentados en la estructura orgánica del Ministerio, respecto a la última versión de la Tabla de Retención Documental vigente y convalidada, y  se dio inicio al levantamiento de información con cada una de las dependencias, en aras de identificar los ajustes requeridos en la estructuración de series, subseries y tipos documentales.  </w:t>
      </w:r>
    </w:p>
    <w:p w:rsidRPr="00017216" w:rsidR="00C04ED5" w:rsidP="005358E1" w:rsidRDefault="00C04ED5" w14:paraId="0584D310" w14:textId="77777777">
      <w:pPr>
        <w:spacing w:after="0" w:line="360" w:lineRule="auto"/>
        <w:outlineLvl w:val="1"/>
        <w:rPr>
          <w:rFonts w:ascii="Verdana" w:hAnsi="Verdana"/>
          <w:b/>
          <w:bCs/>
          <w:sz w:val="24"/>
          <w:szCs w:val="24"/>
          <w:highlight w:val="yellow"/>
        </w:rPr>
      </w:pPr>
    </w:p>
    <w:p w:rsidR="00A82055" w:rsidRDefault="00A82055" w14:paraId="53A1CB60" w14:textId="77777777">
      <w:pPr>
        <w:pStyle w:val="Prrafodelista"/>
        <w:numPr>
          <w:ilvl w:val="0"/>
          <w:numId w:val="95"/>
        </w:numPr>
        <w:spacing w:after="0" w:line="360" w:lineRule="auto"/>
        <w:outlineLvl w:val="0"/>
        <w:rPr>
          <w:rFonts w:ascii="Verdana" w:hAnsi="Verdana"/>
          <w:b/>
          <w:bCs/>
          <w:sz w:val="24"/>
          <w:szCs w:val="24"/>
        </w:rPr>
      </w:pPr>
      <w:bookmarkStart w:name="_Toc233996761" w:id="44"/>
      <w:r w:rsidRPr="00F7534A">
        <w:rPr>
          <w:rFonts w:ascii="Verdana" w:hAnsi="Verdana"/>
          <w:b/>
          <w:bCs/>
          <w:sz w:val="24"/>
          <w:szCs w:val="24"/>
        </w:rPr>
        <w:t>Gestión para la sostenibilidad ambiental institucional</w:t>
      </w:r>
      <w:bookmarkEnd w:id="44"/>
    </w:p>
    <w:p w:rsidRPr="00F7534A" w:rsidR="00F7534A" w:rsidP="005358E1" w:rsidRDefault="00F7534A" w14:paraId="45E316B3" w14:textId="77777777">
      <w:pPr>
        <w:spacing w:after="0" w:line="360" w:lineRule="auto"/>
        <w:rPr>
          <w:rFonts w:ascii="Verdana" w:hAnsi="Verdana"/>
          <w:sz w:val="24"/>
          <w:szCs w:val="24"/>
        </w:rPr>
      </w:pPr>
    </w:p>
    <w:p w:rsidRPr="00F7534A" w:rsidR="00F7534A" w:rsidP="005358E1" w:rsidRDefault="00F7534A" w14:paraId="116AB6B3" w14:textId="77777777">
      <w:pPr>
        <w:spacing w:after="0" w:line="360" w:lineRule="auto"/>
        <w:jc w:val="both"/>
        <w:rPr>
          <w:rFonts w:ascii="Verdana" w:hAnsi="Verdana"/>
          <w:sz w:val="24"/>
          <w:szCs w:val="24"/>
        </w:rPr>
      </w:pPr>
      <w:r w:rsidRPr="00F7534A">
        <w:rPr>
          <w:rFonts w:ascii="Verdana" w:hAnsi="Verdana"/>
          <w:sz w:val="24"/>
          <w:szCs w:val="24"/>
        </w:rPr>
        <w:t xml:space="preserve">La gestión para la sostenibilidad ambiental institucional constituye uno de los compromisos centrales del Ministerio de Minas y Energía con la acción climática y el uso responsable de los recursos naturales.  </w:t>
      </w:r>
    </w:p>
    <w:p w:rsidRPr="00F7534A" w:rsidR="00F7534A" w:rsidP="005358E1" w:rsidRDefault="00F7534A" w14:paraId="45EFA45A" w14:textId="77777777">
      <w:pPr>
        <w:spacing w:after="0" w:line="360" w:lineRule="auto"/>
        <w:jc w:val="both"/>
        <w:rPr>
          <w:rFonts w:ascii="Verdana" w:hAnsi="Verdana"/>
          <w:sz w:val="24"/>
          <w:szCs w:val="24"/>
        </w:rPr>
      </w:pPr>
    </w:p>
    <w:p w:rsidRPr="00F7534A" w:rsidR="00F7534A" w:rsidP="005358E1" w:rsidRDefault="00F7534A" w14:paraId="1580FACC" w14:textId="77777777">
      <w:pPr>
        <w:spacing w:after="0" w:line="360" w:lineRule="auto"/>
        <w:jc w:val="both"/>
        <w:rPr>
          <w:rFonts w:ascii="Verdana" w:hAnsi="Verdana"/>
          <w:sz w:val="24"/>
          <w:szCs w:val="24"/>
        </w:rPr>
      </w:pPr>
      <w:r w:rsidRPr="00F7534A">
        <w:rPr>
          <w:rFonts w:ascii="Verdana" w:hAnsi="Verdana"/>
          <w:sz w:val="24"/>
          <w:szCs w:val="24"/>
        </w:rPr>
        <w:t xml:space="preserve">En este sentido, la gestión ambiental del Ministerio se articula con la Política Nacional de Cambio Climático, la Estrategia Climática de Largo Plazo E2050, las Contribuciones Determinadas a Nivel Nacional (NDC) y los Objetivos de Desarrollo Sostenible, así como con los lineamientos del Modelo Integrado de Planeación y Gestión (MIPG) en su componente ambiental. Esta articulación se ha materializado en un Sistema de Gestión Ambiental estructurado bajo la norma NTC ISO 14001:2015, en programas orientados al uso eficiente del agua, la energía y el papel, en la gestión integral de residuos, en la promoción de la movilidad sostenible y en el seguimiento sistemático a la huella de carbono institucional. </w:t>
      </w:r>
    </w:p>
    <w:p w:rsidRPr="00F7534A" w:rsidR="00F7534A" w:rsidP="005358E1" w:rsidRDefault="00F7534A" w14:paraId="10221F62" w14:textId="77777777">
      <w:pPr>
        <w:spacing w:after="0" w:line="360" w:lineRule="auto"/>
        <w:jc w:val="both"/>
        <w:rPr>
          <w:rFonts w:ascii="Verdana" w:hAnsi="Verdana"/>
          <w:sz w:val="24"/>
          <w:szCs w:val="24"/>
        </w:rPr>
      </w:pPr>
    </w:p>
    <w:p w:rsidRPr="00F7534A" w:rsidR="00F7534A" w:rsidP="005358E1" w:rsidRDefault="00F7534A" w14:paraId="0BE74776" w14:textId="25B70937">
      <w:pPr>
        <w:spacing w:after="0" w:line="360" w:lineRule="auto"/>
        <w:jc w:val="both"/>
        <w:rPr>
          <w:rFonts w:ascii="Verdana" w:hAnsi="Verdana"/>
          <w:sz w:val="24"/>
          <w:szCs w:val="24"/>
        </w:rPr>
      </w:pPr>
      <w:r w:rsidRPr="00F7534A">
        <w:rPr>
          <w:rFonts w:ascii="Verdana" w:hAnsi="Verdana"/>
          <w:sz w:val="24"/>
          <w:szCs w:val="24"/>
        </w:rPr>
        <w:t>A continuación, se expone los avances alcanzados durante el cuatrienio agosto de 2022 a marzo de 2026, los reconocimientos obtenidos en escenarios distritales de evaluación ambiental, los resultados del proyecto de generación solar fotovoltaica adelantado con FENOGE y las proyecciones formuladas para consolidar el posicionamiento del Ministerio como referente del sector público en gestión ambiental sostenible.</w:t>
      </w:r>
    </w:p>
    <w:p w:rsidRPr="00F7534A" w:rsidR="00F7534A" w:rsidP="005358E1" w:rsidRDefault="00F7534A" w14:paraId="606E793C" w14:textId="77777777">
      <w:pPr>
        <w:spacing w:after="0" w:line="360" w:lineRule="auto"/>
        <w:rPr>
          <w:rFonts w:ascii="Verdana" w:hAnsi="Verdana"/>
          <w:sz w:val="24"/>
          <w:szCs w:val="24"/>
        </w:rPr>
      </w:pPr>
    </w:p>
    <w:p w:rsidRPr="00F7534A" w:rsidR="003C4398" w:rsidRDefault="003C4398" w14:paraId="0104156B" w14:textId="77777777">
      <w:pPr>
        <w:pStyle w:val="Ttulo2"/>
        <w:numPr>
          <w:ilvl w:val="1"/>
          <w:numId w:val="95"/>
        </w:numPr>
        <w:spacing w:before="0" w:after="0" w:line="360" w:lineRule="auto"/>
        <w:rPr>
          <w:rFonts w:ascii="Verdana" w:hAnsi="Verdana"/>
          <w:b/>
          <w:bCs/>
          <w:color w:val="auto"/>
          <w:sz w:val="24"/>
          <w:szCs w:val="24"/>
        </w:rPr>
      </w:pPr>
      <w:bookmarkStart w:name="_Toc233996762" w:id="45"/>
      <w:r w:rsidRPr="00F7534A">
        <w:rPr>
          <w:rFonts w:ascii="Verdana" w:hAnsi="Verdana"/>
          <w:b/>
          <w:bCs/>
          <w:color w:val="auto"/>
          <w:sz w:val="24"/>
          <w:szCs w:val="24"/>
        </w:rPr>
        <w:t>Avances en el Sistema de Gestión Ambiental en el Ministerio de Minas y Energía</w:t>
      </w:r>
      <w:bookmarkEnd w:id="45"/>
    </w:p>
    <w:p w:rsidR="00C04ED5" w:rsidP="005358E1" w:rsidRDefault="00C04ED5" w14:paraId="14B660CC" w14:textId="77777777">
      <w:pPr>
        <w:spacing w:after="0" w:line="360" w:lineRule="auto"/>
        <w:rPr>
          <w:rFonts w:ascii="Verdana" w:hAnsi="Verdana"/>
          <w:sz w:val="24"/>
          <w:szCs w:val="24"/>
          <w:highlight w:val="yellow"/>
        </w:rPr>
      </w:pPr>
    </w:p>
    <w:p w:rsidRPr="00F7534A" w:rsidR="00F7534A" w:rsidP="005358E1" w:rsidRDefault="00F7534A" w14:paraId="278B0AD9" w14:textId="77777777">
      <w:pPr>
        <w:spacing w:after="0" w:line="360" w:lineRule="auto"/>
        <w:jc w:val="both"/>
        <w:rPr>
          <w:rFonts w:ascii="Verdana" w:hAnsi="Verdana"/>
          <w:sz w:val="24"/>
          <w:szCs w:val="24"/>
        </w:rPr>
      </w:pPr>
      <w:r w:rsidRPr="00F7534A">
        <w:rPr>
          <w:rFonts w:ascii="Verdana" w:hAnsi="Verdana"/>
          <w:sz w:val="24"/>
          <w:szCs w:val="24"/>
        </w:rPr>
        <w:t xml:space="preserve">La sostenibilidad ambiental institucional es un componente transversal de la gestión del Ministerio de Minas y Energía. Durante el cuatrienio agosto de 2022 a marzo de 2026, la entidad consolidó un Sistema de Gestión Ambiental orientado al uso eficiente de los recursos naturales, la reducción de su huella ambiental y el cumplimiento de la normatividad aplicable, en articulación con la Política de Gestión Ambiental del Modelo Integrado de Planeación y Gestión (MIPG)  </w:t>
      </w:r>
    </w:p>
    <w:p w:rsidRPr="00F7534A" w:rsidR="00F7534A" w:rsidP="005358E1" w:rsidRDefault="00F7534A" w14:paraId="1C2BEB3E" w14:textId="77777777">
      <w:pPr>
        <w:spacing w:after="0" w:line="360" w:lineRule="auto"/>
        <w:jc w:val="both"/>
        <w:rPr>
          <w:rFonts w:ascii="Verdana" w:hAnsi="Verdana"/>
          <w:sz w:val="24"/>
          <w:szCs w:val="24"/>
        </w:rPr>
      </w:pPr>
    </w:p>
    <w:p w:rsidRPr="00F7534A" w:rsidR="00F7534A" w:rsidP="005358E1" w:rsidRDefault="00F7534A" w14:paraId="5BEC7D24" w14:textId="77777777">
      <w:pPr>
        <w:spacing w:after="0" w:line="360" w:lineRule="auto"/>
        <w:jc w:val="both"/>
        <w:rPr>
          <w:rFonts w:ascii="Verdana" w:hAnsi="Verdana"/>
          <w:b/>
          <w:bCs/>
          <w:sz w:val="24"/>
          <w:szCs w:val="24"/>
        </w:rPr>
      </w:pPr>
      <w:r w:rsidRPr="00F7534A">
        <w:rPr>
          <w:rFonts w:ascii="Verdana" w:hAnsi="Verdana"/>
          <w:b/>
          <w:bCs/>
          <w:sz w:val="24"/>
          <w:szCs w:val="24"/>
        </w:rPr>
        <w:t xml:space="preserve">Implementación del Sistema  </w:t>
      </w:r>
    </w:p>
    <w:p w:rsidRPr="00F7534A" w:rsidR="00F7534A" w:rsidP="005358E1" w:rsidRDefault="00F7534A" w14:paraId="1A89C332" w14:textId="77777777">
      <w:pPr>
        <w:spacing w:after="0" w:line="360" w:lineRule="auto"/>
        <w:jc w:val="both"/>
        <w:rPr>
          <w:rFonts w:ascii="Verdana" w:hAnsi="Verdana"/>
          <w:sz w:val="24"/>
          <w:szCs w:val="24"/>
        </w:rPr>
      </w:pPr>
    </w:p>
    <w:p w:rsidRPr="00F7534A" w:rsidR="00F7534A" w:rsidP="005358E1" w:rsidRDefault="00F7534A" w14:paraId="321204F8" w14:textId="77777777">
      <w:pPr>
        <w:spacing w:after="0" w:line="360" w:lineRule="auto"/>
        <w:jc w:val="both"/>
        <w:rPr>
          <w:rFonts w:ascii="Verdana" w:hAnsi="Verdana"/>
          <w:sz w:val="24"/>
          <w:szCs w:val="24"/>
        </w:rPr>
      </w:pPr>
      <w:r w:rsidRPr="00F7534A">
        <w:rPr>
          <w:rFonts w:ascii="Verdana" w:hAnsi="Verdana"/>
          <w:sz w:val="24"/>
          <w:szCs w:val="24"/>
        </w:rPr>
        <w:t xml:space="preserve">El Sistema de Gestión Ambiental (SGA) del Ministerio se implementa bajo los criterios de la norma NTC ISO 14001:2015. Su alcance comprende las sedes administrativas ubicadas en el edificio principal y en la carrera 50 de Bogotá D.C., e incluye a todos los procesos del MME. Durante el cuatrienio, el SGA avanzó hacia su consolidación como parte de un Sistema Integrado de Gestión articulado con el Sistema de Gestión de Seguridad y Salud en el Trabajo (NTC ISO 45001:2018) y el Sistema de Gestión de Calidad (NTC ISO 9001:2015). </w:t>
      </w:r>
    </w:p>
    <w:p w:rsidRPr="00F7534A" w:rsidR="00F7534A" w:rsidP="005358E1" w:rsidRDefault="00F7534A" w14:paraId="78557395" w14:textId="77777777">
      <w:pPr>
        <w:spacing w:after="0" w:line="360" w:lineRule="auto"/>
        <w:jc w:val="both"/>
        <w:rPr>
          <w:rFonts w:ascii="Verdana" w:hAnsi="Verdana"/>
          <w:sz w:val="24"/>
          <w:szCs w:val="24"/>
        </w:rPr>
      </w:pPr>
    </w:p>
    <w:p w:rsidR="00F7534A" w:rsidP="005358E1" w:rsidRDefault="00F7534A" w14:paraId="1399896C" w14:textId="01402500">
      <w:pPr>
        <w:spacing w:after="0" w:line="360" w:lineRule="auto"/>
        <w:jc w:val="both"/>
        <w:rPr>
          <w:rFonts w:ascii="Verdana" w:hAnsi="Verdana"/>
          <w:sz w:val="24"/>
          <w:szCs w:val="24"/>
        </w:rPr>
      </w:pPr>
      <w:r w:rsidRPr="00F7534A">
        <w:rPr>
          <w:rFonts w:ascii="Verdana" w:hAnsi="Verdana"/>
          <w:sz w:val="24"/>
          <w:szCs w:val="24"/>
        </w:rPr>
        <w:t>Como resultado del proceso de implementación, el diagnóstico al corte de marzo de 2026 evidencia un nivel de cumplimiento del 100% frente a los requisitos de la norma ISO 14001:2015, es decir para cada componente de la norma, se evaluó su cumplimiento por cada debe, distribuido por capítulos así:</w:t>
      </w:r>
    </w:p>
    <w:p w:rsidR="00F7534A" w:rsidP="005358E1" w:rsidRDefault="00F7534A" w14:paraId="09AB996B" w14:textId="77777777">
      <w:pPr>
        <w:spacing w:after="0" w:line="360" w:lineRule="auto"/>
        <w:jc w:val="both"/>
        <w:rPr>
          <w:rFonts w:ascii="Verdana" w:hAnsi="Verdana"/>
          <w:sz w:val="24"/>
          <w:szCs w:val="24"/>
        </w:rPr>
      </w:pPr>
    </w:p>
    <w:p w:rsidRPr="00F7534A" w:rsidR="00F7534A" w:rsidP="00F7534A" w:rsidRDefault="00F7534A" w14:paraId="1E010CEB" w14:textId="6503EA7F">
      <w:pPr>
        <w:spacing w:after="0" w:line="240" w:lineRule="auto"/>
        <w:jc w:val="center"/>
        <w:rPr>
          <w:rFonts w:ascii="Verdana" w:hAnsi="Verdana"/>
          <w:b/>
          <w:bCs/>
          <w:sz w:val="18"/>
          <w:szCs w:val="18"/>
        </w:rPr>
      </w:pPr>
      <w:r w:rsidRPr="00D94015">
        <w:rPr>
          <w:rFonts w:ascii="Verdana" w:hAnsi="Verdana"/>
          <w:sz w:val="18"/>
          <w:szCs w:val="18"/>
        </w:rPr>
        <w:t>Tabla No.</w:t>
      </w:r>
      <w:r w:rsidRPr="00D94015" w:rsidR="00D94015">
        <w:rPr>
          <w:rFonts w:ascii="Verdana" w:hAnsi="Verdana"/>
          <w:sz w:val="18"/>
          <w:szCs w:val="18"/>
        </w:rPr>
        <w:t>73</w:t>
      </w:r>
      <w:r w:rsidRPr="00D94015">
        <w:rPr>
          <w:rFonts w:ascii="Verdana" w:hAnsi="Verdana"/>
          <w:sz w:val="18"/>
          <w:szCs w:val="18"/>
        </w:rPr>
        <w:t>. Implementación del Sistema de Gestión Ambiental</w:t>
      </w:r>
    </w:p>
    <w:tbl>
      <w:tblPr>
        <w:tblStyle w:val="Tablaconcuadrcula"/>
        <w:tblW w:w="0" w:type="dxa"/>
        <w:tblLook w:val="04A0" w:firstRow="1" w:lastRow="0" w:firstColumn="1" w:lastColumn="0" w:noHBand="0" w:noVBand="1"/>
      </w:tblPr>
      <w:tblGrid>
        <w:gridCol w:w="4590"/>
        <w:gridCol w:w="1845"/>
        <w:gridCol w:w="2220"/>
      </w:tblGrid>
      <w:tr w:rsidRPr="00F7534A" w:rsidR="00F7534A" w:rsidTr="00F7534A" w14:paraId="346A519A" w14:textId="77777777">
        <w:trPr>
          <w:trHeight w:val="570"/>
        </w:trPr>
        <w:tc>
          <w:tcPr>
            <w:tcW w:w="4590" w:type="dxa"/>
            <w:shd w:val="clear" w:color="auto" w:fill="A6A6A6" w:themeFill="background1" w:themeFillShade="A6"/>
            <w:vAlign w:val="center"/>
            <w:hideMark/>
          </w:tcPr>
          <w:p w:rsidRPr="00F7534A" w:rsidR="00F7534A" w:rsidP="00F7534A" w:rsidRDefault="00F7534A" w14:paraId="29594B32" w14:textId="73BA945C">
            <w:pPr>
              <w:jc w:val="center"/>
              <w:rPr>
                <w:rFonts w:ascii="Verdana" w:hAnsi="Verdana"/>
                <w:b/>
                <w:bCs/>
                <w:sz w:val="18"/>
                <w:szCs w:val="18"/>
              </w:rPr>
            </w:pPr>
            <w:r w:rsidRPr="00F7534A">
              <w:rPr>
                <w:rFonts w:ascii="Verdana" w:hAnsi="Verdana"/>
                <w:b/>
                <w:bCs/>
                <w:sz w:val="18"/>
                <w:szCs w:val="18"/>
                <w:lang w:val="es-ES"/>
              </w:rPr>
              <w:t>REQUISITO</w:t>
            </w:r>
          </w:p>
        </w:tc>
        <w:tc>
          <w:tcPr>
            <w:tcW w:w="1845" w:type="dxa"/>
            <w:shd w:val="clear" w:color="auto" w:fill="A6A6A6" w:themeFill="background1" w:themeFillShade="A6"/>
            <w:vAlign w:val="center"/>
            <w:hideMark/>
          </w:tcPr>
          <w:p w:rsidRPr="00F7534A" w:rsidR="00F7534A" w:rsidP="00F7534A" w:rsidRDefault="00F7534A" w14:paraId="61A67D00" w14:textId="57DA8D40">
            <w:pPr>
              <w:jc w:val="center"/>
              <w:rPr>
                <w:rFonts w:ascii="Verdana" w:hAnsi="Verdana"/>
                <w:b/>
                <w:bCs/>
                <w:sz w:val="18"/>
                <w:szCs w:val="18"/>
              </w:rPr>
            </w:pPr>
            <w:r w:rsidRPr="00F7534A">
              <w:rPr>
                <w:rFonts w:ascii="Verdana" w:hAnsi="Verdana"/>
                <w:b/>
                <w:bCs/>
                <w:sz w:val="18"/>
                <w:szCs w:val="18"/>
                <w:lang w:val="es-ES"/>
              </w:rPr>
              <w:t>Puntuación</w:t>
            </w:r>
          </w:p>
        </w:tc>
        <w:tc>
          <w:tcPr>
            <w:tcW w:w="2220" w:type="dxa"/>
            <w:shd w:val="clear" w:color="auto" w:fill="A6A6A6" w:themeFill="background1" w:themeFillShade="A6"/>
            <w:vAlign w:val="center"/>
            <w:hideMark/>
          </w:tcPr>
          <w:p w:rsidRPr="00F7534A" w:rsidR="00F7534A" w:rsidP="00F7534A" w:rsidRDefault="00F7534A" w14:paraId="4B165FE9" w14:textId="7669BC85">
            <w:pPr>
              <w:jc w:val="center"/>
              <w:rPr>
                <w:rFonts w:ascii="Verdana" w:hAnsi="Verdana"/>
                <w:b/>
                <w:bCs/>
                <w:sz w:val="18"/>
                <w:szCs w:val="18"/>
              </w:rPr>
            </w:pPr>
            <w:r w:rsidRPr="00F7534A">
              <w:rPr>
                <w:rFonts w:ascii="Verdana" w:hAnsi="Verdana"/>
                <w:b/>
                <w:bCs/>
                <w:sz w:val="18"/>
                <w:szCs w:val="18"/>
                <w:lang w:val="es-ES"/>
              </w:rPr>
              <w:t>Criterios evaluados</w:t>
            </w:r>
          </w:p>
        </w:tc>
      </w:tr>
      <w:tr w:rsidRPr="00F7534A" w:rsidR="00F7534A" w:rsidTr="00F7534A" w14:paraId="7A2D21BE" w14:textId="77777777">
        <w:trPr>
          <w:trHeight w:val="263"/>
        </w:trPr>
        <w:tc>
          <w:tcPr>
            <w:tcW w:w="4590" w:type="dxa"/>
            <w:vAlign w:val="center"/>
            <w:hideMark/>
          </w:tcPr>
          <w:p w:rsidRPr="00F7534A" w:rsidR="00F7534A" w:rsidP="00F7534A" w:rsidRDefault="00F7534A" w14:paraId="6DC94042" w14:textId="51722636">
            <w:pPr>
              <w:jc w:val="center"/>
              <w:rPr>
                <w:rFonts w:ascii="Verdana" w:hAnsi="Verdana"/>
                <w:sz w:val="18"/>
                <w:szCs w:val="18"/>
              </w:rPr>
            </w:pPr>
            <w:r w:rsidRPr="00F7534A">
              <w:rPr>
                <w:rFonts w:ascii="Verdana" w:hAnsi="Verdana"/>
                <w:sz w:val="18"/>
                <w:szCs w:val="18"/>
                <w:lang w:val="es-ES"/>
              </w:rPr>
              <w:t>CONTEXTO</w:t>
            </w:r>
          </w:p>
        </w:tc>
        <w:tc>
          <w:tcPr>
            <w:tcW w:w="1845" w:type="dxa"/>
            <w:vAlign w:val="center"/>
            <w:hideMark/>
          </w:tcPr>
          <w:p w:rsidRPr="00F7534A" w:rsidR="00F7534A" w:rsidP="00F7534A" w:rsidRDefault="00F7534A" w14:paraId="5CB31079" w14:textId="2330D50A">
            <w:pPr>
              <w:jc w:val="center"/>
              <w:rPr>
                <w:rFonts w:ascii="Verdana" w:hAnsi="Verdana"/>
                <w:sz w:val="18"/>
                <w:szCs w:val="18"/>
              </w:rPr>
            </w:pPr>
            <w:r w:rsidRPr="00F7534A">
              <w:rPr>
                <w:rFonts w:ascii="Verdana" w:hAnsi="Verdana"/>
                <w:sz w:val="18"/>
                <w:szCs w:val="18"/>
                <w:lang w:val="es-ES"/>
              </w:rPr>
              <w:t>9</w:t>
            </w:r>
          </w:p>
        </w:tc>
        <w:tc>
          <w:tcPr>
            <w:tcW w:w="2220" w:type="dxa"/>
            <w:vAlign w:val="center"/>
            <w:hideMark/>
          </w:tcPr>
          <w:p w:rsidRPr="00F7534A" w:rsidR="00F7534A" w:rsidP="00F7534A" w:rsidRDefault="00F7534A" w14:paraId="5C8BCC65" w14:textId="236997EF">
            <w:pPr>
              <w:jc w:val="center"/>
              <w:rPr>
                <w:rFonts w:ascii="Verdana" w:hAnsi="Verdana"/>
                <w:sz w:val="18"/>
                <w:szCs w:val="18"/>
              </w:rPr>
            </w:pPr>
            <w:r w:rsidRPr="00F7534A">
              <w:rPr>
                <w:rFonts w:ascii="Verdana" w:hAnsi="Verdana"/>
                <w:sz w:val="18"/>
                <w:szCs w:val="18"/>
                <w:lang w:val="es-ES"/>
              </w:rPr>
              <w:t>9</w:t>
            </w:r>
          </w:p>
        </w:tc>
      </w:tr>
      <w:tr w:rsidRPr="00F7534A" w:rsidR="00F7534A" w:rsidTr="00F7534A" w14:paraId="3691F202" w14:textId="77777777">
        <w:trPr>
          <w:trHeight w:val="199"/>
        </w:trPr>
        <w:tc>
          <w:tcPr>
            <w:tcW w:w="4590" w:type="dxa"/>
            <w:vAlign w:val="center"/>
            <w:hideMark/>
          </w:tcPr>
          <w:p w:rsidRPr="00F7534A" w:rsidR="00F7534A" w:rsidP="00F7534A" w:rsidRDefault="00F7534A" w14:paraId="30747B2C" w14:textId="24F66140">
            <w:pPr>
              <w:jc w:val="center"/>
              <w:rPr>
                <w:rFonts w:ascii="Verdana" w:hAnsi="Verdana"/>
                <w:sz w:val="18"/>
                <w:szCs w:val="18"/>
              </w:rPr>
            </w:pPr>
            <w:r w:rsidRPr="00F7534A">
              <w:rPr>
                <w:rFonts w:ascii="Verdana" w:hAnsi="Verdana"/>
                <w:sz w:val="18"/>
                <w:szCs w:val="18"/>
                <w:lang w:val="es-ES"/>
              </w:rPr>
              <w:t>LIDERAZGO</w:t>
            </w:r>
          </w:p>
        </w:tc>
        <w:tc>
          <w:tcPr>
            <w:tcW w:w="1845" w:type="dxa"/>
            <w:vAlign w:val="center"/>
            <w:hideMark/>
          </w:tcPr>
          <w:p w:rsidRPr="00F7534A" w:rsidR="00F7534A" w:rsidP="00F7534A" w:rsidRDefault="00F7534A" w14:paraId="7FA61847" w14:textId="1AFD9B49">
            <w:pPr>
              <w:jc w:val="center"/>
              <w:rPr>
                <w:rFonts w:ascii="Verdana" w:hAnsi="Verdana"/>
                <w:sz w:val="18"/>
                <w:szCs w:val="18"/>
              </w:rPr>
            </w:pPr>
            <w:r w:rsidRPr="00F7534A">
              <w:rPr>
                <w:rFonts w:ascii="Verdana" w:hAnsi="Verdana"/>
                <w:sz w:val="18"/>
                <w:szCs w:val="18"/>
                <w:lang w:val="es-ES"/>
              </w:rPr>
              <w:t>13</w:t>
            </w:r>
          </w:p>
        </w:tc>
        <w:tc>
          <w:tcPr>
            <w:tcW w:w="2220" w:type="dxa"/>
            <w:vAlign w:val="center"/>
            <w:hideMark/>
          </w:tcPr>
          <w:p w:rsidRPr="00F7534A" w:rsidR="00F7534A" w:rsidP="00F7534A" w:rsidRDefault="00F7534A" w14:paraId="21FE5F12" w14:textId="0E3AFA7E">
            <w:pPr>
              <w:jc w:val="center"/>
              <w:rPr>
                <w:rFonts w:ascii="Verdana" w:hAnsi="Verdana"/>
                <w:sz w:val="18"/>
                <w:szCs w:val="18"/>
              </w:rPr>
            </w:pPr>
            <w:r w:rsidRPr="00F7534A">
              <w:rPr>
                <w:rFonts w:ascii="Verdana" w:hAnsi="Verdana"/>
                <w:sz w:val="18"/>
                <w:szCs w:val="18"/>
                <w:lang w:val="es-ES"/>
              </w:rPr>
              <w:t>13</w:t>
            </w:r>
          </w:p>
        </w:tc>
      </w:tr>
      <w:tr w:rsidRPr="00F7534A" w:rsidR="00F7534A" w:rsidTr="00F7534A" w14:paraId="00191B3F" w14:textId="77777777">
        <w:trPr>
          <w:trHeight w:val="199"/>
        </w:trPr>
        <w:tc>
          <w:tcPr>
            <w:tcW w:w="4590" w:type="dxa"/>
            <w:vAlign w:val="center"/>
            <w:hideMark/>
          </w:tcPr>
          <w:p w:rsidRPr="00F7534A" w:rsidR="00F7534A" w:rsidP="00F7534A" w:rsidRDefault="00F7534A" w14:paraId="17FE009C" w14:textId="07A86561">
            <w:pPr>
              <w:jc w:val="center"/>
              <w:rPr>
                <w:rFonts w:ascii="Verdana" w:hAnsi="Verdana"/>
                <w:sz w:val="18"/>
                <w:szCs w:val="18"/>
              </w:rPr>
            </w:pPr>
            <w:r w:rsidRPr="00F7534A">
              <w:rPr>
                <w:rFonts w:ascii="Verdana" w:hAnsi="Verdana"/>
                <w:sz w:val="18"/>
                <w:szCs w:val="18"/>
                <w:lang w:val="es-ES"/>
              </w:rPr>
              <w:t>PLANIFICACIÓN</w:t>
            </w:r>
          </w:p>
        </w:tc>
        <w:tc>
          <w:tcPr>
            <w:tcW w:w="1845" w:type="dxa"/>
            <w:vAlign w:val="center"/>
            <w:hideMark/>
          </w:tcPr>
          <w:p w:rsidRPr="00F7534A" w:rsidR="00F7534A" w:rsidP="00F7534A" w:rsidRDefault="00F7534A" w14:paraId="066A17E6" w14:textId="6245F727">
            <w:pPr>
              <w:jc w:val="center"/>
              <w:rPr>
                <w:rFonts w:ascii="Verdana" w:hAnsi="Verdana"/>
                <w:sz w:val="18"/>
                <w:szCs w:val="18"/>
              </w:rPr>
            </w:pPr>
            <w:r w:rsidRPr="00F7534A">
              <w:rPr>
                <w:rFonts w:ascii="Verdana" w:hAnsi="Verdana"/>
                <w:sz w:val="18"/>
                <w:szCs w:val="18"/>
                <w:lang w:val="es-ES"/>
              </w:rPr>
              <w:t>39</w:t>
            </w:r>
          </w:p>
        </w:tc>
        <w:tc>
          <w:tcPr>
            <w:tcW w:w="2220" w:type="dxa"/>
            <w:vAlign w:val="center"/>
            <w:hideMark/>
          </w:tcPr>
          <w:p w:rsidRPr="00F7534A" w:rsidR="00F7534A" w:rsidP="00F7534A" w:rsidRDefault="00F7534A" w14:paraId="2F238103" w14:textId="312786DC">
            <w:pPr>
              <w:jc w:val="center"/>
              <w:rPr>
                <w:rFonts w:ascii="Verdana" w:hAnsi="Verdana"/>
                <w:sz w:val="18"/>
                <w:szCs w:val="18"/>
              </w:rPr>
            </w:pPr>
            <w:r w:rsidRPr="00F7534A">
              <w:rPr>
                <w:rFonts w:ascii="Verdana" w:hAnsi="Verdana"/>
                <w:sz w:val="18"/>
                <w:szCs w:val="18"/>
                <w:lang w:val="es-ES"/>
              </w:rPr>
              <w:t>39</w:t>
            </w:r>
          </w:p>
        </w:tc>
      </w:tr>
      <w:tr w:rsidRPr="00F7534A" w:rsidR="00F7534A" w:rsidTr="00F7534A" w14:paraId="4864904B" w14:textId="77777777">
        <w:trPr>
          <w:trHeight w:val="259"/>
        </w:trPr>
        <w:tc>
          <w:tcPr>
            <w:tcW w:w="4590" w:type="dxa"/>
            <w:vAlign w:val="center"/>
            <w:hideMark/>
          </w:tcPr>
          <w:p w:rsidRPr="00F7534A" w:rsidR="00F7534A" w:rsidP="00F7534A" w:rsidRDefault="00F7534A" w14:paraId="5E36FA7B" w14:textId="546D6AC8">
            <w:pPr>
              <w:jc w:val="center"/>
              <w:rPr>
                <w:rFonts w:ascii="Verdana" w:hAnsi="Verdana"/>
                <w:sz w:val="18"/>
                <w:szCs w:val="18"/>
              </w:rPr>
            </w:pPr>
            <w:r w:rsidRPr="00F7534A">
              <w:rPr>
                <w:rFonts w:ascii="Verdana" w:hAnsi="Verdana"/>
                <w:sz w:val="18"/>
                <w:szCs w:val="18"/>
                <w:lang w:val="es-ES"/>
              </w:rPr>
              <w:t>APOYO</w:t>
            </w:r>
          </w:p>
        </w:tc>
        <w:tc>
          <w:tcPr>
            <w:tcW w:w="1845" w:type="dxa"/>
            <w:vAlign w:val="center"/>
            <w:hideMark/>
          </w:tcPr>
          <w:p w:rsidRPr="00F7534A" w:rsidR="00F7534A" w:rsidP="00F7534A" w:rsidRDefault="00F7534A" w14:paraId="7E341C2B" w14:textId="04A651BA">
            <w:pPr>
              <w:jc w:val="center"/>
              <w:rPr>
                <w:rFonts w:ascii="Verdana" w:hAnsi="Verdana"/>
                <w:sz w:val="18"/>
                <w:szCs w:val="18"/>
              </w:rPr>
            </w:pPr>
            <w:r w:rsidRPr="00F7534A">
              <w:rPr>
                <w:rFonts w:ascii="Verdana" w:hAnsi="Verdana"/>
                <w:sz w:val="18"/>
                <w:szCs w:val="18"/>
                <w:lang w:val="es-ES"/>
              </w:rPr>
              <w:t>7</w:t>
            </w:r>
          </w:p>
        </w:tc>
        <w:tc>
          <w:tcPr>
            <w:tcW w:w="2220" w:type="dxa"/>
            <w:vAlign w:val="center"/>
            <w:hideMark/>
          </w:tcPr>
          <w:p w:rsidRPr="00F7534A" w:rsidR="00F7534A" w:rsidP="00F7534A" w:rsidRDefault="00F7534A" w14:paraId="3029A325" w14:textId="7B9A0297">
            <w:pPr>
              <w:jc w:val="center"/>
              <w:rPr>
                <w:rFonts w:ascii="Verdana" w:hAnsi="Verdana"/>
                <w:sz w:val="18"/>
                <w:szCs w:val="18"/>
              </w:rPr>
            </w:pPr>
            <w:r w:rsidRPr="00F7534A">
              <w:rPr>
                <w:rFonts w:ascii="Verdana" w:hAnsi="Verdana"/>
                <w:sz w:val="18"/>
                <w:szCs w:val="18"/>
                <w:lang w:val="es-ES"/>
              </w:rPr>
              <w:t>7</w:t>
            </w:r>
          </w:p>
        </w:tc>
      </w:tr>
      <w:tr w:rsidRPr="00F7534A" w:rsidR="00F7534A" w:rsidTr="00F7534A" w14:paraId="7DD24270" w14:textId="77777777">
        <w:trPr>
          <w:trHeight w:val="262"/>
        </w:trPr>
        <w:tc>
          <w:tcPr>
            <w:tcW w:w="4590" w:type="dxa"/>
            <w:vAlign w:val="center"/>
            <w:hideMark/>
          </w:tcPr>
          <w:p w:rsidRPr="00F7534A" w:rsidR="00F7534A" w:rsidP="00F7534A" w:rsidRDefault="00F7534A" w14:paraId="55005C85" w14:textId="5E6259A2">
            <w:pPr>
              <w:jc w:val="center"/>
              <w:rPr>
                <w:rFonts w:ascii="Verdana" w:hAnsi="Verdana"/>
                <w:sz w:val="18"/>
                <w:szCs w:val="18"/>
              </w:rPr>
            </w:pPr>
            <w:r w:rsidRPr="00F7534A">
              <w:rPr>
                <w:rFonts w:ascii="Verdana" w:hAnsi="Verdana"/>
                <w:sz w:val="18"/>
                <w:szCs w:val="18"/>
                <w:lang w:val="es-ES"/>
              </w:rPr>
              <w:t>OPERACIÓN</w:t>
            </w:r>
          </w:p>
        </w:tc>
        <w:tc>
          <w:tcPr>
            <w:tcW w:w="1845" w:type="dxa"/>
            <w:vAlign w:val="center"/>
            <w:hideMark/>
          </w:tcPr>
          <w:p w:rsidRPr="00F7534A" w:rsidR="00F7534A" w:rsidP="00F7534A" w:rsidRDefault="00F7534A" w14:paraId="09EA3AE7" w14:textId="7E158293">
            <w:pPr>
              <w:jc w:val="center"/>
              <w:rPr>
                <w:rFonts w:ascii="Verdana" w:hAnsi="Verdana"/>
                <w:sz w:val="18"/>
                <w:szCs w:val="18"/>
              </w:rPr>
            </w:pPr>
            <w:r w:rsidRPr="00F7534A">
              <w:rPr>
                <w:rFonts w:ascii="Verdana" w:hAnsi="Verdana"/>
                <w:sz w:val="18"/>
                <w:szCs w:val="18"/>
                <w:lang w:val="es-ES"/>
              </w:rPr>
              <w:t>12</w:t>
            </w:r>
          </w:p>
        </w:tc>
        <w:tc>
          <w:tcPr>
            <w:tcW w:w="2220" w:type="dxa"/>
            <w:vAlign w:val="center"/>
            <w:hideMark/>
          </w:tcPr>
          <w:p w:rsidRPr="00F7534A" w:rsidR="00F7534A" w:rsidP="00F7534A" w:rsidRDefault="00F7534A" w14:paraId="79E26890" w14:textId="1A3F42BB">
            <w:pPr>
              <w:jc w:val="center"/>
              <w:rPr>
                <w:rFonts w:ascii="Verdana" w:hAnsi="Verdana"/>
                <w:sz w:val="18"/>
                <w:szCs w:val="18"/>
              </w:rPr>
            </w:pPr>
            <w:r w:rsidRPr="00F7534A">
              <w:rPr>
                <w:rFonts w:ascii="Verdana" w:hAnsi="Verdana"/>
                <w:sz w:val="18"/>
                <w:szCs w:val="18"/>
                <w:lang w:val="es-ES"/>
              </w:rPr>
              <w:t>12</w:t>
            </w:r>
          </w:p>
        </w:tc>
      </w:tr>
      <w:tr w:rsidRPr="00F7534A" w:rsidR="00F7534A" w:rsidTr="00F7534A" w14:paraId="1DB8E826" w14:textId="77777777">
        <w:trPr>
          <w:trHeight w:val="138"/>
        </w:trPr>
        <w:tc>
          <w:tcPr>
            <w:tcW w:w="4590" w:type="dxa"/>
            <w:vAlign w:val="center"/>
            <w:hideMark/>
          </w:tcPr>
          <w:p w:rsidRPr="00F7534A" w:rsidR="00F7534A" w:rsidP="00F7534A" w:rsidRDefault="00F7534A" w14:paraId="064BB2B6" w14:textId="07EFC732">
            <w:pPr>
              <w:jc w:val="center"/>
              <w:rPr>
                <w:rFonts w:ascii="Verdana" w:hAnsi="Verdana"/>
                <w:sz w:val="18"/>
                <w:szCs w:val="18"/>
              </w:rPr>
            </w:pPr>
            <w:r w:rsidRPr="00F7534A">
              <w:rPr>
                <w:rFonts w:ascii="Verdana" w:hAnsi="Verdana"/>
                <w:sz w:val="18"/>
                <w:szCs w:val="18"/>
                <w:lang w:val="es-ES"/>
              </w:rPr>
              <w:t>EVALUACIÓN DEL DESEMPEÑO</w:t>
            </w:r>
          </w:p>
        </w:tc>
        <w:tc>
          <w:tcPr>
            <w:tcW w:w="1845" w:type="dxa"/>
            <w:vAlign w:val="center"/>
            <w:hideMark/>
          </w:tcPr>
          <w:p w:rsidRPr="00F7534A" w:rsidR="00F7534A" w:rsidP="00F7534A" w:rsidRDefault="00F7534A" w14:paraId="21139283" w14:textId="14B972AD">
            <w:pPr>
              <w:jc w:val="center"/>
              <w:rPr>
                <w:rFonts w:ascii="Verdana" w:hAnsi="Verdana"/>
                <w:sz w:val="18"/>
                <w:szCs w:val="18"/>
              </w:rPr>
            </w:pPr>
            <w:r w:rsidRPr="00F7534A">
              <w:rPr>
                <w:rFonts w:ascii="Verdana" w:hAnsi="Verdana"/>
                <w:sz w:val="18"/>
                <w:szCs w:val="18"/>
                <w:lang w:val="es-ES"/>
              </w:rPr>
              <w:t>10</w:t>
            </w:r>
          </w:p>
        </w:tc>
        <w:tc>
          <w:tcPr>
            <w:tcW w:w="2220" w:type="dxa"/>
            <w:vAlign w:val="center"/>
            <w:hideMark/>
          </w:tcPr>
          <w:p w:rsidRPr="00F7534A" w:rsidR="00F7534A" w:rsidP="00F7534A" w:rsidRDefault="00F7534A" w14:paraId="06E86D61" w14:textId="29712274">
            <w:pPr>
              <w:jc w:val="center"/>
              <w:rPr>
                <w:rFonts w:ascii="Verdana" w:hAnsi="Verdana"/>
                <w:sz w:val="18"/>
                <w:szCs w:val="18"/>
              </w:rPr>
            </w:pPr>
            <w:r w:rsidRPr="00F7534A">
              <w:rPr>
                <w:rFonts w:ascii="Verdana" w:hAnsi="Verdana"/>
                <w:sz w:val="18"/>
                <w:szCs w:val="18"/>
                <w:lang w:val="es-ES"/>
              </w:rPr>
              <w:t>10</w:t>
            </w:r>
          </w:p>
        </w:tc>
      </w:tr>
      <w:tr w:rsidRPr="00F7534A" w:rsidR="00F7534A" w:rsidTr="00F7534A" w14:paraId="5B265EDF" w14:textId="77777777">
        <w:trPr>
          <w:trHeight w:val="206"/>
        </w:trPr>
        <w:tc>
          <w:tcPr>
            <w:tcW w:w="4590" w:type="dxa"/>
            <w:vAlign w:val="center"/>
            <w:hideMark/>
          </w:tcPr>
          <w:p w:rsidRPr="00F7534A" w:rsidR="00F7534A" w:rsidP="00F7534A" w:rsidRDefault="00F7534A" w14:paraId="59AEBF56" w14:textId="74437A2E">
            <w:pPr>
              <w:jc w:val="center"/>
              <w:rPr>
                <w:rFonts w:ascii="Verdana" w:hAnsi="Verdana"/>
                <w:sz w:val="18"/>
                <w:szCs w:val="18"/>
              </w:rPr>
            </w:pPr>
            <w:r w:rsidRPr="00F7534A">
              <w:rPr>
                <w:rFonts w:ascii="Verdana" w:hAnsi="Verdana"/>
                <w:sz w:val="18"/>
                <w:szCs w:val="18"/>
                <w:lang w:val="es-ES"/>
              </w:rPr>
              <w:t>MEJORA</w:t>
            </w:r>
          </w:p>
        </w:tc>
        <w:tc>
          <w:tcPr>
            <w:tcW w:w="1845" w:type="dxa"/>
            <w:vAlign w:val="center"/>
            <w:hideMark/>
          </w:tcPr>
          <w:p w:rsidRPr="00F7534A" w:rsidR="00F7534A" w:rsidP="00F7534A" w:rsidRDefault="00F7534A" w14:paraId="1FEF35AA" w14:textId="5BB31FD5">
            <w:pPr>
              <w:jc w:val="center"/>
              <w:rPr>
                <w:rFonts w:ascii="Verdana" w:hAnsi="Verdana"/>
                <w:sz w:val="18"/>
                <w:szCs w:val="18"/>
              </w:rPr>
            </w:pPr>
            <w:r w:rsidRPr="00F7534A">
              <w:rPr>
                <w:rFonts w:ascii="Verdana" w:hAnsi="Verdana"/>
                <w:sz w:val="18"/>
                <w:szCs w:val="18"/>
                <w:lang w:val="es-ES"/>
              </w:rPr>
              <w:t>3</w:t>
            </w:r>
          </w:p>
        </w:tc>
        <w:tc>
          <w:tcPr>
            <w:tcW w:w="2220" w:type="dxa"/>
            <w:vAlign w:val="center"/>
            <w:hideMark/>
          </w:tcPr>
          <w:p w:rsidRPr="00F7534A" w:rsidR="00F7534A" w:rsidP="00F7534A" w:rsidRDefault="00F7534A" w14:paraId="36EA720E" w14:textId="01D92897">
            <w:pPr>
              <w:jc w:val="center"/>
              <w:rPr>
                <w:rFonts w:ascii="Verdana" w:hAnsi="Verdana"/>
                <w:sz w:val="18"/>
                <w:szCs w:val="18"/>
              </w:rPr>
            </w:pPr>
            <w:r w:rsidRPr="00F7534A">
              <w:rPr>
                <w:rFonts w:ascii="Verdana" w:hAnsi="Verdana"/>
                <w:sz w:val="18"/>
                <w:szCs w:val="18"/>
                <w:lang w:val="es-ES"/>
              </w:rPr>
              <w:t>3</w:t>
            </w:r>
          </w:p>
        </w:tc>
      </w:tr>
      <w:tr w:rsidRPr="00F7534A" w:rsidR="00F7534A" w:rsidTr="00F7534A" w14:paraId="727F66C7" w14:textId="77777777">
        <w:trPr>
          <w:trHeight w:val="70"/>
        </w:trPr>
        <w:tc>
          <w:tcPr>
            <w:tcW w:w="4590" w:type="dxa"/>
            <w:vAlign w:val="center"/>
            <w:hideMark/>
          </w:tcPr>
          <w:p w:rsidRPr="00F7534A" w:rsidR="00F7534A" w:rsidP="00F7534A" w:rsidRDefault="00F7534A" w14:paraId="6A127E68" w14:textId="02F6E627">
            <w:pPr>
              <w:jc w:val="center"/>
              <w:rPr>
                <w:rFonts w:ascii="Verdana" w:hAnsi="Verdana"/>
                <w:sz w:val="18"/>
                <w:szCs w:val="18"/>
              </w:rPr>
            </w:pPr>
            <w:r w:rsidRPr="00F7534A">
              <w:rPr>
                <w:rFonts w:ascii="Verdana" w:hAnsi="Verdana"/>
                <w:sz w:val="18"/>
                <w:szCs w:val="18"/>
                <w:lang w:val="es-ES"/>
              </w:rPr>
              <w:t>PORCENTAJE DE CUMPLIMIENTO DEL SISTEMA DE GESTIÓN AMBIENTAL</w:t>
            </w:r>
          </w:p>
        </w:tc>
        <w:tc>
          <w:tcPr>
            <w:tcW w:w="1845" w:type="dxa"/>
            <w:vAlign w:val="center"/>
            <w:hideMark/>
          </w:tcPr>
          <w:p w:rsidRPr="00F7534A" w:rsidR="00F7534A" w:rsidP="00F7534A" w:rsidRDefault="00F7534A" w14:paraId="62883D1C" w14:textId="54E8099C">
            <w:pPr>
              <w:jc w:val="center"/>
              <w:rPr>
                <w:rFonts w:ascii="Verdana" w:hAnsi="Verdana"/>
                <w:sz w:val="18"/>
                <w:szCs w:val="18"/>
              </w:rPr>
            </w:pPr>
            <w:r w:rsidRPr="00F7534A">
              <w:rPr>
                <w:rFonts w:ascii="Verdana" w:hAnsi="Verdana"/>
                <w:sz w:val="18"/>
                <w:szCs w:val="18"/>
                <w:lang w:val="es-ES"/>
              </w:rPr>
              <w:t>100%</w:t>
            </w:r>
          </w:p>
        </w:tc>
        <w:tc>
          <w:tcPr>
            <w:tcW w:w="2220" w:type="dxa"/>
            <w:vAlign w:val="center"/>
            <w:hideMark/>
          </w:tcPr>
          <w:p w:rsidRPr="00F7534A" w:rsidR="00F7534A" w:rsidP="00F7534A" w:rsidRDefault="00F7534A" w14:paraId="1F9D5981" w14:textId="0AB0461E">
            <w:pPr>
              <w:jc w:val="center"/>
              <w:rPr>
                <w:rFonts w:ascii="Verdana" w:hAnsi="Verdana"/>
                <w:sz w:val="18"/>
                <w:szCs w:val="18"/>
              </w:rPr>
            </w:pPr>
            <w:r w:rsidRPr="00F7534A">
              <w:rPr>
                <w:rFonts w:ascii="Verdana" w:hAnsi="Verdana"/>
                <w:sz w:val="18"/>
                <w:szCs w:val="18"/>
                <w:lang w:val="es-ES"/>
              </w:rPr>
              <w:t>100%</w:t>
            </w:r>
          </w:p>
        </w:tc>
      </w:tr>
    </w:tbl>
    <w:p w:rsidRPr="00F7534A" w:rsidR="00F7534A" w:rsidP="00F7534A" w:rsidRDefault="00F7534A" w14:paraId="1C96D3FC" w14:textId="77777777">
      <w:pPr>
        <w:spacing w:after="0" w:line="240" w:lineRule="auto"/>
        <w:jc w:val="center"/>
        <w:rPr>
          <w:rFonts w:ascii="Verdana" w:hAnsi="Verdana"/>
          <w:sz w:val="18"/>
          <w:szCs w:val="18"/>
        </w:rPr>
      </w:pPr>
      <w:r w:rsidRPr="00F7534A">
        <w:rPr>
          <w:rFonts w:ascii="Verdana" w:hAnsi="Verdana"/>
          <w:sz w:val="18"/>
          <w:szCs w:val="18"/>
        </w:rPr>
        <w:t>Fuente: Elaboración propia - Diagnóstico del SGA.</w:t>
      </w:r>
    </w:p>
    <w:p w:rsidR="6BA17DAC" w:rsidP="6BA17DAC" w:rsidRDefault="6BA17DAC" w14:paraId="20E7F9BE" w14:textId="56A8C896">
      <w:pPr>
        <w:spacing w:after="0" w:line="360" w:lineRule="auto"/>
        <w:jc w:val="both"/>
        <w:rPr>
          <w:rFonts w:ascii="Verdana" w:hAnsi="Verdana"/>
          <w:b/>
          <w:bCs/>
          <w:sz w:val="24"/>
          <w:szCs w:val="24"/>
        </w:rPr>
      </w:pPr>
    </w:p>
    <w:p w:rsidRPr="00F7534A" w:rsidR="00F7534A" w:rsidP="005358E1" w:rsidRDefault="00F7534A" w14:paraId="40E1099D" w14:textId="11097617">
      <w:pPr>
        <w:spacing w:after="0" w:line="360" w:lineRule="auto"/>
        <w:jc w:val="both"/>
        <w:rPr>
          <w:rFonts w:ascii="Verdana" w:hAnsi="Verdana"/>
          <w:sz w:val="24"/>
          <w:szCs w:val="24"/>
        </w:rPr>
      </w:pPr>
      <w:r w:rsidRPr="00F7534A">
        <w:rPr>
          <w:rFonts w:ascii="Verdana" w:hAnsi="Verdana"/>
          <w:b/>
          <w:bCs/>
          <w:sz w:val="24"/>
          <w:szCs w:val="24"/>
        </w:rPr>
        <w:t>Aspectos e impactos ambientales </w:t>
      </w:r>
      <w:r w:rsidRPr="00F7534A">
        <w:rPr>
          <w:rFonts w:ascii="Verdana" w:hAnsi="Verdana"/>
          <w:sz w:val="24"/>
          <w:szCs w:val="24"/>
        </w:rPr>
        <w:t> </w:t>
      </w:r>
    </w:p>
    <w:p w:rsidR="00F7534A" w:rsidP="005358E1" w:rsidRDefault="00F7534A" w14:paraId="143AB610" w14:textId="77777777">
      <w:pPr>
        <w:spacing w:after="0" w:line="360" w:lineRule="auto"/>
        <w:jc w:val="both"/>
        <w:rPr>
          <w:rFonts w:ascii="Verdana" w:hAnsi="Verdana"/>
          <w:sz w:val="24"/>
          <w:szCs w:val="24"/>
        </w:rPr>
      </w:pPr>
      <w:r w:rsidRPr="00F7534A">
        <w:rPr>
          <w:rFonts w:ascii="Verdana" w:hAnsi="Verdana"/>
          <w:sz w:val="24"/>
          <w:szCs w:val="24"/>
        </w:rPr>
        <w:t xml:space="preserve">Así mismo, en este periodo de implementación del Sistema de Gestión Ambiental, se identificaron los aspectos e impactos ambientales por </w:t>
      </w:r>
      <w:r w:rsidRPr="00F7534A">
        <w:rPr>
          <w:rFonts w:ascii="Verdana" w:hAnsi="Verdana"/>
          <w:sz w:val="24"/>
          <w:szCs w:val="24"/>
        </w:rPr>
        <w:t>procesos, los cuales cuentan con sus respectivos controles operacionales, entre ellos se destacan: </w:t>
      </w:r>
    </w:p>
    <w:p w:rsidRPr="00F7534A" w:rsidR="00F7534A" w:rsidP="005358E1" w:rsidRDefault="00F7534A" w14:paraId="563F18FF" w14:textId="77777777">
      <w:pPr>
        <w:spacing w:after="0" w:line="360" w:lineRule="auto"/>
        <w:jc w:val="both"/>
        <w:rPr>
          <w:rFonts w:ascii="Verdana" w:hAnsi="Verdana"/>
          <w:sz w:val="24"/>
          <w:szCs w:val="24"/>
        </w:rPr>
      </w:pPr>
    </w:p>
    <w:p w:rsidRPr="00F7534A" w:rsidR="00F7534A" w:rsidP="00F7534A" w:rsidRDefault="00F7534A" w14:paraId="50BA6D80" w14:textId="09B33437">
      <w:pPr>
        <w:spacing w:after="0" w:line="240" w:lineRule="auto"/>
        <w:jc w:val="center"/>
        <w:rPr>
          <w:rFonts w:ascii="Verdana" w:hAnsi="Verdana"/>
          <w:b/>
          <w:bCs/>
          <w:sz w:val="18"/>
          <w:szCs w:val="18"/>
        </w:rPr>
      </w:pPr>
      <w:r w:rsidRPr="00F7534A">
        <w:rPr>
          <w:rFonts w:ascii="Verdana" w:hAnsi="Verdana"/>
          <w:sz w:val="18"/>
          <w:szCs w:val="18"/>
        </w:rPr>
        <w:t>Gráfico No. 6. Aspectos ambientales</w:t>
      </w:r>
    </w:p>
    <w:p w:rsidRPr="00F7534A" w:rsidR="00F7534A" w:rsidP="00F7534A" w:rsidRDefault="00F7534A" w14:paraId="57A99173" w14:textId="3AE6C9D8">
      <w:pPr>
        <w:spacing w:after="0" w:line="240" w:lineRule="auto"/>
        <w:jc w:val="center"/>
        <w:rPr>
          <w:rFonts w:ascii="Verdana" w:hAnsi="Verdana"/>
          <w:sz w:val="18"/>
          <w:szCs w:val="18"/>
        </w:rPr>
      </w:pPr>
      <w:r w:rsidRPr="00F7534A">
        <w:rPr>
          <w:rFonts w:ascii="Verdana" w:hAnsi="Verdana"/>
          <w:noProof/>
          <w:sz w:val="18"/>
          <w:szCs w:val="18"/>
        </w:rPr>
        <w:drawing>
          <wp:inline distT="0" distB="0" distL="0" distR="0" wp14:anchorId="20A92A1D" wp14:editId="66FA735B">
            <wp:extent cx="4105275" cy="1457325"/>
            <wp:effectExtent l="0" t="0" r="9525" b="9525"/>
            <wp:docPr id="1219769489"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105275" cy="1457325"/>
                    </a:xfrm>
                    <a:prstGeom prst="rect">
                      <a:avLst/>
                    </a:prstGeom>
                    <a:noFill/>
                    <a:ln>
                      <a:noFill/>
                    </a:ln>
                  </pic:spPr>
                </pic:pic>
              </a:graphicData>
            </a:graphic>
          </wp:inline>
        </w:drawing>
      </w:r>
    </w:p>
    <w:p w:rsidRPr="00F7534A" w:rsidR="00F7534A" w:rsidP="00F7534A" w:rsidRDefault="00F7534A" w14:paraId="1F3DCC5C" w14:textId="77777777">
      <w:pPr>
        <w:spacing w:after="0" w:line="240" w:lineRule="auto"/>
        <w:jc w:val="center"/>
        <w:rPr>
          <w:rFonts w:ascii="Verdana" w:hAnsi="Verdana"/>
          <w:sz w:val="18"/>
          <w:szCs w:val="18"/>
        </w:rPr>
      </w:pPr>
      <w:r w:rsidRPr="00F7534A">
        <w:rPr>
          <w:rFonts w:ascii="Verdana" w:hAnsi="Verdana"/>
          <w:sz w:val="18"/>
          <w:szCs w:val="18"/>
        </w:rPr>
        <w:t>Fuente: Matriz de identificación de aspectos y valoración de impactos ambientales 2025</w:t>
      </w:r>
    </w:p>
    <w:p w:rsidR="00F7534A" w:rsidP="005358E1" w:rsidRDefault="00F7534A" w14:paraId="4E8206EF" w14:textId="77777777">
      <w:pPr>
        <w:spacing w:after="0" w:line="360" w:lineRule="auto"/>
        <w:jc w:val="both"/>
        <w:rPr>
          <w:rFonts w:ascii="Verdana" w:hAnsi="Verdana"/>
          <w:sz w:val="24"/>
          <w:szCs w:val="24"/>
        </w:rPr>
      </w:pPr>
    </w:p>
    <w:p w:rsidRPr="00F7534A" w:rsidR="00F7534A" w:rsidP="005358E1" w:rsidRDefault="00F7534A" w14:paraId="0A63FECD" w14:textId="77777777">
      <w:pPr>
        <w:spacing w:after="0" w:line="360" w:lineRule="auto"/>
        <w:jc w:val="both"/>
        <w:rPr>
          <w:rFonts w:ascii="Verdana" w:hAnsi="Verdana"/>
          <w:sz w:val="24"/>
          <w:szCs w:val="24"/>
        </w:rPr>
      </w:pPr>
      <w:r w:rsidRPr="00F7534A">
        <w:rPr>
          <w:rFonts w:ascii="Verdana" w:hAnsi="Verdana"/>
          <w:sz w:val="24"/>
          <w:szCs w:val="24"/>
        </w:rPr>
        <w:t>El Ministerio de Minas y Energía ha fortalecido la sostenibilidad ambiental institucional mediante la implementación de este sistema, enfocado a mejorar el desempeño ambiental, el uso responsable de los recursos, el cumplimiento de la normatividad aplicable y la consolidación de instrumentos de gestión para la planeación, seguimiento y control. </w:t>
      </w:r>
    </w:p>
    <w:p w:rsidRPr="00F7534A" w:rsidR="00F7534A" w:rsidP="005358E1" w:rsidRDefault="00F7534A" w14:paraId="4C5DAD3D" w14:textId="77777777">
      <w:pPr>
        <w:spacing w:after="0" w:line="360" w:lineRule="auto"/>
        <w:jc w:val="both"/>
        <w:rPr>
          <w:rFonts w:ascii="Verdana" w:hAnsi="Verdana"/>
          <w:b/>
          <w:bCs/>
          <w:sz w:val="24"/>
          <w:szCs w:val="24"/>
        </w:rPr>
      </w:pPr>
    </w:p>
    <w:p w:rsidRPr="00F7534A" w:rsidR="00F7534A" w:rsidP="005358E1" w:rsidRDefault="00F7534A" w14:paraId="3932B386" w14:textId="4F174FD0">
      <w:pPr>
        <w:spacing w:after="0" w:line="360" w:lineRule="auto"/>
        <w:jc w:val="both"/>
        <w:rPr>
          <w:rFonts w:ascii="Verdana" w:hAnsi="Verdana"/>
          <w:b/>
          <w:bCs/>
          <w:sz w:val="24"/>
          <w:szCs w:val="24"/>
        </w:rPr>
      </w:pPr>
      <w:r w:rsidRPr="00F7534A">
        <w:rPr>
          <w:rFonts w:ascii="Verdana" w:hAnsi="Verdana"/>
          <w:b/>
          <w:bCs/>
          <w:sz w:val="24"/>
          <w:szCs w:val="24"/>
        </w:rPr>
        <w:t>Programas ambientales  </w:t>
      </w:r>
    </w:p>
    <w:p w:rsidRPr="00F7534A" w:rsidR="00F7534A" w:rsidP="005358E1" w:rsidRDefault="00F7534A" w14:paraId="691DE63B" w14:textId="77777777">
      <w:pPr>
        <w:spacing w:after="0" w:line="360" w:lineRule="auto"/>
        <w:jc w:val="both"/>
        <w:rPr>
          <w:rFonts w:ascii="Verdana" w:hAnsi="Verdana"/>
          <w:sz w:val="24"/>
          <w:szCs w:val="24"/>
        </w:rPr>
      </w:pPr>
      <w:r w:rsidRPr="00F7534A">
        <w:rPr>
          <w:rFonts w:ascii="Verdana" w:hAnsi="Verdana"/>
          <w:sz w:val="24"/>
          <w:szCs w:val="24"/>
        </w:rPr>
        <w:t>Para el cumplimiento de los objetivos del Sistema de Gestión Ambiental, el Ministerio cuenta con programas ambientales que promueven buenas prácticas ambientales y una cultura institucional sostenible, es por esto, que se definieron los siguientes:  </w:t>
      </w:r>
    </w:p>
    <w:p w:rsidRPr="00F7534A" w:rsidR="00F7534A" w:rsidP="005358E1" w:rsidRDefault="00F7534A" w14:paraId="175A2457" w14:textId="77777777">
      <w:pPr>
        <w:spacing w:after="0" w:line="360" w:lineRule="auto"/>
        <w:jc w:val="both"/>
        <w:rPr>
          <w:rFonts w:ascii="Verdana" w:hAnsi="Verdana"/>
          <w:sz w:val="24"/>
          <w:szCs w:val="24"/>
        </w:rPr>
      </w:pPr>
      <w:r w:rsidRPr="00F7534A">
        <w:rPr>
          <w:rFonts w:ascii="Verdana" w:hAnsi="Verdana"/>
          <w:sz w:val="24"/>
          <w:szCs w:val="24"/>
        </w:rPr>
        <w:t> </w:t>
      </w:r>
    </w:p>
    <w:p w:rsidRPr="00A079D9" w:rsidR="00F7534A" w:rsidP="00F7534A" w:rsidRDefault="00F7534A" w14:paraId="7830CF34" w14:textId="6589283F">
      <w:pPr>
        <w:spacing w:after="0" w:line="240" w:lineRule="auto"/>
        <w:jc w:val="center"/>
        <w:rPr>
          <w:rFonts w:ascii="Verdana" w:hAnsi="Verdana"/>
          <w:sz w:val="18"/>
          <w:szCs w:val="18"/>
        </w:rPr>
      </w:pPr>
      <w:r w:rsidRPr="00A079D9">
        <w:rPr>
          <w:rFonts w:ascii="Verdana" w:hAnsi="Verdana"/>
          <w:sz w:val="18"/>
          <w:szCs w:val="18"/>
        </w:rPr>
        <w:t xml:space="preserve">Gráfico </w:t>
      </w:r>
      <w:r w:rsidRPr="00A079D9" w:rsidR="00A079D9">
        <w:rPr>
          <w:rFonts w:ascii="Verdana" w:hAnsi="Verdana"/>
          <w:sz w:val="18"/>
          <w:szCs w:val="18"/>
        </w:rPr>
        <w:t>N</w:t>
      </w:r>
      <w:r w:rsidRPr="00A079D9">
        <w:rPr>
          <w:rFonts w:ascii="Verdana" w:hAnsi="Verdana"/>
          <w:sz w:val="18"/>
          <w:szCs w:val="18"/>
        </w:rPr>
        <w:t>o. 7. Programas Ambientales</w:t>
      </w:r>
      <w:r w:rsidRPr="00A079D9">
        <w:rPr>
          <w:rFonts w:ascii="Verdana" w:hAnsi="Verdana"/>
          <w:noProof/>
          <w:sz w:val="18"/>
          <w:szCs w:val="18"/>
        </w:rPr>
        <w:drawing>
          <wp:inline distT="0" distB="0" distL="0" distR="0" wp14:anchorId="5FA9FCF5" wp14:editId="7D2C893F">
            <wp:extent cx="5486400" cy="2971800"/>
            <wp:effectExtent l="0" t="0" r="0" b="0"/>
            <wp:docPr id="829132847"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86400" cy="2971800"/>
                    </a:xfrm>
                    <a:prstGeom prst="rect">
                      <a:avLst/>
                    </a:prstGeom>
                    <a:noFill/>
                    <a:ln>
                      <a:noFill/>
                    </a:ln>
                  </pic:spPr>
                </pic:pic>
              </a:graphicData>
            </a:graphic>
          </wp:inline>
        </w:drawing>
      </w:r>
    </w:p>
    <w:p w:rsidRPr="00A079D9" w:rsidR="00F7534A" w:rsidP="00F7534A" w:rsidRDefault="00F7534A" w14:paraId="038A078A" w14:textId="562819F5">
      <w:pPr>
        <w:spacing w:after="0" w:line="240" w:lineRule="auto"/>
        <w:jc w:val="center"/>
        <w:rPr>
          <w:rFonts w:ascii="Verdana" w:hAnsi="Verdana"/>
          <w:sz w:val="18"/>
          <w:szCs w:val="18"/>
        </w:rPr>
      </w:pPr>
      <w:r w:rsidRPr="00A079D9">
        <w:rPr>
          <w:rFonts w:ascii="Verdana" w:hAnsi="Verdana"/>
          <w:sz w:val="18"/>
          <w:szCs w:val="18"/>
        </w:rPr>
        <w:t>Fuente: Manual del Sistema Integrado de Gestión</w:t>
      </w:r>
    </w:p>
    <w:p w:rsidRPr="00A079D9" w:rsidR="00F7534A" w:rsidP="00F7534A" w:rsidRDefault="00F7534A" w14:paraId="475269AF" w14:textId="77777777">
      <w:pPr>
        <w:spacing w:after="0" w:line="240" w:lineRule="auto"/>
        <w:jc w:val="center"/>
        <w:rPr>
          <w:rFonts w:ascii="Verdana" w:hAnsi="Verdana"/>
          <w:b/>
          <w:bCs/>
          <w:sz w:val="18"/>
          <w:szCs w:val="18"/>
        </w:rPr>
      </w:pPr>
    </w:p>
    <w:p w:rsidR="00A079D9" w:rsidP="005358E1" w:rsidRDefault="00A079D9" w14:paraId="5C4264A3" w14:textId="77777777">
      <w:pPr>
        <w:spacing w:after="0" w:line="360" w:lineRule="auto"/>
        <w:jc w:val="both"/>
        <w:rPr>
          <w:rFonts w:ascii="Verdana" w:hAnsi="Verdana"/>
          <w:b/>
          <w:bCs/>
          <w:sz w:val="24"/>
          <w:szCs w:val="24"/>
        </w:rPr>
      </w:pPr>
    </w:p>
    <w:p w:rsidRPr="00A079D9" w:rsidR="00A079D9" w:rsidP="005358E1" w:rsidRDefault="00A079D9" w14:paraId="6D833240" w14:textId="704683FD">
      <w:pPr>
        <w:spacing w:after="0" w:line="360" w:lineRule="auto"/>
        <w:jc w:val="both"/>
        <w:rPr>
          <w:rFonts w:ascii="Verdana" w:hAnsi="Verdana"/>
          <w:b/>
          <w:bCs/>
          <w:sz w:val="24"/>
          <w:szCs w:val="24"/>
        </w:rPr>
      </w:pPr>
      <w:r w:rsidRPr="00A079D9">
        <w:rPr>
          <w:rFonts w:ascii="Verdana" w:hAnsi="Verdana"/>
          <w:b/>
          <w:bCs/>
          <w:sz w:val="24"/>
          <w:szCs w:val="24"/>
        </w:rPr>
        <w:t>Cumplimiento de requisitos legales ambientales y otros aplicables  </w:t>
      </w:r>
    </w:p>
    <w:p w:rsidRPr="00A079D9" w:rsidR="00A079D9" w:rsidP="005358E1" w:rsidRDefault="00A079D9" w14:paraId="059073A1" w14:textId="77777777">
      <w:pPr>
        <w:spacing w:after="0" w:line="360" w:lineRule="auto"/>
        <w:jc w:val="both"/>
        <w:rPr>
          <w:rFonts w:ascii="Verdana" w:hAnsi="Verdana"/>
          <w:sz w:val="24"/>
          <w:szCs w:val="24"/>
        </w:rPr>
      </w:pPr>
    </w:p>
    <w:p w:rsidR="00A079D9" w:rsidP="005358E1" w:rsidRDefault="00A079D9" w14:paraId="5D2BA01C" w14:textId="15B2C085">
      <w:pPr>
        <w:spacing w:after="0" w:line="360" w:lineRule="auto"/>
        <w:jc w:val="both"/>
        <w:rPr>
          <w:rFonts w:ascii="Verdana" w:hAnsi="Verdana"/>
          <w:sz w:val="24"/>
          <w:szCs w:val="24"/>
        </w:rPr>
      </w:pPr>
      <w:r w:rsidRPr="00A079D9">
        <w:rPr>
          <w:rFonts w:ascii="Verdana" w:hAnsi="Verdana"/>
          <w:sz w:val="24"/>
          <w:szCs w:val="24"/>
        </w:rPr>
        <w:t>Frente al cumplimiento normativo, el Ministerio ha identificado ochenta y siete (87) requisitos legales y otros aplicables, de los cuales, tras su evaluación se logra un cumplimiento de ochenta y cuatro (84) requisitos y tres (3) relacionados con acciones enfocadas en plásticos de un sólo uso, que se encuentran clasificados como no cumplidos y cuentan con plan de trabajo para su gestión. </w:t>
      </w:r>
    </w:p>
    <w:p w:rsidR="00A079D9" w:rsidP="005358E1" w:rsidRDefault="00A079D9" w14:paraId="147F0711" w14:textId="77777777">
      <w:pPr>
        <w:spacing w:after="0" w:line="360" w:lineRule="auto"/>
        <w:jc w:val="both"/>
        <w:rPr>
          <w:rFonts w:ascii="Verdana" w:hAnsi="Verdana"/>
          <w:sz w:val="24"/>
          <w:szCs w:val="24"/>
        </w:rPr>
      </w:pPr>
    </w:p>
    <w:p w:rsidRPr="00A079D9" w:rsidR="00A079D9" w:rsidP="00A079D9" w:rsidRDefault="00A079D9" w14:paraId="06C0A714" w14:textId="5A763C50">
      <w:pPr>
        <w:spacing w:after="0" w:line="360" w:lineRule="auto"/>
        <w:jc w:val="center"/>
        <w:rPr>
          <w:rFonts w:ascii="Verdana" w:hAnsi="Verdana"/>
          <w:b/>
          <w:bCs/>
          <w:sz w:val="18"/>
          <w:szCs w:val="18"/>
        </w:rPr>
      </w:pPr>
      <w:r w:rsidRPr="00A079D9">
        <w:rPr>
          <w:rFonts w:ascii="Verdana" w:hAnsi="Verdana"/>
          <w:sz w:val="18"/>
          <w:szCs w:val="18"/>
        </w:rPr>
        <w:t xml:space="preserve">Gráfico </w:t>
      </w:r>
      <w:r>
        <w:rPr>
          <w:rFonts w:ascii="Verdana" w:hAnsi="Verdana"/>
          <w:sz w:val="18"/>
          <w:szCs w:val="18"/>
        </w:rPr>
        <w:t>No. 8</w:t>
      </w:r>
      <w:r w:rsidRPr="00A079D9">
        <w:rPr>
          <w:rFonts w:ascii="Verdana" w:hAnsi="Verdana"/>
          <w:sz w:val="18"/>
          <w:szCs w:val="18"/>
        </w:rPr>
        <w:t>. Balance cumplimiento requisitos legales ambientales y otros aplicables</w:t>
      </w:r>
    </w:p>
    <w:p w:rsidRPr="00A079D9" w:rsidR="00A079D9" w:rsidP="00A079D9" w:rsidRDefault="00A079D9" w14:paraId="27D64EC2" w14:textId="6256F353">
      <w:pPr>
        <w:spacing w:after="0" w:line="360" w:lineRule="auto"/>
        <w:jc w:val="center"/>
        <w:rPr>
          <w:rFonts w:ascii="Verdana" w:hAnsi="Verdana"/>
          <w:sz w:val="18"/>
          <w:szCs w:val="18"/>
        </w:rPr>
      </w:pPr>
      <w:r w:rsidRPr="00A079D9">
        <w:rPr>
          <w:rFonts w:ascii="Verdana" w:hAnsi="Verdana"/>
          <w:noProof/>
          <w:sz w:val="18"/>
          <w:szCs w:val="18"/>
        </w:rPr>
        <w:drawing>
          <wp:inline distT="0" distB="0" distL="0" distR="0" wp14:anchorId="7DE9A089" wp14:editId="1C5D640C">
            <wp:extent cx="4505325" cy="1704975"/>
            <wp:effectExtent l="0" t="0" r="0" b="9525"/>
            <wp:docPr id="112099480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505325" cy="1704975"/>
                    </a:xfrm>
                    <a:prstGeom prst="rect">
                      <a:avLst/>
                    </a:prstGeom>
                    <a:noFill/>
                    <a:ln>
                      <a:noFill/>
                    </a:ln>
                  </pic:spPr>
                </pic:pic>
              </a:graphicData>
            </a:graphic>
          </wp:inline>
        </w:drawing>
      </w:r>
    </w:p>
    <w:p w:rsidRPr="00A079D9" w:rsidR="00A079D9" w:rsidP="00A079D9" w:rsidRDefault="00A079D9" w14:paraId="63982D8F" w14:textId="3CC1969D">
      <w:pPr>
        <w:spacing w:after="0" w:line="360" w:lineRule="auto"/>
        <w:jc w:val="center"/>
        <w:rPr>
          <w:rFonts w:ascii="Verdana" w:hAnsi="Verdana"/>
          <w:sz w:val="18"/>
          <w:szCs w:val="18"/>
        </w:rPr>
      </w:pPr>
      <w:r w:rsidRPr="00A079D9">
        <w:rPr>
          <w:rFonts w:ascii="Verdana" w:hAnsi="Verdana"/>
          <w:sz w:val="18"/>
          <w:szCs w:val="18"/>
        </w:rPr>
        <w:t>Fuente: Matriz legal ambiental 2026</w:t>
      </w:r>
    </w:p>
    <w:p w:rsidR="00A079D9" w:rsidP="005358E1" w:rsidRDefault="00A079D9" w14:paraId="570383B1" w14:textId="77777777">
      <w:pPr>
        <w:spacing w:after="0" w:line="360" w:lineRule="auto"/>
        <w:jc w:val="both"/>
        <w:rPr>
          <w:rFonts w:ascii="Verdana" w:hAnsi="Verdana"/>
          <w:sz w:val="24"/>
          <w:szCs w:val="24"/>
        </w:rPr>
      </w:pPr>
    </w:p>
    <w:p w:rsidR="00A079D9" w:rsidP="005358E1" w:rsidRDefault="00A079D9" w14:paraId="1299FB1C" w14:textId="2947640B">
      <w:pPr>
        <w:spacing w:after="0" w:line="360" w:lineRule="auto"/>
        <w:jc w:val="both"/>
        <w:rPr>
          <w:rFonts w:ascii="Verdana" w:hAnsi="Verdana"/>
          <w:b/>
          <w:sz w:val="24"/>
          <w:szCs w:val="24"/>
        </w:rPr>
      </w:pPr>
      <w:r w:rsidRPr="00A079D9">
        <w:rPr>
          <w:rFonts w:ascii="Verdana" w:hAnsi="Verdana"/>
          <w:b/>
          <w:bCs/>
          <w:sz w:val="24"/>
          <w:szCs w:val="24"/>
        </w:rPr>
        <w:t>Jornadas de formación y toma de conciencia </w:t>
      </w:r>
    </w:p>
    <w:p w:rsidRPr="00A079D9" w:rsidR="00A079D9" w:rsidP="005358E1" w:rsidRDefault="00A079D9" w14:paraId="63B488C3" w14:textId="19454CA4">
      <w:pPr>
        <w:spacing w:after="0" w:line="360" w:lineRule="auto"/>
        <w:jc w:val="both"/>
        <w:rPr>
          <w:rFonts w:ascii="Verdana" w:hAnsi="Verdana"/>
          <w:sz w:val="24"/>
          <w:szCs w:val="24"/>
        </w:rPr>
      </w:pPr>
      <w:r w:rsidRPr="00A079D9">
        <w:rPr>
          <w:rFonts w:ascii="Verdana" w:hAnsi="Verdana"/>
          <w:sz w:val="24"/>
          <w:szCs w:val="24"/>
        </w:rPr>
        <w:t>Durante el cuatrienio se ejecutaron treinta (30) jornadas de formación y sensibilización ambiental dirigidas a funcionarios, contratistas, personal de servicios tercerizados y familias de los colaboradores. Las temáticas abordadas incluyeron: uso eficiente del agua y la energía, gestión integral de residuos sólidos, generalidades del SGA, movilidad sostenible (ciclopaseos, caminatas ecológicas, taller de despinche), consumo sostenible, reducción del uso de plásticos de un solo uso, y cambio climático. Estas acciones contribuyeron a fortalecer la cultura ambiental institucional como soporte de la implementación del SGA.  </w:t>
      </w:r>
    </w:p>
    <w:p w:rsidR="00A079D9" w:rsidP="005358E1" w:rsidRDefault="00A079D9" w14:paraId="037BDCB3" w14:textId="77777777">
      <w:pPr>
        <w:spacing w:after="0" w:line="360" w:lineRule="auto"/>
        <w:jc w:val="both"/>
        <w:rPr>
          <w:rFonts w:ascii="Verdana" w:hAnsi="Verdana"/>
          <w:sz w:val="24"/>
          <w:szCs w:val="24"/>
        </w:rPr>
      </w:pPr>
    </w:p>
    <w:p w:rsidR="00A079D9" w:rsidP="005358E1" w:rsidRDefault="00A079D9" w14:paraId="530B4809" w14:textId="4316F496">
      <w:pPr>
        <w:spacing w:after="0" w:line="360" w:lineRule="auto"/>
        <w:jc w:val="both"/>
        <w:rPr>
          <w:rFonts w:ascii="Verdana" w:hAnsi="Verdana"/>
          <w:b/>
          <w:sz w:val="24"/>
          <w:szCs w:val="24"/>
        </w:rPr>
      </w:pPr>
      <w:r w:rsidRPr="00A079D9">
        <w:rPr>
          <w:rFonts w:ascii="Verdana" w:hAnsi="Verdana"/>
          <w:b/>
          <w:bCs/>
          <w:sz w:val="24"/>
          <w:szCs w:val="24"/>
        </w:rPr>
        <w:t>Programa de Excelencia Ambiental Distrital (PREAD) </w:t>
      </w:r>
    </w:p>
    <w:p w:rsidRPr="00A079D9" w:rsidR="00A079D9" w:rsidP="005358E1" w:rsidRDefault="00A079D9" w14:paraId="06F3EF6F" w14:textId="711523CC">
      <w:pPr>
        <w:spacing w:after="0" w:line="360" w:lineRule="auto"/>
        <w:jc w:val="both"/>
        <w:rPr>
          <w:rFonts w:ascii="Verdana" w:hAnsi="Verdana"/>
          <w:sz w:val="24"/>
          <w:szCs w:val="24"/>
        </w:rPr>
      </w:pPr>
      <w:r w:rsidRPr="00A079D9">
        <w:rPr>
          <w:rFonts w:ascii="Verdana" w:hAnsi="Verdana"/>
          <w:sz w:val="24"/>
          <w:szCs w:val="24"/>
        </w:rPr>
        <w:t>Se ha logrado una evolución positiva en los resultados obtenidos en este programa de evaluación y reconocimiento ambiental, en el cual la entidad participa desde la vigencia 2023, obteniendo inicialmente el nivel “</w:t>
      </w:r>
      <w:r w:rsidRPr="00A079D9">
        <w:rPr>
          <w:rFonts w:ascii="Verdana" w:hAnsi="Verdana"/>
          <w:i/>
          <w:iCs/>
          <w:sz w:val="24"/>
          <w:szCs w:val="24"/>
        </w:rPr>
        <w:t>En marcha hacia la excelencia ambiental”</w:t>
      </w:r>
      <w:r w:rsidRPr="00A079D9">
        <w:rPr>
          <w:rFonts w:ascii="Verdana" w:hAnsi="Verdana"/>
          <w:sz w:val="24"/>
          <w:szCs w:val="24"/>
        </w:rPr>
        <w:t>. Posteriormente, en las vigencias 2024 y 2025 se alcanzó y mantuvo el nivel de “</w:t>
      </w:r>
      <w:r w:rsidRPr="00A079D9">
        <w:rPr>
          <w:rFonts w:ascii="Verdana" w:hAnsi="Verdana"/>
          <w:i/>
          <w:iCs/>
          <w:sz w:val="24"/>
          <w:szCs w:val="24"/>
        </w:rPr>
        <w:t>excelencia ambiental”</w:t>
      </w:r>
      <w:r w:rsidRPr="00A079D9">
        <w:rPr>
          <w:rFonts w:ascii="Verdana" w:hAnsi="Verdana"/>
          <w:sz w:val="24"/>
          <w:szCs w:val="24"/>
        </w:rPr>
        <w:t>, evidenciando el fortalecimiento del desempeño ambiental institucional. </w:t>
      </w:r>
    </w:p>
    <w:p w:rsidR="00A079D9" w:rsidP="005358E1" w:rsidRDefault="00A079D9" w14:paraId="0105EFC6" w14:textId="77777777">
      <w:pPr>
        <w:spacing w:after="0" w:line="360" w:lineRule="auto"/>
        <w:jc w:val="both"/>
        <w:rPr>
          <w:rFonts w:ascii="Verdana" w:hAnsi="Verdana"/>
          <w:sz w:val="24"/>
          <w:szCs w:val="24"/>
        </w:rPr>
      </w:pPr>
    </w:p>
    <w:p w:rsidRPr="00A079D9" w:rsidR="00A079D9" w:rsidP="00A079D9" w:rsidRDefault="00A079D9" w14:paraId="2600910A" w14:textId="73F40AA9">
      <w:pPr>
        <w:spacing w:after="0" w:line="240" w:lineRule="auto"/>
        <w:jc w:val="center"/>
        <w:rPr>
          <w:rFonts w:ascii="Verdana" w:hAnsi="Verdana"/>
          <w:b/>
          <w:bCs/>
          <w:sz w:val="18"/>
          <w:szCs w:val="18"/>
        </w:rPr>
      </w:pPr>
      <w:r w:rsidRPr="00A079D9">
        <w:rPr>
          <w:rFonts w:ascii="Verdana" w:hAnsi="Verdana"/>
          <w:sz w:val="18"/>
          <w:szCs w:val="18"/>
        </w:rPr>
        <w:t>Gráfico </w:t>
      </w:r>
      <w:r>
        <w:rPr>
          <w:rFonts w:ascii="Verdana" w:hAnsi="Verdana"/>
          <w:sz w:val="18"/>
          <w:szCs w:val="18"/>
        </w:rPr>
        <w:t>No. 9</w:t>
      </w:r>
      <w:r w:rsidRPr="00A079D9">
        <w:rPr>
          <w:rFonts w:ascii="Verdana" w:hAnsi="Verdana"/>
          <w:sz w:val="18"/>
          <w:szCs w:val="18"/>
        </w:rPr>
        <w:t>. Nivel de reconocimiento PREAD 2023-2025</w:t>
      </w:r>
    </w:p>
    <w:p w:rsidRPr="00A079D9" w:rsidR="00A079D9" w:rsidP="00A079D9" w:rsidRDefault="00A079D9" w14:paraId="7EC9027F" w14:textId="63025325">
      <w:pPr>
        <w:spacing w:after="0" w:line="240" w:lineRule="auto"/>
        <w:jc w:val="center"/>
        <w:rPr>
          <w:rFonts w:ascii="Verdana" w:hAnsi="Verdana"/>
          <w:sz w:val="18"/>
          <w:szCs w:val="18"/>
        </w:rPr>
      </w:pPr>
      <w:r w:rsidRPr="00A079D9">
        <w:rPr>
          <w:rFonts w:ascii="Verdana" w:hAnsi="Verdana"/>
          <w:noProof/>
          <w:sz w:val="18"/>
          <w:szCs w:val="18"/>
        </w:rPr>
        <w:drawing>
          <wp:inline distT="0" distB="0" distL="0" distR="0" wp14:anchorId="5A36B166" wp14:editId="1A39B398">
            <wp:extent cx="4419600" cy="1971675"/>
            <wp:effectExtent l="0" t="0" r="0" b="9525"/>
            <wp:docPr id="1754351663"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419600" cy="1971675"/>
                    </a:xfrm>
                    <a:prstGeom prst="rect">
                      <a:avLst/>
                    </a:prstGeom>
                    <a:noFill/>
                    <a:ln>
                      <a:noFill/>
                    </a:ln>
                  </pic:spPr>
                </pic:pic>
              </a:graphicData>
            </a:graphic>
          </wp:inline>
        </w:drawing>
      </w:r>
    </w:p>
    <w:p w:rsidRPr="00A079D9" w:rsidR="00A079D9" w:rsidP="00A079D9" w:rsidRDefault="00A079D9" w14:paraId="0071C87D" w14:textId="6B3C8EAD">
      <w:pPr>
        <w:spacing w:after="0" w:line="240" w:lineRule="auto"/>
        <w:jc w:val="center"/>
        <w:rPr>
          <w:rFonts w:ascii="Verdana" w:hAnsi="Verdana"/>
          <w:sz w:val="24"/>
          <w:szCs w:val="24"/>
        </w:rPr>
      </w:pPr>
      <w:r w:rsidRPr="00A079D9">
        <w:rPr>
          <w:rFonts w:ascii="Verdana" w:hAnsi="Verdana"/>
          <w:sz w:val="18"/>
          <w:szCs w:val="18"/>
        </w:rPr>
        <w:t>Fuente: Informes finales PREAD 2023-2025</w:t>
      </w:r>
    </w:p>
    <w:p w:rsidRPr="00A079D9" w:rsidR="00A079D9" w:rsidP="005358E1" w:rsidRDefault="00A079D9" w14:paraId="02BCB131" w14:textId="77777777">
      <w:pPr>
        <w:spacing w:after="0" w:line="360" w:lineRule="auto"/>
        <w:jc w:val="both"/>
        <w:rPr>
          <w:rFonts w:ascii="Verdana" w:hAnsi="Verdana"/>
          <w:b/>
          <w:bCs/>
          <w:sz w:val="24"/>
          <w:szCs w:val="24"/>
        </w:rPr>
      </w:pPr>
    </w:p>
    <w:p w:rsidR="00A079D9" w:rsidP="005358E1" w:rsidRDefault="00A079D9" w14:paraId="6BDBAFBC" w14:textId="6DBFFF8F">
      <w:pPr>
        <w:spacing w:after="0" w:line="360" w:lineRule="auto"/>
        <w:jc w:val="both"/>
        <w:rPr>
          <w:rFonts w:ascii="Verdana" w:hAnsi="Verdana"/>
          <w:b/>
          <w:sz w:val="24"/>
          <w:szCs w:val="24"/>
        </w:rPr>
      </w:pPr>
      <w:r w:rsidRPr="00A079D9">
        <w:rPr>
          <w:rFonts w:ascii="Verdana" w:hAnsi="Verdana"/>
          <w:b/>
          <w:bCs/>
          <w:sz w:val="24"/>
          <w:szCs w:val="24"/>
        </w:rPr>
        <w:t>Desempeño ambiental  </w:t>
      </w:r>
    </w:p>
    <w:p w:rsidR="00A079D9" w:rsidP="005358E1" w:rsidRDefault="00A079D9" w14:paraId="301A2917" w14:textId="1BE6446C">
      <w:pPr>
        <w:spacing w:after="0" w:line="360" w:lineRule="auto"/>
        <w:jc w:val="both"/>
        <w:rPr>
          <w:rFonts w:ascii="Verdana" w:hAnsi="Verdana"/>
          <w:sz w:val="24"/>
          <w:szCs w:val="24"/>
        </w:rPr>
      </w:pPr>
      <w:r w:rsidRPr="00A079D9">
        <w:rPr>
          <w:rFonts w:ascii="Verdana" w:hAnsi="Verdana"/>
          <w:sz w:val="24"/>
          <w:szCs w:val="24"/>
        </w:rPr>
        <w:t>La entidad realiza un seguimiento continuo de los consumos de agua, energía y papel para detectar desviaciones y asegurar la eficiencia operativa. El comportamiento de los indicadores está sujeto a las dinámicas de presencialidad y al número de funcionarios y contratistas vinculados. A continuación, se presenta la trazabilidad del periodo: </w:t>
      </w:r>
    </w:p>
    <w:p w:rsidRPr="00A079D9" w:rsidR="00A079D9" w:rsidP="005358E1" w:rsidRDefault="00A079D9" w14:paraId="069CDFA1" w14:textId="77777777">
      <w:pPr>
        <w:spacing w:after="0" w:line="360" w:lineRule="auto"/>
        <w:jc w:val="both"/>
        <w:rPr>
          <w:rFonts w:ascii="Verdana" w:hAnsi="Verdana"/>
          <w:sz w:val="24"/>
          <w:szCs w:val="24"/>
        </w:rPr>
      </w:pPr>
    </w:p>
    <w:p w:rsidR="00A079D9" w:rsidRDefault="00A079D9" w14:paraId="76A72551" w14:textId="77777777">
      <w:pPr>
        <w:numPr>
          <w:ilvl w:val="0"/>
          <w:numId w:val="170"/>
        </w:numPr>
        <w:spacing w:after="0" w:line="360" w:lineRule="auto"/>
        <w:jc w:val="both"/>
        <w:rPr>
          <w:rFonts w:ascii="Verdana" w:hAnsi="Verdana"/>
          <w:sz w:val="24"/>
          <w:szCs w:val="24"/>
        </w:rPr>
      </w:pPr>
      <w:r w:rsidRPr="00A079D9">
        <w:rPr>
          <w:rFonts w:ascii="Verdana" w:hAnsi="Verdana"/>
          <w:sz w:val="24"/>
          <w:szCs w:val="24"/>
        </w:rPr>
        <w:t>Consumo de energía: El consumo mensual de energía eléctrica se mantuvo estable, oscilando mayoritariamente entre 27.000 y 31.000 kWh. Como avance de gestión, en 2024, se implementó el apagado de luminarias en pasillos y áreas de baja concurrencia, lo que permitió mitigar incrementos y registrar una disminución de consumo frente a periodos anteriores. Con corte a marzo 2026, se refleja una eficiencia sostenida, logrando absorber el impacto del aumento de personal sin generar cambios abruptos en la demanda energética. </w:t>
      </w:r>
    </w:p>
    <w:p w:rsidRPr="00A079D9" w:rsidR="00A079D9" w:rsidP="005358E1" w:rsidRDefault="00A079D9" w14:paraId="34543D8D" w14:textId="77777777">
      <w:pPr>
        <w:spacing w:after="0" w:line="360" w:lineRule="auto"/>
        <w:ind w:left="720"/>
        <w:jc w:val="both"/>
        <w:rPr>
          <w:rFonts w:ascii="Verdana" w:hAnsi="Verdana"/>
          <w:sz w:val="24"/>
          <w:szCs w:val="24"/>
        </w:rPr>
      </w:pPr>
    </w:p>
    <w:p w:rsidRPr="00A079D9" w:rsidR="00A079D9" w:rsidP="00A079D9" w:rsidRDefault="00A079D9" w14:paraId="5621877F" w14:textId="6D815A2D">
      <w:pPr>
        <w:spacing w:after="0" w:line="240" w:lineRule="auto"/>
        <w:jc w:val="center"/>
        <w:rPr>
          <w:rFonts w:ascii="Verdana" w:hAnsi="Verdana"/>
          <w:sz w:val="18"/>
          <w:szCs w:val="18"/>
        </w:rPr>
      </w:pPr>
      <w:r w:rsidRPr="00A079D9">
        <w:rPr>
          <w:rFonts w:ascii="Verdana" w:hAnsi="Verdana"/>
          <w:sz w:val="18"/>
          <w:szCs w:val="18"/>
        </w:rPr>
        <w:t>Gráfico </w:t>
      </w:r>
      <w:r>
        <w:rPr>
          <w:rFonts w:ascii="Verdana" w:hAnsi="Verdana"/>
          <w:sz w:val="18"/>
          <w:szCs w:val="18"/>
        </w:rPr>
        <w:t>No. 10</w:t>
      </w:r>
      <w:r w:rsidRPr="00A079D9">
        <w:rPr>
          <w:rFonts w:ascii="Verdana" w:hAnsi="Verdana"/>
          <w:sz w:val="18"/>
          <w:szCs w:val="18"/>
        </w:rPr>
        <w:t>. Comportamiento del consumo de energía 2022-2026</w:t>
      </w:r>
      <w:r w:rsidRPr="00A079D9">
        <w:rPr>
          <w:rFonts w:ascii="Verdana" w:hAnsi="Verdana"/>
          <w:noProof/>
          <w:sz w:val="18"/>
          <w:szCs w:val="18"/>
        </w:rPr>
        <w:drawing>
          <wp:inline distT="0" distB="0" distL="0" distR="0" wp14:anchorId="7F40756F" wp14:editId="760DFB30">
            <wp:extent cx="5391150" cy="1981200"/>
            <wp:effectExtent l="0" t="0" r="0" b="0"/>
            <wp:docPr id="609947332"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391150" cy="1981200"/>
                    </a:xfrm>
                    <a:prstGeom prst="rect">
                      <a:avLst/>
                    </a:prstGeom>
                    <a:noFill/>
                    <a:ln>
                      <a:noFill/>
                    </a:ln>
                  </pic:spPr>
                </pic:pic>
              </a:graphicData>
            </a:graphic>
          </wp:inline>
        </w:drawing>
      </w:r>
    </w:p>
    <w:p w:rsidR="00A079D9" w:rsidP="00A079D9" w:rsidRDefault="00A079D9" w14:paraId="5F58095F" w14:textId="2B90ACDD">
      <w:pPr>
        <w:spacing w:after="0" w:line="240" w:lineRule="auto"/>
        <w:jc w:val="center"/>
        <w:rPr>
          <w:rFonts w:ascii="Verdana" w:hAnsi="Verdana"/>
          <w:sz w:val="18"/>
          <w:szCs w:val="18"/>
        </w:rPr>
      </w:pPr>
      <w:r w:rsidRPr="00A079D9">
        <w:rPr>
          <w:rFonts w:ascii="Verdana" w:hAnsi="Verdana"/>
          <w:sz w:val="18"/>
          <w:szCs w:val="18"/>
        </w:rPr>
        <w:t>Fuente: Matriz de Indicadores Ambientales</w:t>
      </w:r>
    </w:p>
    <w:p w:rsidRPr="00A079D9" w:rsidR="00A079D9" w:rsidP="00A079D9" w:rsidRDefault="00A079D9" w14:paraId="7B36B46C" w14:textId="77777777">
      <w:pPr>
        <w:spacing w:after="0" w:line="240" w:lineRule="auto"/>
        <w:jc w:val="center"/>
        <w:rPr>
          <w:rFonts w:ascii="Verdana" w:hAnsi="Verdana"/>
          <w:sz w:val="24"/>
          <w:szCs w:val="24"/>
        </w:rPr>
      </w:pPr>
    </w:p>
    <w:p w:rsidR="00A079D9" w:rsidRDefault="00A079D9" w14:paraId="4F6C737A" w14:textId="77777777">
      <w:pPr>
        <w:numPr>
          <w:ilvl w:val="0"/>
          <w:numId w:val="171"/>
        </w:numPr>
        <w:spacing w:after="0" w:line="360" w:lineRule="auto"/>
        <w:jc w:val="both"/>
        <w:rPr>
          <w:rFonts w:ascii="Verdana" w:hAnsi="Verdana"/>
          <w:sz w:val="24"/>
          <w:szCs w:val="24"/>
        </w:rPr>
      </w:pPr>
      <w:r w:rsidRPr="00A079D9">
        <w:rPr>
          <w:rFonts w:ascii="Verdana" w:hAnsi="Verdana"/>
          <w:sz w:val="24"/>
          <w:szCs w:val="24"/>
        </w:rPr>
        <w:t>Consumo de agua: A partir de 2023 se inició el registro de lecturas independientes del medidor, permitiendo diferenciar el consumo del Ministerio frente al servicio compartido con el DANE. El indicador muestra un pico hacia mediados de 2025 (aprox. 370 m³), derivado del aumento de personal y presencialidad. Como avance, se destaca la estabilización del consumo en 201 m³ a marzo de 2026, logrando niveles de eficiencia operativa a pesar del incremento en la dinámica institucional. </w:t>
      </w:r>
    </w:p>
    <w:p w:rsidRPr="00A079D9" w:rsidR="00A079D9" w:rsidP="00A079D9" w:rsidRDefault="00A079D9" w14:paraId="374998D8" w14:textId="77777777">
      <w:pPr>
        <w:spacing w:after="0" w:line="240" w:lineRule="auto"/>
        <w:ind w:left="720"/>
        <w:jc w:val="center"/>
        <w:rPr>
          <w:rFonts w:ascii="Verdana" w:hAnsi="Verdana"/>
          <w:sz w:val="18"/>
          <w:szCs w:val="18"/>
        </w:rPr>
      </w:pPr>
    </w:p>
    <w:p w:rsidRPr="00A079D9" w:rsidR="00A079D9" w:rsidP="00A079D9" w:rsidRDefault="00A079D9" w14:paraId="0E96F3BA" w14:textId="7E561151">
      <w:pPr>
        <w:spacing w:after="0" w:line="240" w:lineRule="auto"/>
        <w:jc w:val="center"/>
        <w:rPr>
          <w:rFonts w:ascii="Verdana" w:hAnsi="Verdana"/>
          <w:b/>
          <w:bCs/>
          <w:sz w:val="18"/>
          <w:szCs w:val="18"/>
        </w:rPr>
      </w:pPr>
      <w:r w:rsidRPr="00A079D9">
        <w:rPr>
          <w:rFonts w:ascii="Verdana" w:hAnsi="Verdana"/>
          <w:sz w:val="18"/>
          <w:szCs w:val="18"/>
        </w:rPr>
        <w:t>Gráfico </w:t>
      </w:r>
      <w:r>
        <w:rPr>
          <w:rFonts w:ascii="Verdana" w:hAnsi="Verdana"/>
          <w:sz w:val="18"/>
          <w:szCs w:val="18"/>
        </w:rPr>
        <w:t>No. 11</w:t>
      </w:r>
      <w:r w:rsidRPr="00A079D9">
        <w:rPr>
          <w:rFonts w:ascii="Verdana" w:hAnsi="Verdana"/>
          <w:sz w:val="18"/>
          <w:szCs w:val="18"/>
        </w:rPr>
        <w:t>. Comportamiento del consumo de agua 2023-2026</w:t>
      </w:r>
    </w:p>
    <w:p w:rsidRPr="00A079D9" w:rsidR="00A079D9" w:rsidP="00A079D9" w:rsidRDefault="00A079D9" w14:paraId="5010E955" w14:textId="1AA46933">
      <w:pPr>
        <w:spacing w:after="0" w:line="240" w:lineRule="auto"/>
        <w:jc w:val="center"/>
        <w:rPr>
          <w:rFonts w:ascii="Verdana" w:hAnsi="Verdana"/>
          <w:sz w:val="18"/>
          <w:szCs w:val="18"/>
        </w:rPr>
      </w:pPr>
      <w:r w:rsidRPr="00A079D9">
        <w:rPr>
          <w:rFonts w:ascii="Verdana" w:hAnsi="Verdana"/>
          <w:noProof/>
          <w:sz w:val="18"/>
          <w:szCs w:val="18"/>
        </w:rPr>
        <w:drawing>
          <wp:inline distT="0" distB="0" distL="0" distR="0" wp14:anchorId="66E62C4B" wp14:editId="08A6CE07">
            <wp:extent cx="5095875" cy="2257425"/>
            <wp:effectExtent l="0" t="0" r="9525" b="9525"/>
            <wp:docPr id="1466046811"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095875" cy="2257425"/>
                    </a:xfrm>
                    <a:prstGeom prst="rect">
                      <a:avLst/>
                    </a:prstGeom>
                    <a:noFill/>
                    <a:ln>
                      <a:noFill/>
                    </a:ln>
                  </pic:spPr>
                </pic:pic>
              </a:graphicData>
            </a:graphic>
          </wp:inline>
        </w:drawing>
      </w:r>
    </w:p>
    <w:p w:rsidRPr="00A079D9" w:rsidR="00A079D9" w:rsidP="00A079D9" w:rsidRDefault="00A079D9" w14:paraId="33D435A6" w14:textId="1D7D9A1C">
      <w:pPr>
        <w:spacing w:after="0" w:line="240" w:lineRule="auto"/>
        <w:jc w:val="center"/>
        <w:rPr>
          <w:rFonts w:ascii="Verdana" w:hAnsi="Verdana"/>
          <w:sz w:val="18"/>
          <w:szCs w:val="18"/>
        </w:rPr>
      </w:pPr>
      <w:r w:rsidRPr="00A079D9">
        <w:rPr>
          <w:rFonts w:ascii="Verdana" w:hAnsi="Verdana"/>
          <w:sz w:val="18"/>
          <w:szCs w:val="18"/>
        </w:rPr>
        <w:t>Fuente: Matriz de Indicadores Ambientales</w:t>
      </w:r>
    </w:p>
    <w:p w:rsidRPr="00A079D9" w:rsidR="00A079D9" w:rsidP="00A079D9" w:rsidRDefault="00A079D9" w14:paraId="6F1AFDFD" w14:textId="77777777">
      <w:pPr>
        <w:spacing w:after="0" w:line="360" w:lineRule="auto"/>
        <w:jc w:val="both"/>
        <w:rPr>
          <w:rFonts w:ascii="Verdana" w:hAnsi="Verdana"/>
          <w:sz w:val="24"/>
          <w:szCs w:val="24"/>
        </w:rPr>
      </w:pPr>
      <w:r w:rsidRPr="00A079D9">
        <w:rPr>
          <w:rFonts w:ascii="Verdana" w:hAnsi="Verdana"/>
          <w:sz w:val="24"/>
          <w:szCs w:val="24"/>
        </w:rPr>
        <w:t> </w:t>
      </w:r>
    </w:p>
    <w:p w:rsidRPr="00A079D9" w:rsidR="00A079D9" w:rsidP="00A079D9" w:rsidRDefault="00A079D9" w14:paraId="798EC732" w14:textId="77777777">
      <w:pPr>
        <w:spacing w:after="0" w:line="360" w:lineRule="auto"/>
        <w:jc w:val="both"/>
        <w:rPr>
          <w:rFonts w:ascii="Verdana" w:hAnsi="Verdana"/>
          <w:sz w:val="24"/>
          <w:szCs w:val="24"/>
        </w:rPr>
      </w:pPr>
      <w:r w:rsidRPr="00A079D9">
        <w:rPr>
          <w:rFonts w:ascii="Verdana" w:hAnsi="Verdana"/>
          <w:sz w:val="24"/>
          <w:szCs w:val="24"/>
        </w:rPr>
        <w:t> </w:t>
      </w:r>
    </w:p>
    <w:p w:rsidRPr="00A079D9" w:rsidR="00A079D9" w:rsidP="00A079D9" w:rsidRDefault="00A079D9" w14:paraId="757CC5C4" w14:textId="77777777">
      <w:pPr>
        <w:spacing w:after="0" w:line="360" w:lineRule="auto"/>
        <w:jc w:val="both"/>
        <w:rPr>
          <w:rFonts w:ascii="Verdana" w:hAnsi="Verdana"/>
          <w:sz w:val="24"/>
          <w:szCs w:val="24"/>
        </w:rPr>
      </w:pPr>
      <w:r w:rsidRPr="00A079D9">
        <w:rPr>
          <w:rFonts w:ascii="Verdana" w:hAnsi="Verdana"/>
          <w:sz w:val="24"/>
          <w:szCs w:val="24"/>
        </w:rPr>
        <w:t> </w:t>
      </w:r>
    </w:p>
    <w:p w:rsidR="00A079D9" w:rsidRDefault="00A079D9" w14:paraId="4EBBF31A" w14:textId="73851570">
      <w:pPr>
        <w:numPr>
          <w:ilvl w:val="0"/>
          <w:numId w:val="172"/>
        </w:numPr>
        <w:spacing w:after="0" w:line="360" w:lineRule="auto"/>
        <w:jc w:val="both"/>
        <w:rPr>
          <w:rFonts w:ascii="Verdana" w:hAnsi="Verdana"/>
          <w:sz w:val="24"/>
          <w:szCs w:val="24"/>
        </w:rPr>
      </w:pPr>
      <w:r w:rsidRPr="00A079D9">
        <w:rPr>
          <w:rFonts w:ascii="Verdana" w:hAnsi="Verdana"/>
          <w:sz w:val="24"/>
          <w:szCs w:val="24"/>
        </w:rPr>
        <w:t>Residuos sólidos: Se han generado para los años 2023, 2024 y 2025, residuos aprovechables como papel, cartón, plástico, metal, entre otros en menor cantidad en el Ministerio, los cuales fueron entregados a la Asociación de Recicladores para su aprovechamiento, con el fin de reincorporarlos a la cadena productiva.  </w:t>
      </w:r>
    </w:p>
    <w:p w:rsidRPr="00A079D9" w:rsidR="00A079D9" w:rsidP="00A079D9" w:rsidRDefault="00A079D9" w14:paraId="7F7B63E6" w14:textId="77777777">
      <w:pPr>
        <w:spacing w:after="0" w:line="360" w:lineRule="auto"/>
        <w:ind w:left="720"/>
        <w:jc w:val="both"/>
        <w:rPr>
          <w:rFonts w:ascii="Verdana" w:hAnsi="Verdana"/>
          <w:sz w:val="24"/>
          <w:szCs w:val="24"/>
        </w:rPr>
      </w:pPr>
    </w:p>
    <w:p w:rsidRPr="00A079D9" w:rsidR="00A079D9" w:rsidP="00A079D9" w:rsidRDefault="00A079D9" w14:paraId="1B6A12E0" w14:textId="469E3134">
      <w:pPr>
        <w:spacing w:after="0" w:line="360" w:lineRule="auto"/>
        <w:jc w:val="center"/>
        <w:rPr>
          <w:rFonts w:ascii="Verdana" w:hAnsi="Verdana"/>
          <w:b/>
          <w:bCs/>
          <w:sz w:val="18"/>
          <w:szCs w:val="18"/>
        </w:rPr>
      </w:pPr>
      <w:r w:rsidRPr="00A079D9">
        <w:rPr>
          <w:rFonts w:ascii="Verdana" w:hAnsi="Verdana"/>
          <w:sz w:val="18"/>
          <w:szCs w:val="18"/>
        </w:rPr>
        <w:t xml:space="preserve">Gráfico </w:t>
      </w:r>
      <w:r>
        <w:rPr>
          <w:rFonts w:ascii="Verdana" w:hAnsi="Verdana"/>
          <w:sz w:val="18"/>
          <w:szCs w:val="18"/>
        </w:rPr>
        <w:t>No. 12</w:t>
      </w:r>
      <w:r w:rsidRPr="00A079D9">
        <w:rPr>
          <w:rFonts w:ascii="Verdana" w:hAnsi="Verdana"/>
          <w:sz w:val="18"/>
          <w:szCs w:val="18"/>
        </w:rPr>
        <w:t>. Cantidades de residuos aprovechables generados 2023- 2025</w:t>
      </w:r>
    </w:p>
    <w:p w:rsidRPr="00A079D9" w:rsidR="00A079D9" w:rsidP="00A079D9" w:rsidRDefault="00A079D9" w14:paraId="4F62DA77" w14:textId="14A2334C">
      <w:pPr>
        <w:spacing w:after="0" w:line="360" w:lineRule="auto"/>
        <w:jc w:val="center"/>
        <w:rPr>
          <w:rFonts w:ascii="Verdana" w:hAnsi="Verdana"/>
          <w:sz w:val="18"/>
          <w:szCs w:val="18"/>
        </w:rPr>
      </w:pPr>
      <w:r w:rsidRPr="00A079D9">
        <w:rPr>
          <w:rFonts w:ascii="Verdana" w:hAnsi="Verdana"/>
          <w:noProof/>
          <w:sz w:val="18"/>
          <w:szCs w:val="18"/>
        </w:rPr>
        <w:drawing>
          <wp:inline distT="0" distB="0" distL="0" distR="0" wp14:anchorId="273E1496" wp14:editId="407401DB">
            <wp:extent cx="5038725" cy="1314450"/>
            <wp:effectExtent l="0" t="0" r="0" b="0"/>
            <wp:docPr id="1279596529"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038725" cy="1314450"/>
                    </a:xfrm>
                    <a:prstGeom prst="rect">
                      <a:avLst/>
                    </a:prstGeom>
                    <a:noFill/>
                    <a:ln>
                      <a:noFill/>
                    </a:ln>
                  </pic:spPr>
                </pic:pic>
              </a:graphicData>
            </a:graphic>
          </wp:inline>
        </w:drawing>
      </w:r>
    </w:p>
    <w:p w:rsidR="00A079D9" w:rsidP="00A079D9" w:rsidRDefault="00A079D9" w14:paraId="1E63DED3" w14:textId="2D96A967">
      <w:pPr>
        <w:spacing w:after="0" w:line="360" w:lineRule="auto"/>
        <w:jc w:val="center"/>
        <w:rPr>
          <w:rFonts w:ascii="Verdana" w:hAnsi="Verdana"/>
          <w:sz w:val="18"/>
          <w:szCs w:val="18"/>
        </w:rPr>
      </w:pPr>
      <w:r w:rsidRPr="00A079D9">
        <w:rPr>
          <w:rFonts w:ascii="Verdana" w:hAnsi="Verdana"/>
          <w:sz w:val="18"/>
          <w:szCs w:val="18"/>
        </w:rPr>
        <w:t>Fuente: Bitácora de residuos aprovechables</w:t>
      </w:r>
    </w:p>
    <w:p w:rsidRPr="00A079D9" w:rsidR="00A079D9" w:rsidP="00A079D9" w:rsidRDefault="00A079D9" w14:paraId="15473C18" w14:textId="77777777">
      <w:pPr>
        <w:spacing w:after="0" w:line="360" w:lineRule="auto"/>
        <w:jc w:val="center"/>
        <w:rPr>
          <w:rFonts w:ascii="Verdana" w:hAnsi="Verdana"/>
          <w:sz w:val="24"/>
          <w:szCs w:val="24"/>
        </w:rPr>
      </w:pPr>
    </w:p>
    <w:p w:rsidRPr="00A079D9" w:rsidR="00A079D9" w:rsidRDefault="00A079D9" w14:paraId="78680516" w14:textId="2B61FE3F">
      <w:pPr>
        <w:numPr>
          <w:ilvl w:val="0"/>
          <w:numId w:val="173"/>
        </w:numPr>
        <w:spacing w:after="0" w:line="360" w:lineRule="auto"/>
        <w:jc w:val="both"/>
        <w:rPr>
          <w:rFonts w:ascii="Verdana" w:hAnsi="Verdana"/>
          <w:sz w:val="24"/>
          <w:szCs w:val="24"/>
        </w:rPr>
      </w:pPr>
      <w:r w:rsidRPr="00A079D9">
        <w:rPr>
          <w:rFonts w:ascii="Verdana" w:hAnsi="Verdana"/>
          <w:sz w:val="24"/>
          <w:szCs w:val="24"/>
        </w:rPr>
        <w:t>Cero papel:  en el marco de la Política de cero papel, durante el año 2024 se implementó un seguimiento orientado a identificar el consumo de papel en la entidad, loque permite contar con un reporte que analiza el comportamiento de este indicador.  </w:t>
      </w:r>
    </w:p>
    <w:p w:rsidRPr="00A079D9" w:rsidR="00A079D9" w:rsidP="00A079D9" w:rsidRDefault="00A079D9" w14:paraId="49982549" w14:textId="77777777">
      <w:pPr>
        <w:spacing w:after="0" w:line="360" w:lineRule="auto"/>
        <w:jc w:val="both"/>
        <w:rPr>
          <w:rFonts w:ascii="Verdana" w:hAnsi="Verdana"/>
          <w:sz w:val="24"/>
          <w:szCs w:val="24"/>
        </w:rPr>
      </w:pPr>
      <w:r w:rsidRPr="00A079D9">
        <w:rPr>
          <w:rFonts w:ascii="Verdana" w:hAnsi="Verdana"/>
          <w:sz w:val="24"/>
          <w:szCs w:val="24"/>
        </w:rPr>
        <w:t> </w:t>
      </w:r>
    </w:p>
    <w:p w:rsidRPr="00A079D9" w:rsidR="00A079D9" w:rsidP="00A079D9" w:rsidRDefault="00A079D9" w14:paraId="6CDB4AF1" w14:textId="739F0D65">
      <w:pPr>
        <w:spacing w:after="0" w:line="240" w:lineRule="auto"/>
        <w:jc w:val="center"/>
        <w:rPr>
          <w:rFonts w:ascii="Verdana" w:hAnsi="Verdana"/>
          <w:b/>
          <w:bCs/>
          <w:sz w:val="18"/>
          <w:szCs w:val="18"/>
        </w:rPr>
      </w:pPr>
      <w:r w:rsidRPr="00A079D9">
        <w:rPr>
          <w:rFonts w:ascii="Verdana" w:hAnsi="Verdana"/>
          <w:sz w:val="18"/>
          <w:szCs w:val="18"/>
        </w:rPr>
        <w:t xml:space="preserve">Gráfico </w:t>
      </w:r>
      <w:r>
        <w:rPr>
          <w:rFonts w:ascii="Verdana" w:hAnsi="Verdana"/>
          <w:sz w:val="18"/>
          <w:szCs w:val="18"/>
        </w:rPr>
        <w:t>No. 13</w:t>
      </w:r>
      <w:r w:rsidRPr="00A079D9">
        <w:rPr>
          <w:rFonts w:ascii="Verdana" w:hAnsi="Verdana"/>
          <w:sz w:val="18"/>
          <w:szCs w:val="18"/>
        </w:rPr>
        <w:t>. Cantidad de resmas consumidas 2024-2025</w:t>
      </w:r>
    </w:p>
    <w:p w:rsidRPr="00A079D9" w:rsidR="00A079D9" w:rsidP="00A079D9" w:rsidRDefault="00A079D9" w14:paraId="33D6EF32" w14:textId="2B580562">
      <w:pPr>
        <w:spacing w:after="0" w:line="240" w:lineRule="auto"/>
        <w:jc w:val="center"/>
        <w:rPr>
          <w:rFonts w:ascii="Verdana" w:hAnsi="Verdana"/>
          <w:sz w:val="18"/>
          <w:szCs w:val="18"/>
        </w:rPr>
      </w:pPr>
      <w:r w:rsidRPr="00A079D9">
        <w:rPr>
          <w:rFonts w:ascii="Verdana" w:hAnsi="Verdana"/>
          <w:noProof/>
          <w:sz w:val="18"/>
          <w:szCs w:val="18"/>
        </w:rPr>
        <w:drawing>
          <wp:inline distT="0" distB="0" distL="0" distR="0" wp14:anchorId="13A88215" wp14:editId="7958ACBF">
            <wp:extent cx="3781425" cy="1581150"/>
            <wp:effectExtent l="0" t="0" r="0" b="0"/>
            <wp:docPr id="1543748379"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781425" cy="1581150"/>
                    </a:xfrm>
                    <a:prstGeom prst="rect">
                      <a:avLst/>
                    </a:prstGeom>
                    <a:noFill/>
                    <a:ln>
                      <a:noFill/>
                    </a:ln>
                  </pic:spPr>
                </pic:pic>
              </a:graphicData>
            </a:graphic>
          </wp:inline>
        </w:drawing>
      </w:r>
    </w:p>
    <w:p w:rsidRPr="00A079D9" w:rsidR="00A079D9" w:rsidP="00A079D9" w:rsidRDefault="00A079D9" w14:paraId="66C675C5" w14:textId="7DCED51F">
      <w:pPr>
        <w:spacing w:after="0" w:line="240" w:lineRule="auto"/>
        <w:jc w:val="center"/>
        <w:rPr>
          <w:rFonts w:ascii="Verdana" w:hAnsi="Verdana"/>
          <w:sz w:val="18"/>
          <w:szCs w:val="18"/>
        </w:rPr>
      </w:pPr>
      <w:r w:rsidRPr="00A079D9">
        <w:rPr>
          <w:rFonts w:ascii="Verdana" w:hAnsi="Verdana"/>
          <w:sz w:val="18"/>
          <w:szCs w:val="18"/>
        </w:rPr>
        <w:t>Fuente: Bitácora reporte de impresiones Centro de Copiado</w:t>
      </w:r>
    </w:p>
    <w:p w:rsidR="00A079D9" w:rsidP="00A079D9" w:rsidRDefault="00A079D9" w14:paraId="05A5D1E0" w14:textId="77777777">
      <w:pPr>
        <w:spacing w:after="0" w:line="360" w:lineRule="auto"/>
        <w:jc w:val="both"/>
        <w:rPr>
          <w:rFonts w:ascii="Verdana" w:hAnsi="Verdana"/>
          <w:sz w:val="24"/>
          <w:szCs w:val="24"/>
        </w:rPr>
      </w:pPr>
    </w:p>
    <w:p w:rsidR="6BA17DAC" w:rsidP="6BA17DAC" w:rsidRDefault="6BA17DAC" w14:paraId="4A121C9D" w14:textId="3397D858">
      <w:pPr>
        <w:spacing w:after="0" w:line="360" w:lineRule="auto"/>
        <w:jc w:val="both"/>
        <w:rPr>
          <w:rFonts w:ascii="Verdana" w:hAnsi="Verdana"/>
          <w:b/>
          <w:bCs/>
          <w:sz w:val="24"/>
          <w:szCs w:val="24"/>
        </w:rPr>
      </w:pPr>
    </w:p>
    <w:p w:rsidR="6BA17DAC" w:rsidP="6BA17DAC" w:rsidRDefault="6BA17DAC" w14:paraId="43305611" w14:textId="35827889">
      <w:pPr>
        <w:spacing w:after="0" w:line="360" w:lineRule="auto"/>
        <w:jc w:val="both"/>
        <w:rPr>
          <w:rFonts w:ascii="Verdana" w:hAnsi="Verdana"/>
          <w:b/>
          <w:bCs/>
          <w:sz w:val="24"/>
          <w:szCs w:val="24"/>
        </w:rPr>
      </w:pPr>
    </w:p>
    <w:p w:rsidRPr="00A079D9" w:rsidR="00A079D9" w:rsidP="00A079D9" w:rsidRDefault="00A079D9" w14:paraId="66A0EF8A" w14:textId="65D709F4">
      <w:pPr>
        <w:spacing w:after="0" w:line="360" w:lineRule="auto"/>
        <w:jc w:val="both"/>
        <w:rPr>
          <w:rFonts w:ascii="Verdana" w:hAnsi="Verdana"/>
          <w:b/>
          <w:bCs/>
          <w:sz w:val="24"/>
          <w:szCs w:val="24"/>
        </w:rPr>
      </w:pPr>
      <w:r w:rsidRPr="00A079D9">
        <w:rPr>
          <w:rFonts w:ascii="Verdana" w:hAnsi="Verdana"/>
          <w:b/>
          <w:bCs/>
          <w:sz w:val="24"/>
          <w:szCs w:val="24"/>
        </w:rPr>
        <w:t>Plan Integral de Movilidad Sostenible </w:t>
      </w:r>
    </w:p>
    <w:p w:rsidR="00A079D9" w:rsidP="00A079D9" w:rsidRDefault="00A079D9" w14:paraId="47126D54" w14:textId="77777777">
      <w:pPr>
        <w:spacing w:after="0" w:line="360" w:lineRule="auto"/>
        <w:jc w:val="both"/>
      </w:pPr>
      <w:r w:rsidRPr="00A079D9">
        <w:rPr>
          <w:rFonts w:ascii="Verdana" w:hAnsi="Verdana"/>
          <w:sz w:val="24"/>
          <w:szCs w:val="24"/>
        </w:rPr>
        <w:t>El Ministerio formuló el Plan Integral de Movilidad Sostenible (PIMS) para la vigencia 2025–2027, bajo los lineamientos del Decreto 37 de 2019, hoy compilado en el Decreto Único Sectorial 652 de 2025 de la Secretaría Distrital de Movilidad. En su fase de diagnóstico se identificaron las modalidades de movilidad de los colaboradores, lo que permitió definir estrategias de promoción de modos sostenibles: </w:t>
      </w:r>
    </w:p>
    <w:p w:rsidR="6BA17DAC" w:rsidP="6BA17DAC" w:rsidRDefault="6BA17DAC" w14:paraId="4965E87B" w14:textId="28769EBD">
      <w:pPr>
        <w:spacing w:after="0" w:line="360" w:lineRule="auto"/>
        <w:jc w:val="both"/>
        <w:rPr>
          <w:rFonts w:ascii="Verdana" w:hAnsi="Verdana"/>
          <w:sz w:val="24"/>
          <w:szCs w:val="24"/>
        </w:rPr>
      </w:pPr>
    </w:p>
    <w:p w:rsidRPr="00A079D9" w:rsidR="00A079D9" w:rsidP="00A079D9" w:rsidRDefault="00A079D9" w14:paraId="237DFF44" w14:textId="77777777">
      <w:pPr>
        <w:spacing w:after="0" w:line="240" w:lineRule="auto"/>
        <w:jc w:val="center"/>
        <w:rPr>
          <w:rFonts w:ascii="Verdana" w:hAnsi="Verdana"/>
          <w:sz w:val="18"/>
          <w:szCs w:val="18"/>
        </w:rPr>
      </w:pPr>
    </w:p>
    <w:p w:rsidRPr="00A079D9" w:rsidR="00A079D9" w:rsidP="00A079D9" w:rsidRDefault="00A079D9" w14:paraId="28F91472" w14:textId="1F5A323C">
      <w:pPr>
        <w:spacing w:after="0" w:line="240" w:lineRule="auto"/>
        <w:jc w:val="center"/>
        <w:rPr>
          <w:rFonts w:ascii="Verdana" w:hAnsi="Verdana"/>
          <w:b/>
          <w:bCs/>
          <w:sz w:val="18"/>
          <w:szCs w:val="18"/>
        </w:rPr>
      </w:pPr>
      <w:r w:rsidRPr="00A079D9">
        <w:rPr>
          <w:rFonts w:ascii="Verdana" w:hAnsi="Verdana"/>
          <w:sz w:val="18"/>
          <w:szCs w:val="18"/>
        </w:rPr>
        <w:t>Gráfico No. 14. Estrategias de Movilidad Sostenible</w:t>
      </w:r>
    </w:p>
    <w:p w:rsidRPr="00A079D9" w:rsidR="00A079D9" w:rsidP="00A079D9" w:rsidRDefault="00A079D9" w14:paraId="5FDF4C24" w14:textId="2ED148E5">
      <w:pPr>
        <w:spacing w:after="0" w:line="240" w:lineRule="auto"/>
        <w:jc w:val="center"/>
        <w:rPr>
          <w:rFonts w:ascii="Verdana" w:hAnsi="Verdana"/>
          <w:sz w:val="18"/>
          <w:szCs w:val="18"/>
        </w:rPr>
      </w:pPr>
      <w:r w:rsidRPr="00A079D9">
        <w:rPr>
          <w:rFonts w:ascii="Verdana" w:hAnsi="Verdana"/>
          <w:noProof/>
          <w:sz w:val="18"/>
          <w:szCs w:val="18"/>
        </w:rPr>
        <w:drawing>
          <wp:inline distT="0" distB="0" distL="0" distR="0" wp14:anchorId="42930CF6" wp14:editId="2AF73859">
            <wp:extent cx="5486400" cy="2419350"/>
            <wp:effectExtent l="0" t="0" r="0" b="0"/>
            <wp:docPr id="1032925118"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486400" cy="2419350"/>
                    </a:xfrm>
                    <a:prstGeom prst="rect">
                      <a:avLst/>
                    </a:prstGeom>
                    <a:noFill/>
                    <a:ln>
                      <a:noFill/>
                    </a:ln>
                  </pic:spPr>
                </pic:pic>
              </a:graphicData>
            </a:graphic>
          </wp:inline>
        </w:drawing>
      </w:r>
    </w:p>
    <w:p w:rsidRPr="00A079D9" w:rsidR="00A079D9" w:rsidP="00A079D9" w:rsidRDefault="00A079D9" w14:paraId="1478E077" w14:textId="2DE63AE8">
      <w:pPr>
        <w:spacing w:after="0" w:line="240" w:lineRule="auto"/>
        <w:jc w:val="center"/>
        <w:rPr>
          <w:rFonts w:ascii="Verdana" w:hAnsi="Verdana"/>
          <w:sz w:val="24"/>
          <w:szCs w:val="24"/>
        </w:rPr>
      </w:pPr>
      <w:r w:rsidRPr="00A079D9">
        <w:rPr>
          <w:rFonts w:ascii="Verdana" w:hAnsi="Verdana"/>
          <w:sz w:val="18"/>
          <w:szCs w:val="18"/>
        </w:rPr>
        <w:t>Fuente: Plan Integral de Movilidad Sostenible 2025-2027</w:t>
      </w:r>
    </w:p>
    <w:p w:rsidRPr="00A079D9" w:rsidR="00A079D9" w:rsidP="005358E1" w:rsidRDefault="00A079D9" w14:paraId="7C47F178" w14:textId="77777777">
      <w:pPr>
        <w:spacing w:after="0" w:line="360" w:lineRule="auto"/>
        <w:jc w:val="both"/>
        <w:rPr>
          <w:rFonts w:ascii="Verdana" w:hAnsi="Verdana"/>
          <w:sz w:val="24"/>
          <w:szCs w:val="24"/>
        </w:rPr>
      </w:pPr>
      <w:r w:rsidRPr="00A079D9">
        <w:rPr>
          <w:rFonts w:ascii="Verdana" w:hAnsi="Verdana"/>
          <w:sz w:val="24"/>
          <w:szCs w:val="24"/>
        </w:rPr>
        <w:t> </w:t>
      </w:r>
    </w:p>
    <w:p w:rsidRPr="00A079D9" w:rsidR="00A079D9" w:rsidP="005358E1" w:rsidRDefault="00A079D9" w14:paraId="6F078A4B" w14:textId="24466B80">
      <w:pPr>
        <w:spacing w:after="0" w:line="360" w:lineRule="auto"/>
        <w:jc w:val="both"/>
        <w:rPr>
          <w:rFonts w:ascii="Verdana" w:hAnsi="Verdana"/>
          <w:sz w:val="24"/>
          <w:szCs w:val="24"/>
        </w:rPr>
      </w:pPr>
      <w:r w:rsidRPr="00A079D9">
        <w:rPr>
          <w:rFonts w:ascii="Verdana" w:hAnsi="Verdana"/>
          <w:sz w:val="24"/>
          <w:szCs w:val="24"/>
        </w:rPr>
        <w:t xml:space="preserve">Como avances significativos se tuvo </w:t>
      </w:r>
      <w:r w:rsidRPr="05249E7C" w:rsidR="04CEBEA5">
        <w:rPr>
          <w:rFonts w:ascii="Verdana" w:hAnsi="Verdana"/>
          <w:sz w:val="24"/>
          <w:szCs w:val="24"/>
        </w:rPr>
        <w:t>que</w:t>
      </w:r>
      <w:r w:rsidRPr="05249E7C" w:rsidR="76725859">
        <w:rPr>
          <w:rFonts w:ascii="Verdana" w:hAnsi="Verdana"/>
          <w:sz w:val="24"/>
          <w:szCs w:val="24"/>
        </w:rPr>
        <w:t>:</w:t>
      </w:r>
    </w:p>
    <w:p w:rsidR="00A079D9" w:rsidP="005358E1" w:rsidRDefault="00A079D9" w14:paraId="713CFA30" w14:textId="77777777">
      <w:pPr>
        <w:spacing w:after="0" w:line="360" w:lineRule="auto"/>
        <w:jc w:val="both"/>
        <w:rPr>
          <w:rFonts w:ascii="Verdana" w:hAnsi="Verdana"/>
          <w:sz w:val="24"/>
          <w:szCs w:val="24"/>
        </w:rPr>
      </w:pPr>
    </w:p>
    <w:p w:rsidRPr="00A079D9" w:rsidR="00A079D9" w:rsidP="005358E1" w:rsidRDefault="00A079D9" w14:paraId="0F514946" w14:textId="7DC45D51">
      <w:pPr>
        <w:spacing w:after="0" w:line="360" w:lineRule="auto"/>
        <w:jc w:val="both"/>
        <w:rPr>
          <w:rFonts w:ascii="Verdana" w:hAnsi="Verdana"/>
          <w:sz w:val="24"/>
          <w:szCs w:val="24"/>
        </w:rPr>
      </w:pPr>
      <w:r w:rsidRPr="00A079D9">
        <w:rPr>
          <w:rFonts w:ascii="Verdana" w:hAnsi="Verdana"/>
          <w:sz w:val="24"/>
          <w:szCs w:val="24"/>
        </w:rPr>
        <w:t>En diciembre de 2023, la entidad renovó su parque automotor con la adquisición de 10 vehículos (5 eléctricos y 5 híbridos) en reemplazo de 10 unidades a combustión interna. Con esta transición, la flota institucional cuenta con un total de 20 vehículos operativos, de los cuales el 50% opera con tecnologías limpias y el porcentaje restante a gasolina. Este cambio ha permitido alcanzar los siguientes hitos de eficiencia: </w:t>
      </w:r>
    </w:p>
    <w:p w:rsidRPr="00A079D9" w:rsidR="00A079D9" w:rsidRDefault="00A079D9" w14:paraId="6495D566" w14:textId="2554B6B1">
      <w:pPr>
        <w:pStyle w:val="Prrafodelista"/>
        <w:numPr>
          <w:ilvl w:val="0"/>
          <w:numId w:val="175"/>
        </w:numPr>
        <w:spacing w:after="0" w:line="360" w:lineRule="auto"/>
        <w:jc w:val="both"/>
        <w:rPr>
          <w:rFonts w:ascii="Verdana" w:hAnsi="Verdana"/>
          <w:sz w:val="24"/>
          <w:szCs w:val="24"/>
        </w:rPr>
      </w:pPr>
      <w:r w:rsidRPr="00A079D9">
        <w:rPr>
          <w:rFonts w:ascii="Verdana" w:hAnsi="Verdana"/>
          <w:sz w:val="24"/>
          <w:szCs w:val="24"/>
        </w:rPr>
        <w:t>Reducción en consumo de gasolina: -19,6% (equivalente a un ahorro promedio mensual de 143 galones). </w:t>
      </w:r>
    </w:p>
    <w:p w:rsidRPr="00A079D9" w:rsidR="00A079D9" w:rsidRDefault="00A079D9" w14:paraId="63289EB7" w14:textId="77777777">
      <w:pPr>
        <w:numPr>
          <w:ilvl w:val="0"/>
          <w:numId w:val="175"/>
        </w:numPr>
        <w:spacing w:after="0" w:line="360" w:lineRule="auto"/>
        <w:jc w:val="both"/>
        <w:rPr>
          <w:rFonts w:ascii="Verdana" w:hAnsi="Verdana"/>
          <w:sz w:val="24"/>
          <w:szCs w:val="24"/>
        </w:rPr>
      </w:pPr>
      <w:r w:rsidRPr="00A079D9">
        <w:rPr>
          <w:rFonts w:ascii="Verdana" w:hAnsi="Verdana"/>
          <w:sz w:val="24"/>
          <w:szCs w:val="24"/>
        </w:rPr>
        <w:t>Mitigación ambiental: Reducción de ≈24 toneladas de CO₂, aportando directamente a la disminución de la huella de carbono institucional. </w:t>
      </w:r>
    </w:p>
    <w:p w:rsidRPr="00A079D9" w:rsidR="00A079D9" w:rsidRDefault="00A079D9" w14:paraId="285DCB91" w14:textId="77777777">
      <w:pPr>
        <w:numPr>
          <w:ilvl w:val="0"/>
          <w:numId w:val="175"/>
        </w:numPr>
        <w:spacing w:after="0" w:line="360" w:lineRule="auto"/>
        <w:jc w:val="both"/>
        <w:rPr>
          <w:rFonts w:ascii="Verdana" w:hAnsi="Verdana"/>
          <w:sz w:val="24"/>
          <w:szCs w:val="24"/>
        </w:rPr>
      </w:pPr>
      <w:r w:rsidRPr="00A079D9">
        <w:rPr>
          <w:rFonts w:ascii="Verdana" w:hAnsi="Verdana"/>
          <w:sz w:val="24"/>
          <w:szCs w:val="24"/>
        </w:rPr>
        <w:t>Eficiencia presupuestal: Ahorro económico estimado de $39 millones COP por concepto de combustible. </w:t>
      </w:r>
    </w:p>
    <w:p w:rsidRPr="00A079D9" w:rsidR="00A079D9" w:rsidP="005358E1" w:rsidRDefault="00A079D9" w14:paraId="31574189" w14:textId="77777777">
      <w:pPr>
        <w:spacing w:after="0" w:line="360" w:lineRule="auto"/>
        <w:jc w:val="both"/>
        <w:rPr>
          <w:rFonts w:ascii="Verdana" w:hAnsi="Verdana"/>
          <w:sz w:val="24"/>
          <w:szCs w:val="24"/>
        </w:rPr>
      </w:pPr>
      <w:r w:rsidRPr="00A079D9">
        <w:rPr>
          <w:rFonts w:ascii="Verdana" w:hAnsi="Verdana"/>
          <w:sz w:val="24"/>
          <w:szCs w:val="24"/>
        </w:rPr>
        <w:t> </w:t>
      </w:r>
    </w:p>
    <w:p w:rsidRPr="00A079D9" w:rsidR="00A079D9" w:rsidP="005358E1" w:rsidRDefault="00A079D9" w14:paraId="7B79DFA9" w14:textId="2FA45FF7">
      <w:pPr>
        <w:spacing w:after="0" w:line="360" w:lineRule="auto"/>
        <w:jc w:val="both"/>
      </w:pPr>
      <w:r w:rsidRPr="00A079D9">
        <w:rPr>
          <w:rFonts w:ascii="Verdana" w:hAnsi="Verdana"/>
          <w:sz w:val="24"/>
          <w:szCs w:val="24"/>
        </w:rPr>
        <w:t>De igual forma desde la Subdirección de Talento Humano se desarrolló una herramienta para compartir viajes en la modalidad de carro compartido.  </w:t>
      </w:r>
    </w:p>
    <w:p w:rsidR="3692063D" w:rsidP="3692063D" w:rsidRDefault="3692063D" w14:paraId="42115360" w14:textId="01EA6DFC">
      <w:pPr>
        <w:spacing w:after="0" w:line="360" w:lineRule="auto"/>
        <w:jc w:val="both"/>
        <w:rPr>
          <w:rFonts w:ascii="Verdana" w:hAnsi="Verdana"/>
          <w:sz w:val="24"/>
          <w:szCs w:val="24"/>
        </w:rPr>
      </w:pPr>
    </w:p>
    <w:p w:rsidRPr="00A079D9" w:rsidR="00A079D9" w:rsidRDefault="00A079D9" w14:paraId="07EA47EF" w14:textId="0CEFAB2F">
      <w:pPr>
        <w:pStyle w:val="Prrafodelista"/>
        <w:numPr>
          <w:ilvl w:val="0"/>
          <w:numId w:val="175"/>
        </w:numPr>
        <w:spacing w:after="0" w:line="360" w:lineRule="auto"/>
        <w:jc w:val="both"/>
        <w:rPr>
          <w:rFonts w:ascii="Verdana" w:hAnsi="Verdana"/>
          <w:sz w:val="24"/>
          <w:szCs w:val="24"/>
        </w:rPr>
      </w:pPr>
      <w:r w:rsidRPr="00A079D9">
        <w:rPr>
          <w:rFonts w:ascii="Verdana" w:hAnsi="Verdana"/>
          <w:sz w:val="24"/>
          <w:szCs w:val="24"/>
        </w:rPr>
        <w:t>Desarrollo de actividades para el fomento del uso de la bicicleta como la certificación del cicloparqueadero en el año 2024 con el sello de Oro otorgado por la Secretaría Distrital de Movilidad. </w:t>
      </w:r>
    </w:p>
    <w:p w:rsidRPr="00A079D9" w:rsidR="00A079D9" w:rsidP="3692063D" w:rsidRDefault="00A079D9" w14:paraId="66F290C6" w14:textId="250F8D64">
      <w:pPr>
        <w:pStyle w:val="Prrafodelista"/>
        <w:numPr>
          <w:ilvl w:val="0"/>
          <w:numId w:val="175"/>
        </w:numPr>
        <w:spacing w:after="0" w:line="360" w:lineRule="auto"/>
        <w:jc w:val="both"/>
        <w:rPr>
          <w:rFonts w:ascii="Verdana" w:hAnsi="Verdana"/>
          <w:sz w:val="24"/>
          <w:szCs w:val="24"/>
        </w:rPr>
      </w:pPr>
      <w:r w:rsidRPr="00A079D9">
        <w:rPr>
          <w:rFonts w:ascii="Verdana" w:hAnsi="Verdana"/>
          <w:sz w:val="24"/>
          <w:szCs w:val="24"/>
        </w:rPr>
        <w:t>Fortalecimiento de las políticas operativas para el teletrabajo e incentivos por uso de la bicicleta.  </w:t>
      </w:r>
    </w:p>
    <w:p w:rsidR="00A079D9" w:rsidP="005358E1" w:rsidRDefault="00A079D9" w14:paraId="0B7FBF1D" w14:textId="77777777">
      <w:pPr>
        <w:spacing w:after="0" w:line="360" w:lineRule="auto"/>
        <w:jc w:val="both"/>
        <w:rPr>
          <w:rFonts w:ascii="Verdana" w:hAnsi="Verdana"/>
          <w:sz w:val="24"/>
          <w:szCs w:val="24"/>
        </w:rPr>
      </w:pPr>
    </w:p>
    <w:p w:rsidRPr="00A079D9" w:rsidR="00A079D9" w:rsidP="005358E1" w:rsidRDefault="00A079D9" w14:paraId="02A8E68F" w14:textId="2BA246B8">
      <w:pPr>
        <w:spacing w:after="0" w:line="360" w:lineRule="auto"/>
        <w:jc w:val="both"/>
        <w:rPr>
          <w:rFonts w:ascii="Verdana" w:hAnsi="Verdana"/>
          <w:b/>
          <w:bCs/>
          <w:sz w:val="24"/>
          <w:szCs w:val="24"/>
        </w:rPr>
      </w:pPr>
      <w:r w:rsidRPr="00A079D9">
        <w:rPr>
          <w:rFonts w:ascii="Verdana" w:hAnsi="Verdana"/>
          <w:b/>
          <w:bCs/>
          <w:sz w:val="24"/>
          <w:szCs w:val="24"/>
        </w:rPr>
        <w:t>Sostenibilidad energética </w:t>
      </w:r>
    </w:p>
    <w:p w:rsidR="00A079D9" w:rsidP="005358E1" w:rsidRDefault="00A079D9" w14:paraId="50033B83" w14:textId="77777777">
      <w:pPr>
        <w:spacing w:after="0" w:line="360" w:lineRule="auto"/>
        <w:jc w:val="both"/>
        <w:rPr>
          <w:rFonts w:ascii="Verdana" w:hAnsi="Verdana"/>
          <w:b/>
          <w:bCs/>
          <w:sz w:val="24"/>
          <w:szCs w:val="24"/>
        </w:rPr>
      </w:pPr>
    </w:p>
    <w:p w:rsidRPr="00A079D9" w:rsidR="00A079D9" w:rsidP="005358E1" w:rsidRDefault="00A079D9" w14:paraId="66CE7D0F" w14:textId="169EF482">
      <w:pPr>
        <w:spacing w:after="0" w:line="360" w:lineRule="auto"/>
        <w:jc w:val="both"/>
        <w:rPr>
          <w:rFonts w:ascii="Verdana" w:hAnsi="Verdana"/>
          <w:sz w:val="24"/>
          <w:szCs w:val="24"/>
        </w:rPr>
      </w:pPr>
      <w:r w:rsidRPr="00A079D9">
        <w:rPr>
          <w:rFonts w:ascii="Verdana" w:hAnsi="Verdana"/>
          <w:b/>
          <w:bCs/>
          <w:sz w:val="24"/>
          <w:szCs w:val="24"/>
        </w:rPr>
        <w:t>Auditoria energética</w:t>
      </w:r>
      <w:r w:rsidRPr="3122237E" w:rsidR="6CE92DC9">
        <w:rPr>
          <w:rFonts w:ascii="Verdana" w:hAnsi="Verdana"/>
          <w:b/>
          <w:bCs/>
          <w:sz w:val="24"/>
          <w:szCs w:val="24"/>
        </w:rPr>
        <w:t xml:space="preserve">: </w:t>
      </w:r>
      <w:r w:rsidRPr="3122237E" w:rsidR="6CE92DC9">
        <w:rPr>
          <w:rFonts w:ascii="Verdana" w:hAnsi="Verdana"/>
          <w:sz w:val="24"/>
          <w:szCs w:val="24"/>
        </w:rPr>
        <w:t>p</w:t>
      </w:r>
      <w:r w:rsidRPr="3122237E">
        <w:rPr>
          <w:rFonts w:ascii="Verdana" w:hAnsi="Verdana"/>
          <w:sz w:val="24"/>
          <w:szCs w:val="24"/>
        </w:rPr>
        <w:t>ara</w:t>
      </w:r>
      <w:r w:rsidRPr="00A079D9">
        <w:rPr>
          <w:rFonts w:ascii="Verdana" w:hAnsi="Verdana"/>
          <w:sz w:val="24"/>
          <w:szCs w:val="24"/>
        </w:rPr>
        <w:t xml:space="preserve"> la vigencia 2024, el Ministerio de Minas y Energía adelantó una auditoría energética integral sobre sus sedes administrativas, con el propósito de evaluar el desempeño energético de la infraestructura, identificar oportunidades de mejora y establecer una línea base para la formulación de acciones orientadas al uso eficiente y racional de la energía. Gracias a este ejercicio, se cuenta con un diagnóstico detallado de la matriz energética de las sedes administrativas de la entidad, el cual ha sido fundamental para la planificación de acciones estratégicas en materia de eficiencia energética. Así mismo, permitió detectar ineficiencias en el consumo, fortalecer la toma de decisiones basada en datos y priorizar inversiones en medidas con mayor impacto. De igual forma, contribuyó a la reducción de costos operativos, al </w:t>
      </w:r>
      <w:r w:rsidRPr="00A079D9">
        <w:rPr>
          <w:rFonts w:ascii="Verdana" w:hAnsi="Verdana"/>
          <w:sz w:val="24"/>
          <w:szCs w:val="24"/>
        </w:rPr>
        <w:t>mejoramiento del desempeño institucional, al cumplimiento de lineamientos en sostenibilidad y a la promoción de una cultura organizacional orientada al uso responsable de la energía, consolidando avances significativos en la gestión energética durante el cuatrienio. </w:t>
      </w:r>
    </w:p>
    <w:p w:rsidR="00A079D9" w:rsidP="005358E1" w:rsidRDefault="00A079D9" w14:paraId="50145A7F" w14:textId="77777777">
      <w:pPr>
        <w:spacing w:after="0" w:line="360" w:lineRule="auto"/>
        <w:jc w:val="both"/>
        <w:rPr>
          <w:rFonts w:ascii="Verdana" w:hAnsi="Verdana"/>
          <w:sz w:val="24"/>
          <w:szCs w:val="24"/>
        </w:rPr>
      </w:pPr>
    </w:p>
    <w:p w:rsidRPr="00A079D9" w:rsidR="00A079D9" w:rsidP="005358E1" w:rsidRDefault="00A079D9" w14:paraId="1D7C027C" w14:textId="4C1BB3BC">
      <w:pPr>
        <w:spacing w:after="0" w:line="360" w:lineRule="auto"/>
        <w:jc w:val="both"/>
        <w:rPr>
          <w:rFonts w:ascii="Verdana" w:hAnsi="Verdana"/>
          <w:sz w:val="24"/>
          <w:szCs w:val="24"/>
        </w:rPr>
      </w:pPr>
      <w:r w:rsidRPr="00A079D9">
        <w:rPr>
          <w:rFonts w:ascii="Verdana" w:hAnsi="Verdana"/>
          <w:b/>
          <w:bCs/>
          <w:sz w:val="24"/>
          <w:szCs w:val="24"/>
        </w:rPr>
        <w:t xml:space="preserve">Sistema solar </w:t>
      </w:r>
      <w:r w:rsidRPr="7223BD32">
        <w:rPr>
          <w:rFonts w:ascii="Verdana" w:hAnsi="Verdana"/>
          <w:b/>
          <w:bCs/>
          <w:sz w:val="24"/>
          <w:szCs w:val="24"/>
        </w:rPr>
        <w:t>fotovolt</w:t>
      </w:r>
      <w:r w:rsidRPr="7223BD32" w:rsidR="367FEA55">
        <w:rPr>
          <w:rFonts w:ascii="Verdana" w:hAnsi="Verdana"/>
          <w:b/>
          <w:bCs/>
          <w:sz w:val="24"/>
          <w:szCs w:val="24"/>
        </w:rPr>
        <w:t>a</w:t>
      </w:r>
      <w:r w:rsidRPr="7223BD32">
        <w:rPr>
          <w:rFonts w:ascii="Verdana" w:hAnsi="Verdana"/>
          <w:b/>
          <w:bCs/>
          <w:sz w:val="24"/>
          <w:szCs w:val="24"/>
        </w:rPr>
        <w:t>ico</w:t>
      </w:r>
      <w:r w:rsidRPr="7223BD32" w:rsidR="024ADE2A">
        <w:rPr>
          <w:rFonts w:ascii="Verdana" w:hAnsi="Verdana"/>
          <w:b/>
          <w:bCs/>
          <w:sz w:val="24"/>
          <w:szCs w:val="24"/>
        </w:rPr>
        <w:t>: c</w:t>
      </w:r>
      <w:r w:rsidRPr="7223BD32">
        <w:rPr>
          <w:rFonts w:ascii="Verdana" w:hAnsi="Verdana"/>
          <w:sz w:val="24"/>
          <w:szCs w:val="24"/>
        </w:rPr>
        <w:t>omo</w:t>
      </w:r>
      <w:r w:rsidRPr="00A079D9">
        <w:rPr>
          <w:rFonts w:ascii="Verdana" w:hAnsi="Verdana"/>
          <w:sz w:val="24"/>
          <w:szCs w:val="24"/>
        </w:rPr>
        <w:t xml:space="preserve"> resultado del proyecto "SISTEMA SOLAR </w:t>
      </w:r>
      <w:r w:rsidRPr="3574869A">
        <w:rPr>
          <w:rFonts w:ascii="Verdana" w:hAnsi="Verdana"/>
          <w:sz w:val="24"/>
          <w:szCs w:val="24"/>
        </w:rPr>
        <w:t>FOTOVOLT</w:t>
      </w:r>
      <w:r w:rsidRPr="3574869A" w:rsidR="7B4856F6">
        <w:rPr>
          <w:rFonts w:ascii="Verdana" w:hAnsi="Verdana"/>
          <w:sz w:val="24"/>
          <w:szCs w:val="24"/>
        </w:rPr>
        <w:t>A</w:t>
      </w:r>
      <w:r w:rsidRPr="3574869A">
        <w:rPr>
          <w:rFonts w:ascii="Verdana" w:hAnsi="Verdana"/>
          <w:sz w:val="24"/>
          <w:szCs w:val="24"/>
        </w:rPr>
        <w:t>ICO</w:t>
      </w:r>
      <w:r w:rsidRPr="00A079D9">
        <w:rPr>
          <w:rFonts w:ascii="Verdana" w:hAnsi="Verdana"/>
          <w:sz w:val="24"/>
          <w:szCs w:val="24"/>
        </w:rPr>
        <w:t xml:space="preserve"> EN LAS SEDES DEL MINISTERIO DE MINAS Y ENERGÍA” adelantado con FENOGE, el Ministerio de Minas y Energía instaló 360 paneles solares con una capacidad de generación promedio de 118,3 kWp de Energía, en el edificio principal y en las instalaciones de la carrera 50. En particular, el proyecto paneles solares del Ministerio está integrado por dos (2) cubiertas con 315 módulos de paneles solares, con una capacidad de 375 (Wp), organizados en string’s de 15 módulos, los cuales cuentan con dos (2) cables para la conexión a los inversores de energía solar del sistema, la cantidad de inversores con los que cuenta el sistema es de dos (2) unidades con capacidad de hasta 24 string’s en entradas de corrientes continuas.  </w:t>
      </w:r>
    </w:p>
    <w:p w:rsidR="00A079D9" w:rsidP="005358E1" w:rsidRDefault="00A079D9" w14:paraId="7C44559A" w14:textId="77777777">
      <w:pPr>
        <w:spacing w:after="0" w:line="360" w:lineRule="auto"/>
        <w:jc w:val="both"/>
        <w:rPr>
          <w:rFonts w:ascii="Verdana" w:hAnsi="Verdana"/>
          <w:sz w:val="24"/>
          <w:szCs w:val="24"/>
        </w:rPr>
      </w:pPr>
    </w:p>
    <w:p w:rsidRPr="00A079D9" w:rsidR="00A079D9" w:rsidP="005358E1" w:rsidRDefault="00A079D9" w14:paraId="39780FDC" w14:textId="47A4119B">
      <w:pPr>
        <w:spacing w:after="0" w:line="360" w:lineRule="auto"/>
        <w:jc w:val="both"/>
        <w:rPr>
          <w:rFonts w:ascii="Verdana" w:hAnsi="Verdana"/>
          <w:sz w:val="24"/>
          <w:szCs w:val="24"/>
        </w:rPr>
      </w:pPr>
      <w:r w:rsidRPr="00A079D9">
        <w:rPr>
          <w:rFonts w:ascii="Verdana" w:hAnsi="Verdana"/>
          <w:sz w:val="24"/>
          <w:szCs w:val="24"/>
        </w:rPr>
        <w:t>En virtud de lo anterior, y como resultado de la operación del sistema solar fotovoltaico implementado en las sedes del Ministerio de Minas y Energía, se han estimado ahorros acumulados en el consumo de energía eléctrica, asociados a la sustitución parcial de energía proveniente de la red convencional por energía generada a partir de fuentes renovables. Estos ahorros evidencian el potencial de este tipo de soluciones para contribuir a la reducción de costos operativos, a la disminución de emisiones de gases de efecto invernadero y al fortalecimiento de la autosuficiencia energética institucional, Como se muestra a continuación:  </w:t>
      </w:r>
    </w:p>
    <w:p w:rsidR="00A079D9" w:rsidP="005358E1" w:rsidRDefault="00A079D9" w14:paraId="3DF5ADF0" w14:textId="77777777">
      <w:pPr>
        <w:spacing w:after="0" w:line="360" w:lineRule="auto"/>
        <w:jc w:val="both"/>
        <w:rPr>
          <w:rFonts w:ascii="Verdana" w:hAnsi="Verdana"/>
          <w:sz w:val="24"/>
          <w:szCs w:val="24"/>
        </w:rPr>
      </w:pPr>
    </w:p>
    <w:p w:rsidR="00A079D9" w:rsidP="005358E1" w:rsidRDefault="00A079D9" w14:paraId="4E054955" w14:textId="6494DD2B">
      <w:pPr>
        <w:spacing w:after="0" w:line="360" w:lineRule="auto"/>
        <w:jc w:val="both"/>
        <w:rPr>
          <w:rFonts w:ascii="Verdana" w:hAnsi="Verdana"/>
          <w:sz w:val="24"/>
          <w:szCs w:val="24"/>
        </w:rPr>
      </w:pPr>
      <w:r w:rsidRPr="00A079D9">
        <w:rPr>
          <w:rFonts w:ascii="Verdana" w:hAnsi="Verdana"/>
          <w:sz w:val="24"/>
          <w:szCs w:val="24"/>
        </w:rPr>
        <w:t xml:space="preserve">La cobertura corresponde a la relación entre la energía generada por el sistema fotovoltaico y el consumo total anual de la sede. El ahorro </w:t>
      </w:r>
      <w:r w:rsidRPr="00A079D9">
        <w:rPr>
          <w:rFonts w:ascii="Verdana" w:hAnsi="Verdana"/>
          <w:sz w:val="24"/>
          <w:szCs w:val="24"/>
        </w:rPr>
        <w:t>económico se estimó a partir de la multiplicación entre la generación anual y la tarifa promedio de cada vigencia. </w:t>
      </w:r>
    </w:p>
    <w:p w:rsidRPr="00A079D9" w:rsidR="00A079D9" w:rsidP="00A079D9" w:rsidRDefault="00A079D9" w14:paraId="51CFDE59" w14:textId="77777777">
      <w:pPr>
        <w:spacing w:after="0" w:line="360" w:lineRule="auto"/>
        <w:jc w:val="center"/>
        <w:rPr>
          <w:rFonts w:ascii="Verdana" w:hAnsi="Verdana"/>
          <w:sz w:val="24"/>
          <w:szCs w:val="24"/>
        </w:rPr>
      </w:pPr>
    </w:p>
    <w:p w:rsidRPr="00A079D9" w:rsidR="00A079D9" w:rsidP="00A079D9" w:rsidRDefault="00A079D9" w14:paraId="3BDB16A0" w14:textId="5E9F7953">
      <w:pPr>
        <w:spacing w:after="0" w:line="240" w:lineRule="auto"/>
        <w:jc w:val="center"/>
        <w:rPr>
          <w:rFonts w:ascii="Verdana" w:hAnsi="Verdana"/>
          <w:b/>
          <w:bCs/>
          <w:sz w:val="18"/>
          <w:szCs w:val="18"/>
        </w:rPr>
      </w:pPr>
      <w:r w:rsidRPr="00D94015">
        <w:rPr>
          <w:rFonts w:ascii="Verdana" w:hAnsi="Verdana"/>
          <w:sz w:val="18"/>
          <w:szCs w:val="18"/>
        </w:rPr>
        <w:t>Tabla No.</w:t>
      </w:r>
      <w:r w:rsidRPr="00D94015" w:rsidR="00D94015">
        <w:rPr>
          <w:rFonts w:ascii="Verdana" w:hAnsi="Verdana"/>
          <w:sz w:val="18"/>
          <w:szCs w:val="18"/>
        </w:rPr>
        <w:t xml:space="preserve"> 74.</w:t>
      </w:r>
      <w:r w:rsidRPr="00D94015">
        <w:rPr>
          <w:rFonts w:ascii="Verdana" w:hAnsi="Verdana"/>
          <w:sz w:val="18"/>
          <w:szCs w:val="18"/>
        </w:rPr>
        <w:t xml:space="preserve"> Ahorros económicos empleo del sistema solar fotovoltaico</w:t>
      </w:r>
    </w:p>
    <w:tbl>
      <w:tblPr>
        <w:tblStyle w:val="Tablaconcuadrcula"/>
        <w:tblW w:w="0" w:type="dxa"/>
        <w:tblLook w:val="04A0" w:firstRow="1" w:lastRow="0" w:firstColumn="1" w:lastColumn="0" w:noHBand="0" w:noVBand="1"/>
      </w:tblPr>
      <w:tblGrid>
        <w:gridCol w:w="1865"/>
        <w:gridCol w:w="1777"/>
        <w:gridCol w:w="1359"/>
        <w:gridCol w:w="1274"/>
        <w:gridCol w:w="1176"/>
        <w:gridCol w:w="1377"/>
      </w:tblGrid>
      <w:tr w:rsidRPr="00A079D9" w:rsidR="00A079D9" w:rsidTr="00A079D9" w14:paraId="44530C78" w14:textId="77777777">
        <w:trPr>
          <w:trHeight w:val="510"/>
        </w:trPr>
        <w:tc>
          <w:tcPr>
            <w:tcW w:w="1875" w:type="dxa"/>
            <w:shd w:val="clear" w:color="auto" w:fill="A6A6A6" w:themeFill="background1" w:themeFillShade="A6"/>
            <w:vAlign w:val="center"/>
            <w:hideMark/>
          </w:tcPr>
          <w:p w:rsidRPr="00A079D9" w:rsidR="00A079D9" w:rsidP="00A079D9" w:rsidRDefault="00A079D9" w14:paraId="5EFFBC4F" w14:textId="05E57690">
            <w:pPr>
              <w:jc w:val="center"/>
              <w:rPr>
                <w:rFonts w:ascii="Verdana" w:hAnsi="Verdana"/>
                <w:b/>
                <w:bCs/>
                <w:sz w:val="18"/>
                <w:szCs w:val="18"/>
              </w:rPr>
            </w:pPr>
            <w:r w:rsidRPr="00A079D9">
              <w:rPr>
                <w:rFonts w:ascii="Verdana" w:hAnsi="Verdana"/>
                <w:b/>
                <w:bCs/>
                <w:sz w:val="18"/>
                <w:szCs w:val="18"/>
              </w:rPr>
              <w:t>Año</w:t>
            </w:r>
          </w:p>
        </w:tc>
        <w:tc>
          <w:tcPr>
            <w:tcW w:w="1785" w:type="dxa"/>
            <w:shd w:val="clear" w:color="auto" w:fill="A6A6A6" w:themeFill="background1" w:themeFillShade="A6"/>
            <w:vAlign w:val="center"/>
            <w:hideMark/>
          </w:tcPr>
          <w:p w:rsidRPr="00A079D9" w:rsidR="00A079D9" w:rsidP="00A079D9" w:rsidRDefault="00A079D9" w14:paraId="13E807C8" w14:textId="4F023872">
            <w:pPr>
              <w:jc w:val="center"/>
              <w:rPr>
                <w:rFonts w:ascii="Verdana" w:hAnsi="Verdana"/>
                <w:b/>
                <w:bCs/>
                <w:sz w:val="18"/>
                <w:szCs w:val="18"/>
              </w:rPr>
            </w:pPr>
            <w:r w:rsidRPr="00A079D9">
              <w:rPr>
                <w:rFonts w:ascii="Verdana" w:hAnsi="Verdana"/>
                <w:b/>
                <w:bCs/>
                <w:sz w:val="18"/>
                <w:szCs w:val="18"/>
              </w:rPr>
              <w:t>Consumo total energía (kWh)</w:t>
            </w:r>
          </w:p>
        </w:tc>
        <w:tc>
          <w:tcPr>
            <w:tcW w:w="1320" w:type="dxa"/>
            <w:shd w:val="clear" w:color="auto" w:fill="A6A6A6" w:themeFill="background1" w:themeFillShade="A6"/>
            <w:vAlign w:val="center"/>
            <w:hideMark/>
          </w:tcPr>
          <w:p w:rsidRPr="00A079D9" w:rsidR="00A079D9" w:rsidP="00A079D9" w:rsidRDefault="00A079D9" w14:paraId="477F3868" w14:textId="233C47DB">
            <w:pPr>
              <w:jc w:val="center"/>
              <w:rPr>
                <w:rFonts w:ascii="Verdana" w:hAnsi="Verdana"/>
                <w:b/>
                <w:bCs/>
                <w:sz w:val="18"/>
                <w:szCs w:val="18"/>
              </w:rPr>
            </w:pPr>
            <w:r w:rsidRPr="00A079D9">
              <w:rPr>
                <w:rFonts w:ascii="Verdana" w:hAnsi="Verdana"/>
                <w:b/>
                <w:bCs/>
                <w:sz w:val="18"/>
                <w:szCs w:val="18"/>
              </w:rPr>
              <w:t>Generación FV (kWh)</w:t>
            </w:r>
          </w:p>
        </w:tc>
        <w:tc>
          <w:tcPr>
            <w:tcW w:w="1275" w:type="dxa"/>
            <w:shd w:val="clear" w:color="auto" w:fill="A6A6A6" w:themeFill="background1" w:themeFillShade="A6"/>
            <w:vAlign w:val="center"/>
            <w:hideMark/>
          </w:tcPr>
          <w:p w:rsidRPr="00A079D9" w:rsidR="00A079D9" w:rsidP="00A079D9" w:rsidRDefault="00A079D9" w14:paraId="76A3C2D2" w14:textId="5A9D5940">
            <w:pPr>
              <w:jc w:val="center"/>
              <w:rPr>
                <w:rFonts w:ascii="Verdana" w:hAnsi="Verdana"/>
                <w:b/>
                <w:bCs/>
                <w:sz w:val="18"/>
                <w:szCs w:val="18"/>
              </w:rPr>
            </w:pPr>
            <w:r w:rsidRPr="00A079D9">
              <w:rPr>
                <w:rFonts w:ascii="Verdana" w:hAnsi="Verdana"/>
                <w:b/>
                <w:bCs/>
                <w:sz w:val="18"/>
                <w:szCs w:val="18"/>
              </w:rPr>
              <w:t>Cobertura FV (%)</w:t>
            </w:r>
          </w:p>
        </w:tc>
        <w:tc>
          <w:tcPr>
            <w:tcW w:w="1140" w:type="dxa"/>
            <w:shd w:val="clear" w:color="auto" w:fill="A6A6A6" w:themeFill="background1" w:themeFillShade="A6"/>
            <w:vAlign w:val="center"/>
            <w:hideMark/>
          </w:tcPr>
          <w:p w:rsidRPr="00A079D9" w:rsidR="00A079D9" w:rsidP="00A079D9" w:rsidRDefault="00A079D9" w14:paraId="0375F8B7" w14:textId="6175CB08">
            <w:pPr>
              <w:jc w:val="center"/>
              <w:rPr>
                <w:rFonts w:ascii="Verdana" w:hAnsi="Verdana"/>
                <w:b/>
                <w:bCs/>
                <w:sz w:val="18"/>
                <w:szCs w:val="18"/>
              </w:rPr>
            </w:pPr>
            <w:r w:rsidRPr="00A079D9">
              <w:rPr>
                <w:rFonts w:ascii="Verdana" w:hAnsi="Verdana"/>
                <w:b/>
                <w:bCs/>
                <w:sz w:val="18"/>
                <w:szCs w:val="18"/>
              </w:rPr>
              <w:t>Tarifa promedio ($/kWh)</w:t>
            </w:r>
          </w:p>
        </w:tc>
        <w:tc>
          <w:tcPr>
            <w:tcW w:w="1365" w:type="dxa"/>
            <w:shd w:val="clear" w:color="auto" w:fill="A6A6A6" w:themeFill="background1" w:themeFillShade="A6"/>
            <w:vAlign w:val="center"/>
            <w:hideMark/>
          </w:tcPr>
          <w:p w:rsidRPr="00A079D9" w:rsidR="00A079D9" w:rsidP="00A079D9" w:rsidRDefault="00A079D9" w14:paraId="5FD332DC" w14:textId="7EFAE97D">
            <w:pPr>
              <w:jc w:val="center"/>
              <w:rPr>
                <w:rFonts w:ascii="Verdana" w:hAnsi="Verdana"/>
                <w:b/>
                <w:bCs/>
                <w:sz w:val="18"/>
                <w:szCs w:val="18"/>
              </w:rPr>
            </w:pPr>
            <w:r w:rsidRPr="00A079D9">
              <w:rPr>
                <w:rFonts w:ascii="Verdana" w:hAnsi="Verdana"/>
                <w:b/>
                <w:bCs/>
                <w:sz w:val="18"/>
                <w:szCs w:val="18"/>
              </w:rPr>
              <w:t>Ahorro económico anual ($)</w:t>
            </w:r>
          </w:p>
        </w:tc>
      </w:tr>
      <w:tr w:rsidRPr="00A079D9" w:rsidR="00A079D9" w:rsidTr="00A079D9" w14:paraId="12E3F376" w14:textId="77777777">
        <w:trPr>
          <w:trHeight w:val="285"/>
        </w:trPr>
        <w:tc>
          <w:tcPr>
            <w:tcW w:w="1875" w:type="dxa"/>
            <w:vAlign w:val="center"/>
            <w:hideMark/>
          </w:tcPr>
          <w:p w:rsidRPr="00A079D9" w:rsidR="00A079D9" w:rsidP="00A079D9" w:rsidRDefault="00A079D9" w14:paraId="41123CAC" w14:textId="7ADC5CB7">
            <w:pPr>
              <w:jc w:val="center"/>
              <w:rPr>
                <w:rFonts w:ascii="Verdana" w:hAnsi="Verdana"/>
                <w:b/>
                <w:bCs/>
                <w:sz w:val="18"/>
                <w:szCs w:val="18"/>
              </w:rPr>
            </w:pPr>
            <w:r w:rsidRPr="00A079D9">
              <w:rPr>
                <w:rFonts w:ascii="Verdana" w:hAnsi="Verdana"/>
                <w:sz w:val="18"/>
                <w:szCs w:val="18"/>
              </w:rPr>
              <w:t>2023</w:t>
            </w:r>
          </w:p>
        </w:tc>
        <w:tc>
          <w:tcPr>
            <w:tcW w:w="1785" w:type="dxa"/>
            <w:vAlign w:val="center"/>
            <w:hideMark/>
          </w:tcPr>
          <w:p w:rsidRPr="00A079D9" w:rsidR="00A079D9" w:rsidP="00A079D9" w:rsidRDefault="00A079D9" w14:paraId="73AE6D98" w14:textId="72DDBF81">
            <w:pPr>
              <w:jc w:val="center"/>
              <w:rPr>
                <w:rFonts w:ascii="Verdana" w:hAnsi="Verdana"/>
                <w:sz w:val="18"/>
                <w:szCs w:val="18"/>
              </w:rPr>
            </w:pPr>
            <w:r w:rsidRPr="00A079D9">
              <w:rPr>
                <w:rFonts w:ascii="Verdana" w:hAnsi="Verdana"/>
                <w:sz w:val="18"/>
                <w:szCs w:val="18"/>
              </w:rPr>
              <w:t>365.365</w:t>
            </w:r>
          </w:p>
        </w:tc>
        <w:tc>
          <w:tcPr>
            <w:tcW w:w="1320" w:type="dxa"/>
            <w:vAlign w:val="center"/>
            <w:hideMark/>
          </w:tcPr>
          <w:p w:rsidRPr="00A079D9" w:rsidR="00A079D9" w:rsidP="00A079D9" w:rsidRDefault="00A079D9" w14:paraId="05AF5BA1" w14:textId="4008AEC6">
            <w:pPr>
              <w:jc w:val="center"/>
              <w:rPr>
                <w:rFonts w:ascii="Verdana" w:hAnsi="Verdana"/>
                <w:sz w:val="18"/>
                <w:szCs w:val="18"/>
              </w:rPr>
            </w:pPr>
            <w:r w:rsidRPr="00A079D9">
              <w:rPr>
                <w:rFonts w:ascii="Verdana" w:hAnsi="Verdana"/>
                <w:sz w:val="18"/>
                <w:szCs w:val="18"/>
              </w:rPr>
              <w:t>148.174</w:t>
            </w:r>
          </w:p>
        </w:tc>
        <w:tc>
          <w:tcPr>
            <w:tcW w:w="1275" w:type="dxa"/>
            <w:vAlign w:val="center"/>
            <w:hideMark/>
          </w:tcPr>
          <w:p w:rsidRPr="00A079D9" w:rsidR="00A079D9" w:rsidP="00A079D9" w:rsidRDefault="00A079D9" w14:paraId="335AE942" w14:textId="2825C5F6">
            <w:pPr>
              <w:jc w:val="center"/>
              <w:rPr>
                <w:rFonts w:ascii="Verdana" w:hAnsi="Verdana"/>
                <w:sz w:val="18"/>
                <w:szCs w:val="18"/>
              </w:rPr>
            </w:pPr>
            <w:r w:rsidRPr="00A079D9">
              <w:rPr>
                <w:rFonts w:ascii="Verdana" w:hAnsi="Verdana"/>
                <w:sz w:val="18"/>
                <w:szCs w:val="18"/>
              </w:rPr>
              <w:t>40,6 %</w:t>
            </w:r>
          </w:p>
        </w:tc>
        <w:tc>
          <w:tcPr>
            <w:tcW w:w="1140" w:type="dxa"/>
            <w:vAlign w:val="center"/>
            <w:hideMark/>
          </w:tcPr>
          <w:p w:rsidRPr="00A079D9" w:rsidR="00A079D9" w:rsidP="00A079D9" w:rsidRDefault="00A079D9" w14:paraId="41B3648A" w14:textId="4C2834A6">
            <w:pPr>
              <w:jc w:val="center"/>
              <w:rPr>
                <w:rFonts w:ascii="Verdana" w:hAnsi="Verdana"/>
                <w:sz w:val="18"/>
                <w:szCs w:val="18"/>
              </w:rPr>
            </w:pPr>
            <w:r w:rsidRPr="00A079D9">
              <w:rPr>
                <w:rFonts w:ascii="Verdana" w:hAnsi="Verdana"/>
                <w:sz w:val="18"/>
                <w:szCs w:val="18"/>
              </w:rPr>
              <w:t>665</w:t>
            </w:r>
          </w:p>
        </w:tc>
        <w:tc>
          <w:tcPr>
            <w:tcW w:w="1365" w:type="dxa"/>
            <w:vAlign w:val="center"/>
            <w:hideMark/>
          </w:tcPr>
          <w:p w:rsidRPr="00A079D9" w:rsidR="00A079D9" w:rsidP="00A079D9" w:rsidRDefault="00A079D9" w14:paraId="1A24DAA0" w14:textId="3D78ACAE">
            <w:pPr>
              <w:jc w:val="center"/>
              <w:rPr>
                <w:rFonts w:ascii="Verdana" w:hAnsi="Verdana"/>
                <w:sz w:val="18"/>
                <w:szCs w:val="18"/>
              </w:rPr>
            </w:pPr>
            <w:r w:rsidRPr="00A079D9">
              <w:rPr>
                <w:rFonts w:ascii="Verdana" w:hAnsi="Verdana"/>
                <w:sz w:val="18"/>
                <w:szCs w:val="18"/>
              </w:rPr>
              <w:t>98.535.710</w:t>
            </w:r>
          </w:p>
        </w:tc>
      </w:tr>
      <w:tr w:rsidRPr="00A079D9" w:rsidR="00A079D9" w:rsidTr="00A079D9" w14:paraId="62DC0BA9" w14:textId="77777777">
        <w:trPr>
          <w:trHeight w:val="285"/>
        </w:trPr>
        <w:tc>
          <w:tcPr>
            <w:tcW w:w="1875" w:type="dxa"/>
            <w:vAlign w:val="center"/>
            <w:hideMark/>
          </w:tcPr>
          <w:p w:rsidRPr="00A079D9" w:rsidR="00A079D9" w:rsidP="00A079D9" w:rsidRDefault="00A079D9" w14:paraId="4DFFA658" w14:textId="59856A06">
            <w:pPr>
              <w:jc w:val="center"/>
              <w:rPr>
                <w:rFonts w:ascii="Verdana" w:hAnsi="Verdana"/>
                <w:b/>
                <w:bCs/>
                <w:sz w:val="18"/>
                <w:szCs w:val="18"/>
              </w:rPr>
            </w:pPr>
            <w:r w:rsidRPr="00A079D9">
              <w:rPr>
                <w:rFonts w:ascii="Verdana" w:hAnsi="Verdana"/>
                <w:sz w:val="18"/>
                <w:szCs w:val="18"/>
              </w:rPr>
              <w:t>2024</w:t>
            </w:r>
          </w:p>
        </w:tc>
        <w:tc>
          <w:tcPr>
            <w:tcW w:w="1785" w:type="dxa"/>
            <w:vAlign w:val="center"/>
            <w:hideMark/>
          </w:tcPr>
          <w:p w:rsidRPr="00A079D9" w:rsidR="00A079D9" w:rsidP="00A079D9" w:rsidRDefault="00A079D9" w14:paraId="639D6BD0" w14:textId="6E4147B6">
            <w:pPr>
              <w:jc w:val="center"/>
              <w:rPr>
                <w:rFonts w:ascii="Verdana" w:hAnsi="Verdana"/>
                <w:sz w:val="18"/>
                <w:szCs w:val="18"/>
              </w:rPr>
            </w:pPr>
            <w:r w:rsidRPr="00A079D9">
              <w:rPr>
                <w:rFonts w:ascii="Verdana" w:hAnsi="Verdana"/>
                <w:sz w:val="18"/>
                <w:szCs w:val="18"/>
              </w:rPr>
              <w:t>322.878</w:t>
            </w:r>
          </w:p>
        </w:tc>
        <w:tc>
          <w:tcPr>
            <w:tcW w:w="1320" w:type="dxa"/>
            <w:vAlign w:val="center"/>
            <w:hideMark/>
          </w:tcPr>
          <w:p w:rsidRPr="00A079D9" w:rsidR="00A079D9" w:rsidP="00A079D9" w:rsidRDefault="00A079D9" w14:paraId="293DEF58" w14:textId="596901A9">
            <w:pPr>
              <w:jc w:val="center"/>
              <w:rPr>
                <w:rFonts w:ascii="Verdana" w:hAnsi="Verdana"/>
                <w:sz w:val="18"/>
                <w:szCs w:val="18"/>
              </w:rPr>
            </w:pPr>
            <w:r w:rsidRPr="00A079D9">
              <w:rPr>
                <w:rFonts w:ascii="Verdana" w:hAnsi="Verdana"/>
                <w:sz w:val="18"/>
                <w:szCs w:val="18"/>
              </w:rPr>
              <w:t>149.181</w:t>
            </w:r>
          </w:p>
        </w:tc>
        <w:tc>
          <w:tcPr>
            <w:tcW w:w="1275" w:type="dxa"/>
            <w:vAlign w:val="center"/>
            <w:hideMark/>
          </w:tcPr>
          <w:p w:rsidRPr="00A079D9" w:rsidR="00A079D9" w:rsidP="00A079D9" w:rsidRDefault="00A079D9" w14:paraId="4813C235" w14:textId="2C7183A4">
            <w:pPr>
              <w:jc w:val="center"/>
              <w:rPr>
                <w:rFonts w:ascii="Verdana" w:hAnsi="Verdana"/>
                <w:sz w:val="18"/>
                <w:szCs w:val="18"/>
              </w:rPr>
            </w:pPr>
            <w:r w:rsidRPr="00A079D9">
              <w:rPr>
                <w:rFonts w:ascii="Verdana" w:hAnsi="Verdana"/>
                <w:sz w:val="18"/>
                <w:szCs w:val="18"/>
              </w:rPr>
              <w:t>46,2 %</w:t>
            </w:r>
          </w:p>
        </w:tc>
        <w:tc>
          <w:tcPr>
            <w:tcW w:w="1140" w:type="dxa"/>
            <w:vAlign w:val="center"/>
            <w:hideMark/>
          </w:tcPr>
          <w:p w:rsidRPr="00A079D9" w:rsidR="00A079D9" w:rsidP="00A079D9" w:rsidRDefault="00A079D9" w14:paraId="390E50C8" w14:textId="19D3FCDA">
            <w:pPr>
              <w:jc w:val="center"/>
              <w:rPr>
                <w:rFonts w:ascii="Verdana" w:hAnsi="Verdana"/>
                <w:sz w:val="18"/>
                <w:szCs w:val="18"/>
              </w:rPr>
            </w:pPr>
            <w:r w:rsidRPr="00A079D9">
              <w:rPr>
                <w:rFonts w:ascii="Verdana" w:hAnsi="Verdana"/>
                <w:sz w:val="18"/>
                <w:szCs w:val="18"/>
              </w:rPr>
              <w:t>665</w:t>
            </w:r>
          </w:p>
        </w:tc>
        <w:tc>
          <w:tcPr>
            <w:tcW w:w="1365" w:type="dxa"/>
            <w:vAlign w:val="center"/>
            <w:hideMark/>
          </w:tcPr>
          <w:p w:rsidRPr="00A079D9" w:rsidR="00A079D9" w:rsidP="00A079D9" w:rsidRDefault="00A079D9" w14:paraId="753DE736" w14:textId="7497FB9A">
            <w:pPr>
              <w:jc w:val="center"/>
              <w:rPr>
                <w:rFonts w:ascii="Verdana" w:hAnsi="Verdana"/>
                <w:sz w:val="18"/>
                <w:szCs w:val="18"/>
              </w:rPr>
            </w:pPr>
            <w:r w:rsidRPr="00A079D9">
              <w:rPr>
                <w:rFonts w:ascii="Verdana" w:hAnsi="Verdana"/>
                <w:sz w:val="18"/>
                <w:szCs w:val="18"/>
              </w:rPr>
              <w:t>99.205.365</w:t>
            </w:r>
          </w:p>
        </w:tc>
      </w:tr>
      <w:tr w:rsidRPr="00A079D9" w:rsidR="00A079D9" w:rsidTr="00A079D9" w14:paraId="7D75FBEA" w14:textId="77777777">
        <w:trPr>
          <w:trHeight w:val="285"/>
        </w:trPr>
        <w:tc>
          <w:tcPr>
            <w:tcW w:w="1875" w:type="dxa"/>
            <w:vAlign w:val="center"/>
            <w:hideMark/>
          </w:tcPr>
          <w:p w:rsidRPr="00A079D9" w:rsidR="00A079D9" w:rsidP="00A079D9" w:rsidRDefault="00A079D9" w14:paraId="2EB834C7" w14:textId="059C3CEF">
            <w:pPr>
              <w:jc w:val="center"/>
              <w:rPr>
                <w:rFonts w:ascii="Verdana" w:hAnsi="Verdana"/>
                <w:b/>
                <w:bCs/>
                <w:sz w:val="18"/>
                <w:szCs w:val="18"/>
              </w:rPr>
            </w:pPr>
            <w:r w:rsidRPr="00A079D9">
              <w:rPr>
                <w:rFonts w:ascii="Verdana" w:hAnsi="Verdana"/>
                <w:sz w:val="18"/>
                <w:szCs w:val="18"/>
              </w:rPr>
              <w:t>2025</w:t>
            </w:r>
          </w:p>
        </w:tc>
        <w:tc>
          <w:tcPr>
            <w:tcW w:w="1785" w:type="dxa"/>
            <w:vAlign w:val="center"/>
            <w:hideMark/>
          </w:tcPr>
          <w:p w:rsidRPr="00A079D9" w:rsidR="00A079D9" w:rsidP="00A079D9" w:rsidRDefault="00A079D9" w14:paraId="6BCD7CB9" w14:textId="55DA4536">
            <w:pPr>
              <w:jc w:val="center"/>
              <w:rPr>
                <w:rFonts w:ascii="Verdana" w:hAnsi="Verdana"/>
                <w:sz w:val="18"/>
                <w:szCs w:val="18"/>
              </w:rPr>
            </w:pPr>
            <w:r w:rsidRPr="00A079D9">
              <w:rPr>
                <w:rFonts w:ascii="Verdana" w:hAnsi="Verdana"/>
                <w:sz w:val="18"/>
                <w:szCs w:val="18"/>
              </w:rPr>
              <w:t>350.126</w:t>
            </w:r>
          </w:p>
        </w:tc>
        <w:tc>
          <w:tcPr>
            <w:tcW w:w="1320" w:type="dxa"/>
            <w:vAlign w:val="center"/>
            <w:hideMark/>
          </w:tcPr>
          <w:p w:rsidRPr="00A079D9" w:rsidR="00A079D9" w:rsidP="00A079D9" w:rsidRDefault="00A079D9" w14:paraId="4536BB85" w14:textId="319DFEC9">
            <w:pPr>
              <w:jc w:val="center"/>
              <w:rPr>
                <w:rFonts w:ascii="Verdana" w:hAnsi="Verdana"/>
                <w:sz w:val="18"/>
                <w:szCs w:val="18"/>
              </w:rPr>
            </w:pPr>
            <w:r w:rsidRPr="00A079D9">
              <w:rPr>
                <w:rFonts w:ascii="Verdana" w:hAnsi="Verdana"/>
                <w:sz w:val="18"/>
                <w:szCs w:val="18"/>
              </w:rPr>
              <w:t>129.668</w:t>
            </w:r>
          </w:p>
        </w:tc>
        <w:tc>
          <w:tcPr>
            <w:tcW w:w="1275" w:type="dxa"/>
            <w:vAlign w:val="center"/>
            <w:hideMark/>
          </w:tcPr>
          <w:p w:rsidRPr="00A079D9" w:rsidR="00A079D9" w:rsidP="00A079D9" w:rsidRDefault="00A079D9" w14:paraId="5FC4AFF6" w14:textId="15443A84">
            <w:pPr>
              <w:jc w:val="center"/>
              <w:rPr>
                <w:rFonts w:ascii="Verdana" w:hAnsi="Verdana"/>
                <w:sz w:val="18"/>
                <w:szCs w:val="18"/>
              </w:rPr>
            </w:pPr>
            <w:r w:rsidRPr="00A079D9">
              <w:rPr>
                <w:rFonts w:ascii="Verdana" w:hAnsi="Verdana"/>
                <w:sz w:val="18"/>
                <w:szCs w:val="18"/>
              </w:rPr>
              <w:t>37,0 %</w:t>
            </w:r>
          </w:p>
        </w:tc>
        <w:tc>
          <w:tcPr>
            <w:tcW w:w="1140" w:type="dxa"/>
            <w:vAlign w:val="center"/>
            <w:hideMark/>
          </w:tcPr>
          <w:p w:rsidRPr="00A079D9" w:rsidR="00A079D9" w:rsidP="00A079D9" w:rsidRDefault="00A079D9" w14:paraId="179F579F" w14:textId="75859717">
            <w:pPr>
              <w:jc w:val="center"/>
              <w:rPr>
                <w:rFonts w:ascii="Verdana" w:hAnsi="Verdana"/>
                <w:sz w:val="18"/>
                <w:szCs w:val="18"/>
              </w:rPr>
            </w:pPr>
            <w:r w:rsidRPr="00A079D9">
              <w:rPr>
                <w:rFonts w:ascii="Verdana" w:hAnsi="Verdana"/>
                <w:sz w:val="18"/>
                <w:szCs w:val="18"/>
              </w:rPr>
              <w:t>665</w:t>
            </w:r>
          </w:p>
        </w:tc>
        <w:tc>
          <w:tcPr>
            <w:tcW w:w="1365" w:type="dxa"/>
            <w:vAlign w:val="center"/>
            <w:hideMark/>
          </w:tcPr>
          <w:p w:rsidRPr="00A079D9" w:rsidR="00A079D9" w:rsidP="00A079D9" w:rsidRDefault="00A079D9" w14:paraId="56F12DC6" w14:textId="210255F4">
            <w:pPr>
              <w:jc w:val="center"/>
              <w:rPr>
                <w:rFonts w:ascii="Verdana" w:hAnsi="Verdana"/>
                <w:sz w:val="18"/>
                <w:szCs w:val="18"/>
              </w:rPr>
            </w:pPr>
            <w:r w:rsidRPr="00A079D9">
              <w:rPr>
                <w:rFonts w:ascii="Verdana" w:hAnsi="Verdana"/>
                <w:sz w:val="18"/>
                <w:szCs w:val="18"/>
              </w:rPr>
              <w:t>86.229.220</w:t>
            </w:r>
          </w:p>
        </w:tc>
      </w:tr>
      <w:tr w:rsidRPr="00A079D9" w:rsidR="00A079D9" w:rsidTr="00A079D9" w14:paraId="51AAE4F7" w14:textId="77777777">
        <w:trPr>
          <w:trHeight w:val="450"/>
        </w:trPr>
        <w:tc>
          <w:tcPr>
            <w:tcW w:w="1875" w:type="dxa"/>
            <w:vAlign w:val="center"/>
            <w:hideMark/>
          </w:tcPr>
          <w:p w:rsidRPr="00A079D9" w:rsidR="00A079D9" w:rsidP="00A079D9" w:rsidRDefault="00A079D9" w14:paraId="324E2AEF" w14:textId="71A82A35">
            <w:pPr>
              <w:jc w:val="center"/>
              <w:rPr>
                <w:rFonts w:ascii="Verdana" w:hAnsi="Verdana"/>
                <w:b/>
                <w:bCs/>
                <w:sz w:val="18"/>
                <w:szCs w:val="18"/>
              </w:rPr>
            </w:pPr>
            <w:r w:rsidRPr="00A079D9">
              <w:rPr>
                <w:rFonts w:ascii="Verdana" w:hAnsi="Verdana"/>
                <w:sz w:val="18"/>
                <w:szCs w:val="18"/>
              </w:rPr>
              <w:t>Total / Promedio</w:t>
            </w:r>
          </w:p>
        </w:tc>
        <w:tc>
          <w:tcPr>
            <w:tcW w:w="1785" w:type="dxa"/>
            <w:vAlign w:val="center"/>
            <w:hideMark/>
          </w:tcPr>
          <w:p w:rsidRPr="00A079D9" w:rsidR="00A079D9" w:rsidP="00A079D9" w:rsidRDefault="00A079D9" w14:paraId="7BD1CE17" w14:textId="5B6838C6">
            <w:pPr>
              <w:jc w:val="center"/>
              <w:rPr>
                <w:rFonts w:ascii="Verdana" w:hAnsi="Verdana"/>
                <w:sz w:val="18"/>
                <w:szCs w:val="18"/>
              </w:rPr>
            </w:pPr>
            <w:r w:rsidRPr="00A079D9">
              <w:rPr>
                <w:rFonts w:ascii="Verdana" w:hAnsi="Verdana"/>
                <w:sz w:val="18"/>
                <w:szCs w:val="18"/>
              </w:rPr>
              <w:t>1.038.369</w:t>
            </w:r>
          </w:p>
        </w:tc>
        <w:tc>
          <w:tcPr>
            <w:tcW w:w="1320" w:type="dxa"/>
            <w:vAlign w:val="center"/>
            <w:hideMark/>
          </w:tcPr>
          <w:p w:rsidRPr="00A079D9" w:rsidR="00A079D9" w:rsidP="00A079D9" w:rsidRDefault="00A079D9" w14:paraId="3ADC3C32" w14:textId="4856F825">
            <w:pPr>
              <w:jc w:val="center"/>
              <w:rPr>
                <w:rFonts w:ascii="Verdana" w:hAnsi="Verdana"/>
                <w:sz w:val="18"/>
                <w:szCs w:val="18"/>
              </w:rPr>
            </w:pPr>
            <w:r w:rsidRPr="00A079D9">
              <w:rPr>
                <w:rFonts w:ascii="Verdana" w:hAnsi="Verdana"/>
                <w:sz w:val="18"/>
                <w:szCs w:val="18"/>
              </w:rPr>
              <w:t>427.023</w:t>
            </w:r>
          </w:p>
        </w:tc>
        <w:tc>
          <w:tcPr>
            <w:tcW w:w="1275" w:type="dxa"/>
            <w:vAlign w:val="center"/>
            <w:hideMark/>
          </w:tcPr>
          <w:p w:rsidRPr="00A079D9" w:rsidR="00A079D9" w:rsidP="00A079D9" w:rsidRDefault="00A079D9" w14:paraId="2DFE1D1C" w14:textId="4B7A72B7">
            <w:pPr>
              <w:jc w:val="center"/>
              <w:rPr>
                <w:rFonts w:ascii="Verdana" w:hAnsi="Verdana"/>
                <w:sz w:val="18"/>
                <w:szCs w:val="18"/>
              </w:rPr>
            </w:pPr>
            <w:r w:rsidRPr="00A079D9">
              <w:rPr>
                <w:rFonts w:ascii="Verdana" w:hAnsi="Verdana"/>
                <w:sz w:val="18"/>
                <w:szCs w:val="18"/>
              </w:rPr>
              <w:t>41,2</w:t>
            </w:r>
          </w:p>
        </w:tc>
        <w:tc>
          <w:tcPr>
            <w:tcW w:w="1140" w:type="dxa"/>
            <w:vAlign w:val="center"/>
            <w:hideMark/>
          </w:tcPr>
          <w:p w:rsidRPr="00A079D9" w:rsidR="00A079D9" w:rsidP="00A079D9" w:rsidRDefault="00A079D9" w14:paraId="08AF97F0" w14:textId="338FB710">
            <w:pPr>
              <w:jc w:val="center"/>
              <w:rPr>
                <w:rFonts w:ascii="Verdana" w:hAnsi="Verdana"/>
                <w:sz w:val="18"/>
                <w:szCs w:val="18"/>
              </w:rPr>
            </w:pPr>
            <w:r w:rsidRPr="00A079D9">
              <w:rPr>
                <w:rFonts w:ascii="Verdana" w:hAnsi="Verdana"/>
                <w:sz w:val="18"/>
                <w:szCs w:val="18"/>
              </w:rPr>
              <w:t>—</w:t>
            </w:r>
          </w:p>
        </w:tc>
        <w:tc>
          <w:tcPr>
            <w:tcW w:w="1365" w:type="dxa"/>
            <w:vAlign w:val="center"/>
            <w:hideMark/>
          </w:tcPr>
          <w:p w:rsidRPr="00A079D9" w:rsidR="00A079D9" w:rsidP="00A079D9" w:rsidRDefault="00A079D9" w14:paraId="536480B8" w14:textId="2B6EBFD3">
            <w:pPr>
              <w:jc w:val="center"/>
              <w:rPr>
                <w:rFonts w:ascii="Verdana" w:hAnsi="Verdana"/>
                <w:sz w:val="18"/>
                <w:szCs w:val="18"/>
              </w:rPr>
            </w:pPr>
            <w:r w:rsidRPr="00A079D9">
              <w:rPr>
                <w:rFonts w:ascii="Verdana" w:hAnsi="Verdana"/>
                <w:sz w:val="18"/>
                <w:szCs w:val="18"/>
              </w:rPr>
              <w:t>283.970.295</w:t>
            </w:r>
          </w:p>
        </w:tc>
      </w:tr>
    </w:tbl>
    <w:p w:rsidRPr="00A079D9" w:rsidR="00A079D9" w:rsidP="00A079D9" w:rsidRDefault="00A079D9" w14:paraId="241EB492" w14:textId="52C1C16A">
      <w:pPr>
        <w:spacing w:after="0" w:line="240" w:lineRule="auto"/>
        <w:jc w:val="center"/>
        <w:rPr>
          <w:rFonts w:ascii="Verdana" w:hAnsi="Verdana"/>
          <w:sz w:val="18"/>
          <w:szCs w:val="18"/>
        </w:rPr>
      </w:pPr>
      <w:r w:rsidRPr="00A079D9">
        <w:rPr>
          <w:rFonts w:ascii="Verdana" w:hAnsi="Verdana"/>
          <w:sz w:val="18"/>
          <w:szCs w:val="18"/>
        </w:rPr>
        <w:t>Fuente: Elaboración propia - Informe huella de carbono</w:t>
      </w:r>
    </w:p>
    <w:p w:rsidR="00A079D9" w:rsidP="005358E1" w:rsidRDefault="00A079D9" w14:paraId="5F667BF8" w14:textId="77777777">
      <w:pPr>
        <w:spacing w:after="0" w:line="360" w:lineRule="auto"/>
        <w:jc w:val="both"/>
        <w:rPr>
          <w:rFonts w:ascii="Verdana" w:hAnsi="Verdana"/>
          <w:sz w:val="24"/>
          <w:szCs w:val="24"/>
        </w:rPr>
      </w:pPr>
    </w:p>
    <w:p w:rsidRPr="00A079D9" w:rsidR="00A079D9" w:rsidP="005358E1" w:rsidRDefault="00A079D9" w14:paraId="6BF54E21" w14:textId="088444A5">
      <w:pPr>
        <w:spacing w:after="0" w:line="360" w:lineRule="auto"/>
        <w:jc w:val="both"/>
        <w:rPr>
          <w:rFonts w:ascii="Verdana" w:hAnsi="Verdana"/>
          <w:sz w:val="24"/>
          <w:szCs w:val="24"/>
        </w:rPr>
      </w:pPr>
      <w:r w:rsidRPr="00A079D9">
        <w:rPr>
          <w:rFonts w:ascii="Verdana" w:hAnsi="Verdana"/>
          <w:b/>
          <w:bCs/>
          <w:sz w:val="24"/>
          <w:szCs w:val="24"/>
        </w:rPr>
        <w:t>Huella de carbono institucional</w:t>
      </w:r>
      <w:r w:rsidRPr="3574869A" w:rsidR="4EAA3CE8">
        <w:rPr>
          <w:rFonts w:ascii="Verdana" w:hAnsi="Verdana"/>
          <w:b/>
          <w:bCs/>
          <w:sz w:val="24"/>
          <w:szCs w:val="24"/>
        </w:rPr>
        <w:t xml:space="preserve">: </w:t>
      </w:r>
      <w:r w:rsidRPr="3574869A" w:rsidR="4EAA3CE8">
        <w:rPr>
          <w:rFonts w:ascii="Verdana" w:hAnsi="Verdana"/>
          <w:sz w:val="24"/>
          <w:szCs w:val="24"/>
        </w:rPr>
        <w:t>e</w:t>
      </w:r>
      <w:r w:rsidRPr="3574869A">
        <w:rPr>
          <w:rFonts w:ascii="Verdana" w:hAnsi="Verdana"/>
          <w:sz w:val="24"/>
          <w:szCs w:val="24"/>
        </w:rPr>
        <w:t>l</w:t>
      </w:r>
      <w:r w:rsidRPr="00A079D9">
        <w:rPr>
          <w:rFonts w:ascii="Verdana" w:hAnsi="Verdana"/>
          <w:sz w:val="24"/>
          <w:szCs w:val="24"/>
        </w:rPr>
        <w:t xml:space="preserve"> Ministerio de Minas y Energía ha venido fortaleciendo de manera progresiva la gestión de su huella de carbono institucional como parte de su compromiso con la acción climática, la sostenibilidad ambiental y el cumplimiento de las metas nacionales e internacionales de reducción de emisiones de gases de efecto invernadero (GEI). Desde el año 2023, la entidad implementa de manera sistemática el proceso de cuantificación, verificación y compensación de su huella de carbono, lo cual ha permitido contar con información técnica confiable sobre las principales fuentes de emisión asociadas a la operación institucional y definir medidas de mitigación acordes con dichos resultados. </w:t>
      </w:r>
    </w:p>
    <w:p w:rsidR="00A079D9" w:rsidP="005358E1" w:rsidRDefault="00A079D9" w14:paraId="454FDE62" w14:textId="77777777">
      <w:pPr>
        <w:spacing w:after="0" w:line="360" w:lineRule="auto"/>
        <w:jc w:val="both"/>
        <w:rPr>
          <w:rFonts w:ascii="Verdana" w:hAnsi="Verdana"/>
          <w:sz w:val="24"/>
          <w:szCs w:val="24"/>
        </w:rPr>
      </w:pPr>
    </w:p>
    <w:p w:rsidRPr="00A079D9" w:rsidR="00A079D9" w:rsidP="005358E1" w:rsidRDefault="00A079D9" w14:paraId="3CC34B90" w14:textId="13E1BD27">
      <w:pPr>
        <w:spacing w:after="0" w:line="360" w:lineRule="auto"/>
        <w:jc w:val="both"/>
      </w:pPr>
      <w:r w:rsidRPr="00A079D9">
        <w:rPr>
          <w:rFonts w:ascii="Verdana" w:hAnsi="Verdana"/>
          <w:sz w:val="24"/>
          <w:szCs w:val="24"/>
        </w:rPr>
        <w:t>Como resultado de este proceso se presentan los cálculos de la huella de carbono 2023-2025 del Ministerio.   </w:t>
      </w:r>
    </w:p>
    <w:p w:rsidR="1DE01406" w:rsidP="1DE01406" w:rsidRDefault="1DE01406" w14:paraId="111EA002" w14:textId="4245C879">
      <w:pPr>
        <w:spacing w:after="0" w:line="360" w:lineRule="auto"/>
        <w:jc w:val="both"/>
        <w:rPr>
          <w:rFonts w:ascii="Verdana" w:hAnsi="Verdana"/>
          <w:sz w:val="24"/>
          <w:szCs w:val="24"/>
        </w:rPr>
      </w:pPr>
    </w:p>
    <w:p w:rsidRPr="00A079D9" w:rsidR="00A079D9" w:rsidP="00A079D9" w:rsidRDefault="00A079D9" w14:paraId="2B36ABA8" w14:textId="584FE204">
      <w:pPr>
        <w:spacing w:after="0" w:line="240" w:lineRule="auto"/>
        <w:jc w:val="center"/>
        <w:rPr>
          <w:rFonts w:ascii="Verdana" w:hAnsi="Verdana"/>
          <w:b/>
          <w:bCs/>
          <w:sz w:val="18"/>
          <w:szCs w:val="18"/>
        </w:rPr>
      </w:pPr>
      <w:r w:rsidRPr="00A079D9">
        <w:rPr>
          <w:rFonts w:ascii="Verdana" w:hAnsi="Verdana"/>
          <w:sz w:val="18"/>
          <w:szCs w:val="18"/>
        </w:rPr>
        <w:t xml:space="preserve">Gráfico </w:t>
      </w:r>
      <w:r>
        <w:rPr>
          <w:rFonts w:ascii="Verdana" w:hAnsi="Verdana"/>
          <w:sz w:val="18"/>
          <w:szCs w:val="18"/>
        </w:rPr>
        <w:t>No. 15</w:t>
      </w:r>
      <w:r w:rsidRPr="00A079D9">
        <w:rPr>
          <w:rFonts w:ascii="Verdana" w:hAnsi="Verdana"/>
          <w:sz w:val="18"/>
          <w:szCs w:val="18"/>
        </w:rPr>
        <w:t>. Estrategias de Movilidad Sostenible</w:t>
      </w:r>
    </w:p>
    <w:p w:rsidRPr="00A079D9" w:rsidR="00A079D9" w:rsidP="00A079D9" w:rsidRDefault="00A079D9" w14:paraId="6B64056D" w14:textId="7DBCCC35">
      <w:pPr>
        <w:spacing w:after="0" w:line="240" w:lineRule="auto"/>
        <w:jc w:val="center"/>
        <w:rPr>
          <w:rFonts w:ascii="Verdana" w:hAnsi="Verdana"/>
          <w:sz w:val="18"/>
          <w:szCs w:val="18"/>
        </w:rPr>
      </w:pPr>
      <w:r w:rsidRPr="00A079D9">
        <w:rPr>
          <w:rFonts w:ascii="Verdana" w:hAnsi="Verdana"/>
          <w:noProof/>
          <w:sz w:val="18"/>
          <w:szCs w:val="18"/>
        </w:rPr>
        <w:drawing>
          <wp:inline distT="0" distB="0" distL="0" distR="0" wp14:anchorId="1E650F16" wp14:editId="5AE876AC">
            <wp:extent cx="3414099" cy="2892255"/>
            <wp:effectExtent l="0" t="0" r="2540" b="3810"/>
            <wp:docPr id="135615581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421915" cy="2898876"/>
                    </a:xfrm>
                    <a:prstGeom prst="rect">
                      <a:avLst/>
                    </a:prstGeom>
                    <a:noFill/>
                    <a:ln>
                      <a:noFill/>
                    </a:ln>
                  </pic:spPr>
                </pic:pic>
              </a:graphicData>
            </a:graphic>
          </wp:inline>
        </w:drawing>
      </w:r>
    </w:p>
    <w:p w:rsidRPr="00A079D9" w:rsidR="00A079D9" w:rsidP="00A079D9" w:rsidRDefault="00A079D9" w14:paraId="73A4875C" w14:textId="44137819">
      <w:pPr>
        <w:spacing w:after="0" w:line="240" w:lineRule="auto"/>
        <w:jc w:val="center"/>
        <w:rPr>
          <w:rFonts w:ascii="Verdana" w:hAnsi="Verdana"/>
          <w:sz w:val="18"/>
          <w:szCs w:val="18"/>
        </w:rPr>
      </w:pPr>
      <w:r w:rsidRPr="00A079D9">
        <w:rPr>
          <w:rFonts w:ascii="Verdana" w:hAnsi="Verdana"/>
          <w:sz w:val="18"/>
          <w:szCs w:val="18"/>
        </w:rPr>
        <w:t>Fuente: Informe huella de carbono</w:t>
      </w:r>
    </w:p>
    <w:p w:rsidR="00A079D9" w:rsidP="005358E1" w:rsidRDefault="00A079D9" w14:paraId="5A60A9D6" w14:textId="77777777">
      <w:pPr>
        <w:spacing w:after="0" w:line="360" w:lineRule="auto"/>
        <w:jc w:val="both"/>
        <w:rPr>
          <w:rFonts w:ascii="Verdana" w:hAnsi="Verdana"/>
          <w:sz w:val="24"/>
          <w:szCs w:val="24"/>
        </w:rPr>
      </w:pPr>
    </w:p>
    <w:p w:rsidRPr="00A079D9" w:rsidR="00A079D9" w:rsidP="005358E1" w:rsidRDefault="00A079D9" w14:paraId="09E9D17B" w14:textId="4E8B8B02">
      <w:pPr>
        <w:spacing w:after="0" w:line="360" w:lineRule="auto"/>
        <w:jc w:val="both"/>
        <w:rPr>
          <w:rFonts w:ascii="Verdana" w:hAnsi="Verdana"/>
          <w:sz w:val="24"/>
          <w:szCs w:val="24"/>
        </w:rPr>
      </w:pPr>
      <w:r w:rsidRPr="00A079D9">
        <w:rPr>
          <w:rFonts w:ascii="Verdana" w:hAnsi="Verdana"/>
          <w:sz w:val="24"/>
          <w:szCs w:val="24"/>
        </w:rPr>
        <w:t>Estos resultados evidencian una tendencia favorable en la reducción de la huella de carbono institucional y reflejan el impacto de las acciones implementadas en materia de eficiencia energética, incorporación de energías renovables, gestión de residuos, digitalización de procesos y promoción de movilidad sostenible. </w:t>
      </w:r>
    </w:p>
    <w:p w:rsidR="00A079D9" w:rsidP="005358E1" w:rsidRDefault="00A079D9" w14:paraId="0FCF2C7E" w14:textId="77777777">
      <w:pPr>
        <w:spacing w:after="0" w:line="360" w:lineRule="auto"/>
        <w:jc w:val="both"/>
        <w:rPr>
          <w:rFonts w:ascii="Verdana" w:hAnsi="Verdana"/>
          <w:sz w:val="24"/>
          <w:szCs w:val="24"/>
        </w:rPr>
      </w:pPr>
    </w:p>
    <w:p w:rsidR="00A079D9" w:rsidP="005358E1" w:rsidRDefault="00A079D9" w14:paraId="6A16154D" w14:textId="496055FA">
      <w:pPr>
        <w:spacing w:after="0" w:line="360" w:lineRule="auto"/>
        <w:jc w:val="both"/>
        <w:rPr>
          <w:rFonts w:ascii="Verdana" w:hAnsi="Verdana"/>
          <w:sz w:val="24"/>
          <w:szCs w:val="24"/>
        </w:rPr>
      </w:pPr>
      <w:r w:rsidRPr="00A079D9">
        <w:rPr>
          <w:rFonts w:ascii="Verdana" w:hAnsi="Verdana"/>
          <w:sz w:val="24"/>
          <w:szCs w:val="24"/>
        </w:rPr>
        <w:t>Gracias a estos avances, el Ministerio ha obtenido reconocimientos y certificaciones como entidad carbono neutral, las cuales constituyen activos reputacionales estratégicos y posicionan a la entidad como referente del sector público en la lucha contra el cambio climático. </w:t>
      </w:r>
    </w:p>
    <w:p w:rsidRPr="00770ECF" w:rsidR="00A079D9" w:rsidP="005358E1" w:rsidRDefault="00A079D9" w14:paraId="5848C51C" w14:textId="77777777">
      <w:pPr>
        <w:spacing w:after="0" w:line="360" w:lineRule="auto"/>
        <w:jc w:val="center"/>
        <w:rPr>
          <w:rFonts w:ascii="Verdana" w:hAnsi="Verdana"/>
          <w:sz w:val="18"/>
          <w:szCs w:val="18"/>
        </w:rPr>
      </w:pPr>
    </w:p>
    <w:p w:rsidRPr="00D94015" w:rsidR="00A079D9" w:rsidP="00770ECF" w:rsidRDefault="00A079D9" w14:paraId="6C3C1EF6" w14:textId="68143806">
      <w:pPr>
        <w:spacing w:after="0" w:line="360" w:lineRule="auto"/>
        <w:jc w:val="center"/>
        <w:rPr>
          <w:rFonts w:ascii="Verdana" w:hAnsi="Verdana"/>
          <w:sz w:val="18"/>
          <w:szCs w:val="18"/>
        </w:rPr>
      </w:pPr>
      <w:r w:rsidRPr="00D94015">
        <w:rPr>
          <w:rFonts w:ascii="Verdana" w:hAnsi="Verdana"/>
          <w:sz w:val="18"/>
          <w:szCs w:val="18"/>
        </w:rPr>
        <w:t>Tabla </w:t>
      </w:r>
      <w:r w:rsidRPr="00D94015" w:rsidR="00770ECF">
        <w:rPr>
          <w:rFonts w:ascii="Verdana" w:hAnsi="Verdana"/>
          <w:sz w:val="18"/>
          <w:szCs w:val="18"/>
        </w:rPr>
        <w:t>No.</w:t>
      </w:r>
      <w:r w:rsidRPr="00D94015" w:rsidR="00D94015">
        <w:rPr>
          <w:rFonts w:ascii="Verdana" w:hAnsi="Verdana"/>
          <w:sz w:val="18"/>
          <w:szCs w:val="18"/>
        </w:rPr>
        <w:t xml:space="preserve"> 75</w:t>
      </w:r>
      <w:r w:rsidRPr="00D94015">
        <w:rPr>
          <w:rFonts w:ascii="Verdana" w:hAnsi="Verdana"/>
          <w:sz w:val="18"/>
          <w:szCs w:val="18"/>
        </w:rPr>
        <w:t>. Ahorros económicos empleo del sistema solar fotovoltaico</w:t>
      </w:r>
    </w:p>
    <w:tbl>
      <w:tblPr>
        <w:tblStyle w:val="Tablaconcuadrcula"/>
        <w:tblW w:w="0" w:type="dxa"/>
        <w:tblLook w:val="04A0" w:firstRow="1" w:lastRow="0" w:firstColumn="1" w:lastColumn="0" w:noHBand="0" w:noVBand="1"/>
      </w:tblPr>
      <w:tblGrid>
        <w:gridCol w:w="1515"/>
        <w:gridCol w:w="2655"/>
        <w:gridCol w:w="2385"/>
        <w:gridCol w:w="2205"/>
      </w:tblGrid>
      <w:tr w:rsidRPr="00770ECF" w:rsidR="00A079D9" w:rsidTr="00DF2D73" w14:paraId="708AB01D" w14:textId="77777777">
        <w:trPr>
          <w:trHeight w:val="753"/>
        </w:trPr>
        <w:tc>
          <w:tcPr>
            <w:tcW w:w="1515" w:type="dxa"/>
            <w:shd w:val="clear" w:color="auto" w:fill="A6A6A6" w:themeFill="background1" w:themeFillShade="A6"/>
            <w:vAlign w:val="center"/>
            <w:hideMark/>
          </w:tcPr>
          <w:p w:rsidRPr="00770ECF" w:rsidR="00A079D9" w:rsidP="00770ECF" w:rsidRDefault="00A079D9" w14:paraId="597CA419" w14:textId="4354EC23">
            <w:pPr>
              <w:spacing w:line="360" w:lineRule="auto"/>
              <w:jc w:val="center"/>
              <w:rPr>
                <w:rFonts w:ascii="Verdana" w:hAnsi="Verdana"/>
                <w:b/>
                <w:bCs/>
                <w:sz w:val="18"/>
                <w:szCs w:val="18"/>
              </w:rPr>
            </w:pPr>
            <w:r w:rsidRPr="00770ECF">
              <w:rPr>
                <w:rFonts w:ascii="Verdana" w:hAnsi="Verdana"/>
                <w:b/>
                <w:bCs/>
                <w:sz w:val="18"/>
                <w:szCs w:val="18"/>
              </w:rPr>
              <w:t>Año</w:t>
            </w:r>
          </w:p>
        </w:tc>
        <w:tc>
          <w:tcPr>
            <w:tcW w:w="2655" w:type="dxa"/>
            <w:shd w:val="clear" w:color="auto" w:fill="A6A6A6" w:themeFill="background1" w:themeFillShade="A6"/>
            <w:vAlign w:val="center"/>
            <w:hideMark/>
          </w:tcPr>
          <w:p w:rsidRPr="00770ECF" w:rsidR="00A079D9" w:rsidP="00770ECF" w:rsidRDefault="00A079D9" w14:paraId="1DB0401B" w14:textId="2BF3D3E2">
            <w:pPr>
              <w:spacing w:line="360" w:lineRule="auto"/>
              <w:jc w:val="center"/>
              <w:rPr>
                <w:rFonts w:ascii="Verdana" w:hAnsi="Verdana"/>
                <w:b/>
                <w:bCs/>
                <w:sz w:val="18"/>
                <w:szCs w:val="18"/>
              </w:rPr>
            </w:pPr>
            <w:r w:rsidRPr="00770ECF">
              <w:rPr>
                <w:rFonts w:ascii="Verdana" w:hAnsi="Verdana"/>
                <w:b/>
                <w:bCs/>
                <w:sz w:val="18"/>
                <w:szCs w:val="18"/>
              </w:rPr>
              <w:t>Emisiones estimadas (tCO₂e)</w:t>
            </w:r>
          </w:p>
        </w:tc>
        <w:tc>
          <w:tcPr>
            <w:tcW w:w="2385" w:type="dxa"/>
            <w:shd w:val="clear" w:color="auto" w:fill="A6A6A6" w:themeFill="background1" w:themeFillShade="A6"/>
            <w:vAlign w:val="center"/>
            <w:hideMark/>
          </w:tcPr>
          <w:p w:rsidRPr="00770ECF" w:rsidR="00A079D9" w:rsidP="00770ECF" w:rsidRDefault="00A079D9" w14:paraId="0D980A4D" w14:textId="44143E6C">
            <w:pPr>
              <w:spacing w:line="360" w:lineRule="auto"/>
              <w:jc w:val="center"/>
              <w:rPr>
                <w:rFonts w:ascii="Verdana" w:hAnsi="Verdana"/>
                <w:b/>
                <w:bCs/>
                <w:sz w:val="18"/>
                <w:szCs w:val="18"/>
              </w:rPr>
            </w:pPr>
            <w:r w:rsidRPr="00770ECF">
              <w:rPr>
                <w:rFonts w:ascii="Verdana" w:hAnsi="Verdana"/>
                <w:b/>
                <w:bCs/>
                <w:sz w:val="18"/>
                <w:szCs w:val="18"/>
              </w:rPr>
              <w:t>Emisiones compensadas (tCO₂e)</w:t>
            </w:r>
          </w:p>
        </w:tc>
        <w:tc>
          <w:tcPr>
            <w:tcW w:w="2205" w:type="dxa"/>
            <w:shd w:val="clear" w:color="auto" w:fill="A6A6A6" w:themeFill="background1" w:themeFillShade="A6"/>
            <w:vAlign w:val="center"/>
            <w:hideMark/>
          </w:tcPr>
          <w:p w:rsidRPr="00770ECF" w:rsidR="00A079D9" w:rsidP="00770ECF" w:rsidRDefault="00A079D9" w14:paraId="1CCFF22F" w14:textId="57AB8D59">
            <w:pPr>
              <w:spacing w:line="360" w:lineRule="auto"/>
              <w:jc w:val="center"/>
              <w:rPr>
                <w:rFonts w:ascii="Verdana" w:hAnsi="Verdana"/>
                <w:b/>
                <w:bCs/>
                <w:sz w:val="18"/>
                <w:szCs w:val="18"/>
              </w:rPr>
            </w:pPr>
            <w:r w:rsidRPr="00770ECF">
              <w:rPr>
                <w:rFonts w:ascii="Verdana" w:hAnsi="Verdana"/>
                <w:b/>
                <w:bCs/>
                <w:sz w:val="18"/>
                <w:szCs w:val="18"/>
              </w:rPr>
              <w:t>Balance (Compensación – Emisiones)</w:t>
            </w:r>
          </w:p>
        </w:tc>
      </w:tr>
      <w:tr w:rsidRPr="00770ECF" w:rsidR="00A079D9" w:rsidTr="00DF2D73" w14:paraId="51FC414B" w14:textId="77777777">
        <w:trPr>
          <w:trHeight w:val="67"/>
        </w:trPr>
        <w:tc>
          <w:tcPr>
            <w:tcW w:w="1515" w:type="dxa"/>
            <w:vAlign w:val="center"/>
            <w:hideMark/>
          </w:tcPr>
          <w:p w:rsidRPr="00770ECF" w:rsidR="00A079D9" w:rsidP="00770ECF" w:rsidRDefault="00A079D9" w14:paraId="13934DD6" w14:textId="6B5A808C">
            <w:pPr>
              <w:spacing w:line="360" w:lineRule="auto"/>
              <w:jc w:val="center"/>
              <w:rPr>
                <w:rFonts w:ascii="Verdana" w:hAnsi="Verdana"/>
                <w:sz w:val="18"/>
                <w:szCs w:val="18"/>
              </w:rPr>
            </w:pPr>
            <w:r w:rsidRPr="00770ECF">
              <w:rPr>
                <w:rFonts w:ascii="Verdana" w:hAnsi="Verdana"/>
                <w:sz w:val="18"/>
                <w:szCs w:val="18"/>
              </w:rPr>
              <w:t>2023</w:t>
            </w:r>
          </w:p>
        </w:tc>
        <w:tc>
          <w:tcPr>
            <w:tcW w:w="2655" w:type="dxa"/>
            <w:vAlign w:val="center"/>
            <w:hideMark/>
          </w:tcPr>
          <w:p w:rsidRPr="00770ECF" w:rsidR="00A079D9" w:rsidP="00770ECF" w:rsidRDefault="00A079D9" w14:paraId="151DC39E" w14:textId="0A02664F">
            <w:pPr>
              <w:spacing w:line="360" w:lineRule="auto"/>
              <w:jc w:val="center"/>
              <w:rPr>
                <w:rFonts w:ascii="Verdana" w:hAnsi="Verdana"/>
                <w:sz w:val="18"/>
                <w:szCs w:val="18"/>
              </w:rPr>
            </w:pPr>
            <w:r w:rsidRPr="00770ECF">
              <w:rPr>
                <w:rFonts w:ascii="Verdana" w:hAnsi="Verdana"/>
                <w:sz w:val="18"/>
                <w:szCs w:val="18"/>
              </w:rPr>
              <w:t>554,00</w:t>
            </w:r>
          </w:p>
        </w:tc>
        <w:tc>
          <w:tcPr>
            <w:tcW w:w="2385" w:type="dxa"/>
            <w:vAlign w:val="center"/>
            <w:hideMark/>
          </w:tcPr>
          <w:p w:rsidRPr="00770ECF" w:rsidR="00A079D9" w:rsidP="00770ECF" w:rsidRDefault="00A079D9" w14:paraId="31E632B5" w14:textId="191BAA76">
            <w:pPr>
              <w:spacing w:line="360" w:lineRule="auto"/>
              <w:jc w:val="center"/>
              <w:rPr>
                <w:rFonts w:ascii="Verdana" w:hAnsi="Verdana"/>
                <w:sz w:val="18"/>
                <w:szCs w:val="18"/>
              </w:rPr>
            </w:pPr>
            <w:r w:rsidRPr="00770ECF">
              <w:rPr>
                <w:rFonts w:ascii="Verdana" w:hAnsi="Verdana"/>
                <w:sz w:val="18"/>
                <w:szCs w:val="18"/>
              </w:rPr>
              <w:t>563,00</w:t>
            </w:r>
          </w:p>
        </w:tc>
        <w:tc>
          <w:tcPr>
            <w:tcW w:w="2205" w:type="dxa"/>
            <w:vAlign w:val="center"/>
            <w:hideMark/>
          </w:tcPr>
          <w:p w:rsidRPr="00770ECF" w:rsidR="00A079D9" w:rsidP="00770ECF" w:rsidRDefault="00A079D9" w14:paraId="673406F8" w14:textId="55672877">
            <w:pPr>
              <w:spacing w:line="360" w:lineRule="auto"/>
              <w:jc w:val="center"/>
              <w:rPr>
                <w:rFonts w:ascii="Verdana" w:hAnsi="Verdana"/>
                <w:sz w:val="18"/>
                <w:szCs w:val="18"/>
              </w:rPr>
            </w:pPr>
            <w:r w:rsidRPr="00770ECF">
              <w:rPr>
                <w:rFonts w:ascii="Verdana" w:hAnsi="Verdana"/>
                <w:sz w:val="18"/>
                <w:szCs w:val="18"/>
              </w:rPr>
              <w:t>+9,00</w:t>
            </w:r>
          </w:p>
        </w:tc>
      </w:tr>
      <w:tr w:rsidRPr="00770ECF" w:rsidR="00A079D9" w:rsidTr="00DF2D73" w14:paraId="11D74717" w14:textId="77777777">
        <w:trPr>
          <w:trHeight w:val="250"/>
        </w:trPr>
        <w:tc>
          <w:tcPr>
            <w:tcW w:w="1515" w:type="dxa"/>
            <w:vAlign w:val="center"/>
            <w:hideMark/>
          </w:tcPr>
          <w:p w:rsidRPr="00770ECF" w:rsidR="00A079D9" w:rsidP="00770ECF" w:rsidRDefault="00A079D9" w14:paraId="5561B4FC" w14:textId="71882E86">
            <w:pPr>
              <w:spacing w:line="360" w:lineRule="auto"/>
              <w:jc w:val="center"/>
              <w:rPr>
                <w:rFonts w:ascii="Verdana" w:hAnsi="Verdana"/>
                <w:sz w:val="18"/>
                <w:szCs w:val="18"/>
              </w:rPr>
            </w:pPr>
            <w:r w:rsidRPr="00770ECF">
              <w:rPr>
                <w:rFonts w:ascii="Verdana" w:hAnsi="Verdana"/>
                <w:sz w:val="18"/>
                <w:szCs w:val="18"/>
              </w:rPr>
              <w:t>2024</w:t>
            </w:r>
          </w:p>
        </w:tc>
        <w:tc>
          <w:tcPr>
            <w:tcW w:w="2655" w:type="dxa"/>
            <w:vAlign w:val="center"/>
            <w:hideMark/>
          </w:tcPr>
          <w:p w:rsidRPr="00770ECF" w:rsidR="00A079D9" w:rsidP="00770ECF" w:rsidRDefault="00A079D9" w14:paraId="2069001D" w14:textId="106DCDF5">
            <w:pPr>
              <w:spacing w:line="360" w:lineRule="auto"/>
              <w:jc w:val="center"/>
              <w:rPr>
                <w:rFonts w:ascii="Verdana" w:hAnsi="Verdana"/>
                <w:sz w:val="18"/>
                <w:szCs w:val="18"/>
              </w:rPr>
            </w:pPr>
            <w:r w:rsidRPr="00770ECF">
              <w:rPr>
                <w:rFonts w:ascii="Verdana" w:hAnsi="Verdana"/>
                <w:sz w:val="18"/>
                <w:szCs w:val="18"/>
              </w:rPr>
              <w:t>161,21</w:t>
            </w:r>
          </w:p>
        </w:tc>
        <w:tc>
          <w:tcPr>
            <w:tcW w:w="2385" w:type="dxa"/>
            <w:vAlign w:val="center"/>
            <w:hideMark/>
          </w:tcPr>
          <w:p w:rsidRPr="00770ECF" w:rsidR="00A079D9" w:rsidP="00770ECF" w:rsidRDefault="00A079D9" w14:paraId="773626D5" w14:textId="5F82EC78">
            <w:pPr>
              <w:spacing w:line="360" w:lineRule="auto"/>
              <w:jc w:val="center"/>
              <w:rPr>
                <w:rFonts w:ascii="Verdana" w:hAnsi="Verdana"/>
                <w:sz w:val="18"/>
                <w:szCs w:val="18"/>
              </w:rPr>
            </w:pPr>
            <w:r w:rsidRPr="00770ECF">
              <w:rPr>
                <w:rFonts w:ascii="Verdana" w:hAnsi="Verdana"/>
                <w:sz w:val="18"/>
                <w:szCs w:val="18"/>
              </w:rPr>
              <w:t>180,00</w:t>
            </w:r>
          </w:p>
        </w:tc>
        <w:tc>
          <w:tcPr>
            <w:tcW w:w="2205" w:type="dxa"/>
            <w:vAlign w:val="center"/>
            <w:hideMark/>
          </w:tcPr>
          <w:p w:rsidRPr="00770ECF" w:rsidR="00A079D9" w:rsidP="00770ECF" w:rsidRDefault="00A079D9" w14:paraId="737CB276" w14:textId="3CB6A7D6">
            <w:pPr>
              <w:spacing w:line="360" w:lineRule="auto"/>
              <w:jc w:val="center"/>
              <w:rPr>
                <w:rFonts w:ascii="Verdana" w:hAnsi="Verdana"/>
                <w:sz w:val="18"/>
                <w:szCs w:val="18"/>
              </w:rPr>
            </w:pPr>
            <w:r w:rsidRPr="00770ECF">
              <w:rPr>
                <w:rFonts w:ascii="Verdana" w:hAnsi="Verdana"/>
                <w:sz w:val="18"/>
                <w:szCs w:val="18"/>
              </w:rPr>
              <w:t>+18,79</w:t>
            </w:r>
          </w:p>
        </w:tc>
      </w:tr>
      <w:tr w:rsidRPr="00770ECF" w:rsidR="00A079D9" w:rsidTr="00DF2D73" w14:paraId="4A20C07E" w14:textId="77777777">
        <w:trPr>
          <w:trHeight w:val="208"/>
        </w:trPr>
        <w:tc>
          <w:tcPr>
            <w:tcW w:w="1515" w:type="dxa"/>
            <w:vAlign w:val="center"/>
            <w:hideMark/>
          </w:tcPr>
          <w:p w:rsidRPr="00770ECF" w:rsidR="00A079D9" w:rsidP="00770ECF" w:rsidRDefault="00A079D9" w14:paraId="0ACEF854" w14:textId="46519A54">
            <w:pPr>
              <w:spacing w:line="360" w:lineRule="auto"/>
              <w:jc w:val="center"/>
              <w:rPr>
                <w:rFonts w:ascii="Verdana" w:hAnsi="Verdana"/>
                <w:sz w:val="18"/>
                <w:szCs w:val="18"/>
              </w:rPr>
            </w:pPr>
            <w:r w:rsidRPr="00770ECF">
              <w:rPr>
                <w:rFonts w:ascii="Verdana" w:hAnsi="Verdana"/>
                <w:sz w:val="18"/>
                <w:szCs w:val="18"/>
              </w:rPr>
              <w:t>2025</w:t>
            </w:r>
          </w:p>
        </w:tc>
        <w:tc>
          <w:tcPr>
            <w:tcW w:w="2655" w:type="dxa"/>
            <w:vAlign w:val="center"/>
            <w:hideMark/>
          </w:tcPr>
          <w:p w:rsidRPr="00770ECF" w:rsidR="00A079D9" w:rsidP="00770ECF" w:rsidRDefault="00A079D9" w14:paraId="4119601E" w14:textId="439A5D56">
            <w:pPr>
              <w:spacing w:line="360" w:lineRule="auto"/>
              <w:jc w:val="center"/>
              <w:rPr>
                <w:rFonts w:ascii="Verdana" w:hAnsi="Verdana"/>
                <w:sz w:val="18"/>
                <w:szCs w:val="18"/>
              </w:rPr>
            </w:pPr>
            <w:r w:rsidRPr="00770ECF">
              <w:rPr>
                <w:rFonts w:ascii="Verdana" w:hAnsi="Verdana"/>
                <w:sz w:val="18"/>
                <w:szCs w:val="18"/>
              </w:rPr>
              <w:t>176,20</w:t>
            </w:r>
          </w:p>
        </w:tc>
        <w:tc>
          <w:tcPr>
            <w:tcW w:w="2385" w:type="dxa"/>
            <w:vAlign w:val="center"/>
            <w:hideMark/>
          </w:tcPr>
          <w:p w:rsidRPr="00770ECF" w:rsidR="00A079D9" w:rsidP="00770ECF" w:rsidRDefault="00A079D9" w14:paraId="0589422F" w14:textId="13FB7766">
            <w:pPr>
              <w:spacing w:line="360" w:lineRule="auto"/>
              <w:jc w:val="center"/>
              <w:rPr>
                <w:rFonts w:ascii="Verdana" w:hAnsi="Verdana"/>
                <w:sz w:val="18"/>
                <w:szCs w:val="18"/>
              </w:rPr>
            </w:pPr>
            <w:r w:rsidRPr="00770ECF">
              <w:rPr>
                <w:rFonts w:ascii="Verdana" w:hAnsi="Verdana"/>
                <w:sz w:val="18"/>
                <w:szCs w:val="18"/>
              </w:rPr>
              <w:t>194,00</w:t>
            </w:r>
          </w:p>
        </w:tc>
        <w:tc>
          <w:tcPr>
            <w:tcW w:w="2205" w:type="dxa"/>
            <w:vAlign w:val="center"/>
            <w:hideMark/>
          </w:tcPr>
          <w:p w:rsidRPr="00770ECF" w:rsidR="00A079D9" w:rsidP="00770ECF" w:rsidRDefault="00A079D9" w14:paraId="7DBCAC09" w14:textId="31203EA6">
            <w:pPr>
              <w:spacing w:line="360" w:lineRule="auto"/>
              <w:jc w:val="center"/>
              <w:rPr>
                <w:rFonts w:ascii="Verdana" w:hAnsi="Verdana"/>
                <w:sz w:val="18"/>
                <w:szCs w:val="18"/>
              </w:rPr>
            </w:pPr>
            <w:r w:rsidRPr="00770ECF">
              <w:rPr>
                <w:rFonts w:ascii="Verdana" w:hAnsi="Verdana"/>
                <w:sz w:val="18"/>
                <w:szCs w:val="18"/>
              </w:rPr>
              <w:t>+17,80</w:t>
            </w:r>
          </w:p>
        </w:tc>
      </w:tr>
    </w:tbl>
    <w:p w:rsidRPr="009D4B63" w:rsidR="00C04ED5" w:rsidP="009D4B63" w:rsidRDefault="00A079D9" w14:paraId="33AC2B0F" w14:textId="0DCFC4C9">
      <w:pPr>
        <w:spacing w:after="0" w:line="360" w:lineRule="auto"/>
        <w:jc w:val="center"/>
        <w:rPr>
          <w:rFonts w:ascii="Verdana" w:hAnsi="Verdana"/>
          <w:sz w:val="18"/>
          <w:szCs w:val="18"/>
        </w:rPr>
      </w:pPr>
      <w:r w:rsidRPr="00770ECF">
        <w:rPr>
          <w:rFonts w:ascii="Verdana" w:hAnsi="Verdana"/>
          <w:sz w:val="18"/>
          <w:szCs w:val="18"/>
        </w:rPr>
        <w:t>Fuente: Elaboración Propia</w:t>
      </w:r>
      <w:r w:rsidR="00770ECF">
        <w:rPr>
          <w:rFonts w:ascii="Verdana" w:hAnsi="Verdana"/>
          <w:sz w:val="18"/>
          <w:szCs w:val="18"/>
        </w:rPr>
        <w:t xml:space="preserve"> SAF -OPGI</w:t>
      </w:r>
    </w:p>
    <w:p w:rsidR="00AB6BB0" w:rsidRDefault="00A82055" w14:paraId="6EFC9F39" w14:textId="77777777">
      <w:pPr>
        <w:pStyle w:val="Prrafodelista"/>
        <w:numPr>
          <w:ilvl w:val="0"/>
          <w:numId w:val="95"/>
        </w:numPr>
        <w:spacing w:after="0" w:line="360" w:lineRule="auto"/>
        <w:outlineLvl w:val="0"/>
        <w:rPr>
          <w:rFonts w:ascii="Verdana" w:hAnsi="Verdana"/>
          <w:b/>
          <w:bCs/>
          <w:sz w:val="24"/>
          <w:szCs w:val="24"/>
        </w:rPr>
      </w:pPr>
      <w:bookmarkStart w:name="_Toc233996763" w:id="46"/>
      <w:r w:rsidRPr="00770ECF">
        <w:rPr>
          <w:rFonts w:ascii="Verdana" w:hAnsi="Verdana"/>
          <w:b/>
          <w:bCs/>
          <w:sz w:val="24"/>
          <w:szCs w:val="24"/>
        </w:rPr>
        <w:t>Transparencia y ética pública</w:t>
      </w:r>
      <w:bookmarkEnd w:id="46"/>
    </w:p>
    <w:p w:rsidRPr="00770ECF" w:rsidR="00770ECF" w:rsidP="005358E1" w:rsidRDefault="00770ECF" w14:paraId="2647C64B" w14:textId="77777777">
      <w:pPr>
        <w:pStyle w:val="Prrafodelista"/>
        <w:spacing w:after="0" w:line="360" w:lineRule="auto"/>
        <w:ind w:left="480"/>
        <w:outlineLvl w:val="0"/>
        <w:rPr>
          <w:rFonts w:ascii="Verdana" w:hAnsi="Verdana"/>
          <w:b/>
          <w:bCs/>
          <w:sz w:val="24"/>
          <w:szCs w:val="24"/>
        </w:rPr>
      </w:pPr>
    </w:p>
    <w:p w:rsidRPr="00C140A0" w:rsidR="003C4398" w:rsidRDefault="003C4398" w14:paraId="6C753BD0" w14:textId="77777777">
      <w:pPr>
        <w:pStyle w:val="Ttulo2"/>
        <w:numPr>
          <w:ilvl w:val="1"/>
          <w:numId w:val="95"/>
        </w:numPr>
        <w:spacing w:before="0" w:after="0" w:line="360" w:lineRule="auto"/>
        <w:rPr>
          <w:rFonts w:ascii="Verdana" w:hAnsi="Verdana"/>
          <w:b/>
          <w:bCs/>
          <w:color w:val="auto"/>
          <w:sz w:val="24"/>
          <w:szCs w:val="24"/>
        </w:rPr>
      </w:pPr>
      <w:r w:rsidRPr="00C140A0">
        <w:rPr>
          <w:rFonts w:ascii="Verdana" w:hAnsi="Verdana"/>
          <w:b/>
          <w:bCs/>
          <w:color w:val="auto"/>
          <w:sz w:val="24"/>
          <w:szCs w:val="24"/>
        </w:rPr>
        <w:t xml:space="preserve"> </w:t>
      </w:r>
      <w:bookmarkStart w:name="_Toc233996764" w:id="47"/>
      <w:r w:rsidRPr="00C140A0">
        <w:rPr>
          <w:rFonts w:ascii="Verdana" w:hAnsi="Verdana"/>
          <w:b/>
          <w:bCs/>
          <w:color w:val="auto"/>
          <w:sz w:val="24"/>
          <w:szCs w:val="24"/>
        </w:rPr>
        <w:t>Prácticas de transparencia y Estado Abierto</w:t>
      </w:r>
      <w:bookmarkEnd w:id="47"/>
    </w:p>
    <w:p w:rsidR="00920246" w:rsidP="005358E1" w:rsidRDefault="00920246" w14:paraId="68848495" w14:textId="77777777">
      <w:pPr>
        <w:spacing w:after="0" w:line="360" w:lineRule="auto"/>
        <w:jc w:val="both"/>
        <w:rPr>
          <w:rFonts w:ascii="Verdana" w:hAnsi="Verdana"/>
          <w:sz w:val="24"/>
          <w:szCs w:val="24"/>
        </w:rPr>
      </w:pPr>
    </w:p>
    <w:p w:rsidRPr="00C140A0" w:rsidR="00A9432C" w:rsidP="005358E1" w:rsidRDefault="00A9432C" w14:paraId="3EDF493B" w14:textId="77777777">
      <w:pPr>
        <w:spacing w:after="0" w:line="360" w:lineRule="auto"/>
        <w:jc w:val="both"/>
        <w:rPr>
          <w:rFonts w:ascii="Verdana" w:hAnsi="Verdana"/>
          <w:sz w:val="24"/>
          <w:szCs w:val="24"/>
        </w:rPr>
      </w:pPr>
      <w:r w:rsidRPr="00C140A0">
        <w:rPr>
          <w:rFonts w:ascii="Verdana" w:hAnsi="Verdana"/>
          <w:sz w:val="24"/>
          <w:szCs w:val="24"/>
        </w:rPr>
        <w:t>Durante la vigencia 2025, el Ministerio de Minas y Energía adelantó la construcción del componente transversal del Programa de Transparencia y Ética Pública (PTEP), en cumplimiento de los lineamientos emitidos por la Secretaría de Transparencia de la Presidencia de la República. Este proceso se desarrolló bajo un enfoque participativo e integrador, orientado a fortalecer la cultura de la integridad, la transparencia, la prevención de riesgos de corrupción y la promoción de una gestión pública abierta. Para ello, se realizó la articulación con las diferentes dependencias de la entidad, identificando responsabilidades, capacidades institucionales y acciones estratégicas que contribuyen al fortalecimiento de la transparencia y la ética pública.</w:t>
      </w:r>
    </w:p>
    <w:p w:rsidRPr="00C140A0" w:rsidR="00A9432C" w:rsidP="005358E1" w:rsidRDefault="00A9432C" w14:paraId="17093500" w14:textId="77777777">
      <w:pPr>
        <w:spacing w:after="0" w:line="360" w:lineRule="auto"/>
        <w:jc w:val="both"/>
        <w:rPr>
          <w:rFonts w:ascii="Verdana" w:hAnsi="Verdana"/>
          <w:sz w:val="24"/>
          <w:szCs w:val="24"/>
        </w:rPr>
      </w:pPr>
    </w:p>
    <w:p w:rsidRPr="00C140A0" w:rsidR="00A9432C" w:rsidP="005358E1" w:rsidRDefault="00A9432C" w14:paraId="57430F4D" w14:textId="77777777">
      <w:pPr>
        <w:spacing w:after="0" w:line="360" w:lineRule="auto"/>
        <w:jc w:val="both"/>
        <w:rPr>
          <w:rFonts w:ascii="Verdana" w:hAnsi="Verdana"/>
          <w:sz w:val="24"/>
          <w:szCs w:val="24"/>
        </w:rPr>
      </w:pPr>
      <w:r w:rsidRPr="00C140A0">
        <w:rPr>
          <w:rFonts w:ascii="Verdana" w:hAnsi="Verdana"/>
          <w:sz w:val="24"/>
          <w:szCs w:val="24"/>
        </w:rPr>
        <w:t>Como parte de la formulación, se efectuó un ejercicio de diagnóstico institucional que permitió identificar avances, oportunidades de mejora y desafíos asociados a la implementación de las políticas de transparencia, acceso a la información pública, participación ciudadana, rendición de cuentas e integridad. Este análisis sirvió como base para definir acciones transversales alineadas con los objetivos institucionales y con las disposiciones normativas vigentes, garantizando la incorporación de medidas orientadas a la prevención de riesgos de corrupción y al fortalecimiento de la confianza ciudadana en la gestión del Ministerio.</w:t>
      </w:r>
    </w:p>
    <w:p w:rsidR="00920246" w:rsidP="005358E1" w:rsidRDefault="00920246" w14:paraId="42AECFB2" w14:textId="77777777">
      <w:pPr>
        <w:spacing w:after="0" w:line="360" w:lineRule="auto"/>
        <w:jc w:val="both"/>
        <w:rPr>
          <w:rFonts w:ascii="Verdana" w:hAnsi="Verdana"/>
          <w:sz w:val="24"/>
          <w:szCs w:val="24"/>
        </w:rPr>
      </w:pPr>
    </w:p>
    <w:p w:rsidRPr="00C140A0" w:rsidR="00A9432C" w:rsidP="005358E1" w:rsidRDefault="00A9432C" w14:paraId="4762A785" w14:textId="77777777">
      <w:pPr>
        <w:spacing w:after="0" w:line="360" w:lineRule="auto"/>
        <w:jc w:val="both"/>
        <w:rPr>
          <w:rFonts w:ascii="Verdana" w:hAnsi="Verdana"/>
          <w:sz w:val="24"/>
          <w:szCs w:val="24"/>
        </w:rPr>
      </w:pPr>
      <w:r w:rsidRPr="00C140A0">
        <w:rPr>
          <w:rFonts w:ascii="Verdana" w:hAnsi="Verdana"/>
          <w:sz w:val="24"/>
          <w:szCs w:val="24"/>
        </w:rPr>
        <w:t xml:space="preserve">En concordancia con la metodología establecida por la Secretaría de Transparencia, el Ministerio formuló el primer componente programático relacionado con la Gestión del Riesgo de Corrupción, mediante un proceso de identificación, análisis, valoración y tratamiento de los riesgos asociados a los procesos institucionales. Este ejercicio se desarrolló con </w:t>
      </w:r>
      <w:r w:rsidRPr="00C140A0">
        <w:rPr>
          <w:rFonts w:ascii="Verdana" w:hAnsi="Verdana"/>
          <w:sz w:val="24"/>
          <w:szCs w:val="24"/>
        </w:rPr>
        <w:t>la participación de líderes de proceso, enlaces de transparencia y responsables de control interno, quienes aportaron insumos técnicos para la actualización de los mapas de riesgos y la definición de controles orientados a prevenir posibles hechos de corrupción.</w:t>
      </w:r>
    </w:p>
    <w:p w:rsidR="00ED7226" w:rsidP="005358E1" w:rsidRDefault="00ED7226" w14:paraId="2EC17A93" w14:textId="77777777">
      <w:pPr>
        <w:spacing w:after="0" w:line="360" w:lineRule="auto"/>
        <w:jc w:val="both"/>
        <w:rPr>
          <w:rFonts w:ascii="Verdana" w:hAnsi="Verdana"/>
          <w:sz w:val="24"/>
          <w:szCs w:val="24"/>
        </w:rPr>
      </w:pPr>
    </w:p>
    <w:p w:rsidRPr="00C140A0" w:rsidR="00C34181" w:rsidP="005358E1" w:rsidRDefault="00A9432C" w14:paraId="4F882A66" w14:textId="77777777">
      <w:pPr>
        <w:spacing w:after="0" w:line="360" w:lineRule="auto"/>
        <w:jc w:val="both"/>
        <w:rPr>
          <w:rFonts w:ascii="Verdana" w:hAnsi="Verdana"/>
          <w:sz w:val="24"/>
          <w:szCs w:val="24"/>
        </w:rPr>
      </w:pPr>
      <w:r w:rsidRPr="00C140A0">
        <w:rPr>
          <w:rFonts w:ascii="Verdana" w:hAnsi="Verdana"/>
          <w:sz w:val="24"/>
          <w:szCs w:val="24"/>
        </w:rPr>
        <w:t>Como resultado, se consolidó una estrategia institucional enfocada en el fortalecimiento de los mecanismos de monitoreo, seguimiento y control de los riesgos identificados, promoviendo la cultura de autocontrol y la corresponsabilidad en la gestión pública. Asimismo, se establecieron acciones de sensibilización y capacitación dirigidas a los servidores públicos y contratistas, con el propósito de fortalecer las competencias en integridad, transparencia y prevención de la corrupción. Estas acciones contribuyen al cumplimiento de los principios de buen gobierno y consolidan el compromiso del Ministerio de Minas y Energía con una gestión transparente, ética y orientada al servicio de la ciudadanía.</w:t>
      </w:r>
    </w:p>
    <w:p w:rsidR="00920246" w:rsidP="005358E1" w:rsidRDefault="00920246" w14:paraId="35CF7275" w14:textId="77777777">
      <w:pPr>
        <w:spacing w:after="0" w:line="360" w:lineRule="auto"/>
        <w:jc w:val="both"/>
        <w:rPr>
          <w:rFonts w:ascii="Verdana" w:hAnsi="Verdana"/>
          <w:b/>
          <w:bCs/>
          <w:sz w:val="24"/>
          <w:szCs w:val="24"/>
          <w:lang w:val="es-ES_tradnl"/>
        </w:rPr>
      </w:pPr>
    </w:p>
    <w:p w:rsidRPr="00C140A0" w:rsidR="00E93796" w:rsidP="005358E1" w:rsidRDefault="00E93796" w14:paraId="7266BF74" w14:textId="77777777">
      <w:pPr>
        <w:spacing w:after="0" w:line="360" w:lineRule="auto"/>
        <w:jc w:val="both"/>
        <w:rPr>
          <w:rFonts w:ascii="Verdana" w:hAnsi="Verdana"/>
          <w:b/>
          <w:bCs/>
          <w:sz w:val="24"/>
          <w:szCs w:val="24"/>
          <w:lang w:val="es-ES_tradnl"/>
        </w:rPr>
      </w:pPr>
      <w:r w:rsidRPr="00C140A0">
        <w:rPr>
          <w:rFonts w:ascii="Verdana" w:hAnsi="Verdana"/>
          <w:b/>
          <w:bCs/>
          <w:sz w:val="24"/>
          <w:szCs w:val="24"/>
          <w:lang w:val="es-ES_tradnl"/>
        </w:rPr>
        <w:t xml:space="preserve">Programa de Transparencia y Ética Pública </w:t>
      </w:r>
    </w:p>
    <w:p w:rsidR="00CB4CE5" w:rsidP="005358E1" w:rsidRDefault="00CB4CE5" w14:paraId="6ACBB3E2" w14:textId="77777777">
      <w:pPr>
        <w:spacing w:after="0" w:line="360" w:lineRule="auto"/>
        <w:jc w:val="both"/>
        <w:rPr>
          <w:rFonts w:ascii="Verdana" w:hAnsi="Verdana"/>
          <w:sz w:val="24"/>
          <w:szCs w:val="24"/>
        </w:rPr>
      </w:pPr>
    </w:p>
    <w:p w:rsidRPr="00C140A0" w:rsidR="00E93796" w:rsidP="005358E1" w:rsidRDefault="00E93796" w14:paraId="23C0D0ED" w14:textId="77777777">
      <w:pPr>
        <w:spacing w:after="0" w:line="360" w:lineRule="auto"/>
        <w:jc w:val="both"/>
        <w:rPr>
          <w:rFonts w:ascii="Verdana" w:hAnsi="Verdana"/>
          <w:sz w:val="24"/>
          <w:szCs w:val="24"/>
        </w:rPr>
      </w:pPr>
      <w:r w:rsidRPr="00C140A0">
        <w:rPr>
          <w:rFonts w:ascii="Verdana" w:hAnsi="Verdana"/>
          <w:sz w:val="24"/>
          <w:szCs w:val="24"/>
        </w:rPr>
        <w:t>Con el fin de fortalecer la actualización del Programa de Transparencia y Ética Pública – PTEP del Ministerio de Minas y Energía, se realizó un ejercicio de validación de metas e indicadores con diferentes dependencias de la entidad, mediante formulario de observaciones y revisión técnica.</w:t>
      </w:r>
    </w:p>
    <w:p w:rsidR="00920246" w:rsidP="005358E1" w:rsidRDefault="00920246" w14:paraId="371BD643" w14:textId="77777777">
      <w:pPr>
        <w:spacing w:after="0" w:line="360" w:lineRule="auto"/>
        <w:jc w:val="both"/>
        <w:rPr>
          <w:rFonts w:ascii="Verdana" w:hAnsi="Verdana"/>
          <w:sz w:val="24"/>
          <w:szCs w:val="24"/>
        </w:rPr>
      </w:pPr>
    </w:p>
    <w:p w:rsidRPr="00C140A0" w:rsidR="00E93796" w:rsidP="005358E1" w:rsidRDefault="00E93796" w14:paraId="41F78ABA" w14:textId="77777777">
      <w:pPr>
        <w:spacing w:after="0" w:line="360" w:lineRule="auto"/>
        <w:jc w:val="both"/>
        <w:rPr>
          <w:rFonts w:ascii="Verdana" w:hAnsi="Verdana"/>
          <w:sz w:val="24"/>
          <w:szCs w:val="24"/>
        </w:rPr>
      </w:pPr>
      <w:r w:rsidRPr="00C140A0">
        <w:rPr>
          <w:rFonts w:ascii="Verdana" w:hAnsi="Verdana"/>
          <w:sz w:val="24"/>
          <w:szCs w:val="24"/>
        </w:rPr>
        <w:t>Como resultado de este proceso, las áreas participantes realizaron comentarios y recomendaciones orientadas principalmente al fortalecimiento metodológico de algunos componentes, la claridad en la formulación de metas, la definición de estrategias de implementación y la construcción de indicadores medibles bajo criterios SMART.</w:t>
      </w:r>
    </w:p>
    <w:p w:rsidR="00920246" w:rsidP="005358E1" w:rsidRDefault="00920246" w14:paraId="5091D8DC" w14:textId="77777777">
      <w:pPr>
        <w:spacing w:after="0" w:line="360" w:lineRule="auto"/>
        <w:jc w:val="both"/>
        <w:rPr>
          <w:rFonts w:ascii="Verdana" w:hAnsi="Verdana"/>
          <w:sz w:val="24"/>
          <w:szCs w:val="24"/>
        </w:rPr>
      </w:pPr>
    </w:p>
    <w:p w:rsidRPr="00C140A0" w:rsidR="00E93796" w:rsidP="005358E1" w:rsidRDefault="00E93796" w14:paraId="06396138" w14:textId="77777777">
      <w:pPr>
        <w:spacing w:after="0" w:line="360" w:lineRule="auto"/>
        <w:jc w:val="both"/>
        <w:rPr>
          <w:rFonts w:ascii="Verdana" w:hAnsi="Verdana"/>
          <w:sz w:val="24"/>
          <w:szCs w:val="24"/>
        </w:rPr>
      </w:pPr>
      <w:r w:rsidRPr="00C140A0">
        <w:rPr>
          <w:rFonts w:ascii="Verdana" w:hAnsi="Verdana"/>
          <w:sz w:val="24"/>
          <w:szCs w:val="24"/>
        </w:rPr>
        <w:t>El presente informe consolida las observaciones efectuadas por las dependencias participantes, organizadas por componente del PTEP, incluyendo el análisis técnico y las principales recomendaciones identificadas durante el ejercicio.</w:t>
      </w:r>
    </w:p>
    <w:p w:rsidR="00920246" w:rsidP="005358E1" w:rsidRDefault="00920246" w14:paraId="62534708" w14:textId="77777777">
      <w:pPr>
        <w:spacing w:after="0" w:line="360" w:lineRule="auto"/>
        <w:jc w:val="both"/>
        <w:rPr>
          <w:rFonts w:ascii="Verdana" w:hAnsi="Verdana"/>
          <w:sz w:val="24"/>
          <w:szCs w:val="24"/>
          <w:lang w:val="es-ES_tradnl"/>
        </w:rPr>
      </w:pPr>
    </w:p>
    <w:p w:rsidRPr="00C140A0" w:rsidR="00E93796" w:rsidP="005358E1" w:rsidRDefault="00E93796" w14:paraId="2FD8E5C2" w14:textId="77777777">
      <w:pPr>
        <w:spacing w:after="0" w:line="360" w:lineRule="auto"/>
        <w:jc w:val="both"/>
        <w:rPr>
          <w:rFonts w:ascii="Verdana" w:hAnsi="Verdana"/>
          <w:sz w:val="24"/>
          <w:szCs w:val="24"/>
          <w:lang w:val="es-ES_tradnl"/>
        </w:rPr>
      </w:pPr>
      <w:r w:rsidRPr="00C140A0">
        <w:rPr>
          <w:rFonts w:ascii="Verdana" w:hAnsi="Verdana"/>
          <w:sz w:val="24"/>
          <w:szCs w:val="24"/>
          <w:lang w:val="es-ES_tradnl"/>
        </w:rPr>
        <w:t>El ejercicio permitió identificar oportunidades de mejora en la formulación técnica de las metas del Programa de Transparencia y Ética Pública – PTEP.</w:t>
      </w:r>
    </w:p>
    <w:p w:rsidR="00920246" w:rsidP="005358E1" w:rsidRDefault="00920246" w14:paraId="2EF313E0" w14:textId="77777777">
      <w:pPr>
        <w:spacing w:after="0" w:line="360" w:lineRule="auto"/>
        <w:jc w:val="both"/>
        <w:rPr>
          <w:rFonts w:ascii="Verdana" w:hAnsi="Verdana"/>
          <w:sz w:val="24"/>
          <w:szCs w:val="24"/>
          <w:lang w:val="es-ES_tradnl"/>
        </w:rPr>
      </w:pPr>
    </w:p>
    <w:p w:rsidRPr="00C140A0" w:rsidR="00E93796" w:rsidP="005358E1" w:rsidRDefault="00E93796" w14:paraId="3E4E4E65" w14:textId="77777777">
      <w:pPr>
        <w:spacing w:after="0" w:line="360" w:lineRule="auto"/>
        <w:jc w:val="both"/>
        <w:rPr>
          <w:rFonts w:ascii="Verdana" w:hAnsi="Verdana"/>
          <w:sz w:val="24"/>
          <w:szCs w:val="24"/>
          <w:lang w:val="es-ES_tradnl"/>
        </w:rPr>
      </w:pPr>
      <w:r w:rsidRPr="00C140A0">
        <w:rPr>
          <w:rFonts w:ascii="Verdana" w:hAnsi="Verdana"/>
          <w:sz w:val="24"/>
          <w:szCs w:val="24"/>
          <w:lang w:val="es-ES_tradnl"/>
        </w:rPr>
        <w:t>Las observaciones realizadas por las dependencias se concentraron principalmente en:</w:t>
      </w:r>
    </w:p>
    <w:p w:rsidRPr="00920246" w:rsidR="00E93796" w:rsidRDefault="00E93796" w14:paraId="5D22403F" w14:textId="77777777">
      <w:pPr>
        <w:pStyle w:val="Prrafodelista"/>
        <w:numPr>
          <w:ilvl w:val="0"/>
          <w:numId w:val="73"/>
        </w:numPr>
        <w:spacing w:after="0" w:line="360" w:lineRule="auto"/>
        <w:jc w:val="both"/>
        <w:rPr>
          <w:rFonts w:ascii="Verdana" w:hAnsi="Verdana"/>
          <w:sz w:val="24"/>
          <w:szCs w:val="24"/>
          <w:lang w:val="es-ES_tradnl"/>
        </w:rPr>
      </w:pPr>
      <w:r w:rsidRPr="00920246">
        <w:rPr>
          <w:rFonts w:ascii="Verdana" w:hAnsi="Verdana"/>
          <w:sz w:val="24"/>
          <w:szCs w:val="24"/>
          <w:lang w:val="es-ES_tradnl"/>
        </w:rPr>
        <w:t>Debida Diligencia.</w:t>
      </w:r>
    </w:p>
    <w:p w:rsidRPr="00920246" w:rsidR="00E93796" w:rsidRDefault="00E93796" w14:paraId="06079CA3" w14:textId="77777777">
      <w:pPr>
        <w:pStyle w:val="Prrafodelista"/>
        <w:numPr>
          <w:ilvl w:val="0"/>
          <w:numId w:val="73"/>
        </w:numPr>
        <w:spacing w:after="0" w:line="360" w:lineRule="auto"/>
        <w:jc w:val="both"/>
        <w:rPr>
          <w:rFonts w:ascii="Verdana" w:hAnsi="Verdana"/>
          <w:sz w:val="24"/>
          <w:szCs w:val="24"/>
          <w:lang w:val="es-ES_tradnl"/>
        </w:rPr>
      </w:pPr>
      <w:r w:rsidRPr="00920246">
        <w:rPr>
          <w:rFonts w:ascii="Verdana" w:hAnsi="Verdana"/>
          <w:sz w:val="24"/>
          <w:szCs w:val="24"/>
          <w:lang w:val="es-ES_tradnl"/>
        </w:rPr>
        <w:t>Riesgos LAFT/FPADM.</w:t>
      </w:r>
    </w:p>
    <w:p w:rsidRPr="00920246" w:rsidR="00E93796" w:rsidRDefault="00E93796" w14:paraId="6D10D455" w14:textId="77777777">
      <w:pPr>
        <w:pStyle w:val="Prrafodelista"/>
        <w:numPr>
          <w:ilvl w:val="0"/>
          <w:numId w:val="73"/>
        </w:numPr>
        <w:spacing w:after="0" w:line="360" w:lineRule="auto"/>
        <w:jc w:val="both"/>
        <w:rPr>
          <w:rFonts w:ascii="Verdana" w:hAnsi="Verdana"/>
          <w:sz w:val="24"/>
          <w:szCs w:val="24"/>
          <w:lang w:val="es-ES_tradnl"/>
        </w:rPr>
      </w:pPr>
      <w:r w:rsidRPr="00920246">
        <w:rPr>
          <w:rFonts w:ascii="Verdana" w:hAnsi="Verdana"/>
          <w:sz w:val="24"/>
          <w:szCs w:val="24"/>
          <w:lang w:val="es-ES_tradnl"/>
        </w:rPr>
        <w:t>Acceso a la Información Pública y Transparencia.</w:t>
      </w:r>
    </w:p>
    <w:p w:rsidR="00ED7226" w:rsidP="005358E1" w:rsidRDefault="00ED7226" w14:paraId="39AEA6C8" w14:textId="77777777">
      <w:pPr>
        <w:spacing w:after="0" w:line="360" w:lineRule="auto"/>
        <w:jc w:val="both"/>
        <w:rPr>
          <w:rFonts w:ascii="Verdana" w:hAnsi="Verdana"/>
          <w:sz w:val="24"/>
          <w:szCs w:val="24"/>
          <w:lang w:val="es-ES_tradnl"/>
        </w:rPr>
      </w:pPr>
    </w:p>
    <w:p w:rsidRPr="00C140A0" w:rsidR="00E93796" w:rsidP="005358E1" w:rsidRDefault="00E93796" w14:paraId="7C4121B1" w14:textId="77777777">
      <w:pPr>
        <w:spacing w:after="0" w:line="360" w:lineRule="auto"/>
        <w:jc w:val="both"/>
        <w:rPr>
          <w:rFonts w:ascii="Verdana" w:hAnsi="Verdana"/>
          <w:sz w:val="24"/>
          <w:szCs w:val="24"/>
          <w:lang w:val="es-ES_tradnl"/>
        </w:rPr>
      </w:pPr>
      <w:r w:rsidRPr="00C140A0">
        <w:rPr>
          <w:rFonts w:ascii="Verdana" w:hAnsi="Verdana"/>
          <w:sz w:val="24"/>
          <w:szCs w:val="24"/>
          <w:lang w:val="es-ES_tradnl"/>
        </w:rPr>
        <w:t>Se evidencia necesidad de fortalecer:</w:t>
      </w:r>
    </w:p>
    <w:p w:rsidRPr="00920246" w:rsidR="00E93796" w:rsidRDefault="00E93796" w14:paraId="69B677BD" w14:textId="77777777">
      <w:pPr>
        <w:pStyle w:val="Prrafodelista"/>
        <w:numPr>
          <w:ilvl w:val="0"/>
          <w:numId w:val="74"/>
        </w:numPr>
        <w:spacing w:after="0" w:line="360" w:lineRule="auto"/>
        <w:jc w:val="both"/>
        <w:rPr>
          <w:rFonts w:ascii="Verdana" w:hAnsi="Verdana"/>
          <w:sz w:val="24"/>
          <w:szCs w:val="24"/>
          <w:lang w:val="es-ES_tradnl"/>
        </w:rPr>
      </w:pPr>
      <w:r w:rsidRPr="00920246">
        <w:rPr>
          <w:rFonts w:ascii="Verdana" w:hAnsi="Verdana"/>
          <w:sz w:val="24"/>
          <w:szCs w:val="24"/>
          <w:lang w:val="es-ES_tradnl"/>
        </w:rPr>
        <w:t>Instrumentos metodológicos.</w:t>
      </w:r>
    </w:p>
    <w:p w:rsidRPr="00920246" w:rsidR="00E93796" w:rsidRDefault="00E93796" w14:paraId="181C71FE" w14:textId="77777777">
      <w:pPr>
        <w:pStyle w:val="Prrafodelista"/>
        <w:numPr>
          <w:ilvl w:val="0"/>
          <w:numId w:val="74"/>
        </w:numPr>
        <w:spacing w:after="0" w:line="360" w:lineRule="auto"/>
        <w:jc w:val="both"/>
        <w:rPr>
          <w:rFonts w:ascii="Verdana" w:hAnsi="Verdana"/>
          <w:sz w:val="24"/>
          <w:szCs w:val="24"/>
          <w:lang w:val="es-ES_tradnl"/>
        </w:rPr>
      </w:pPr>
      <w:r w:rsidRPr="00920246">
        <w:rPr>
          <w:rFonts w:ascii="Verdana" w:hAnsi="Verdana"/>
          <w:sz w:val="24"/>
          <w:szCs w:val="24"/>
          <w:lang w:val="es-ES_tradnl"/>
        </w:rPr>
        <w:t>Estrategias operativas.</w:t>
      </w:r>
    </w:p>
    <w:p w:rsidRPr="00920246" w:rsidR="00E93796" w:rsidRDefault="00E93796" w14:paraId="164DD912" w14:textId="77777777">
      <w:pPr>
        <w:pStyle w:val="Prrafodelista"/>
        <w:numPr>
          <w:ilvl w:val="0"/>
          <w:numId w:val="74"/>
        </w:numPr>
        <w:spacing w:after="0" w:line="360" w:lineRule="auto"/>
        <w:jc w:val="both"/>
        <w:rPr>
          <w:rFonts w:ascii="Verdana" w:hAnsi="Verdana"/>
          <w:sz w:val="24"/>
          <w:szCs w:val="24"/>
          <w:lang w:val="es-ES_tradnl"/>
        </w:rPr>
      </w:pPr>
      <w:r w:rsidRPr="00920246">
        <w:rPr>
          <w:rFonts w:ascii="Verdana" w:hAnsi="Verdana"/>
          <w:sz w:val="24"/>
          <w:szCs w:val="24"/>
          <w:lang w:val="es-ES_tradnl"/>
        </w:rPr>
        <w:t>Indicadores de seguimiento.</w:t>
      </w:r>
    </w:p>
    <w:p w:rsidRPr="00920246" w:rsidR="00E93796" w:rsidRDefault="00E93796" w14:paraId="438D3911" w14:textId="77777777">
      <w:pPr>
        <w:pStyle w:val="Prrafodelista"/>
        <w:numPr>
          <w:ilvl w:val="0"/>
          <w:numId w:val="74"/>
        </w:numPr>
        <w:spacing w:after="0" w:line="360" w:lineRule="auto"/>
        <w:jc w:val="both"/>
        <w:rPr>
          <w:rFonts w:ascii="Verdana" w:hAnsi="Verdana"/>
          <w:sz w:val="24"/>
          <w:szCs w:val="24"/>
          <w:lang w:val="es-ES_tradnl"/>
        </w:rPr>
      </w:pPr>
      <w:r w:rsidRPr="00920246">
        <w:rPr>
          <w:rFonts w:ascii="Verdana" w:hAnsi="Verdana"/>
          <w:sz w:val="24"/>
          <w:szCs w:val="24"/>
          <w:lang w:val="es-ES_tradnl"/>
        </w:rPr>
        <w:t>Aplicación de criterios SMART.</w:t>
      </w:r>
    </w:p>
    <w:p w:rsidR="00ED7226" w:rsidP="005358E1" w:rsidRDefault="00ED7226" w14:paraId="1BD31D7D" w14:textId="77777777">
      <w:pPr>
        <w:spacing w:after="0" w:line="360" w:lineRule="auto"/>
        <w:jc w:val="both"/>
        <w:rPr>
          <w:rFonts w:ascii="Verdana" w:hAnsi="Verdana"/>
          <w:sz w:val="24"/>
          <w:szCs w:val="24"/>
          <w:lang w:val="es-ES_tradnl"/>
        </w:rPr>
      </w:pPr>
    </w:p>
    <w:p w:rsidRPr="00C140A0" w:rsidR="00E93796" w:rsidP="005358E1" w:rsidRDefault="00E93796" w14:paraId="0D1F15DC" w14:textId="77777777">
      <w:pPr>
        <w:spacing w:after="0" w:line="360" w:lineRule="auto"/>
        <w:jc w:val="both"/>
        <w:rPr>
          <w:rFonts w:ascii="Verdana" w:hAnsi="Verdana"/>
          <w:sz w:val="24"/>
          <w:szCs w:val="24"/>
          <w:lang w:val="es-ES_tradnl"/>
        </w:rPr>
      </w:pPr>
      <w:r w:rsidRPr="00C140A0">
        <w:rPr>
          <w:rFonts w:ascii="Verdana" w:hAnsi="Verdana"/>
          <w:sz w:val="24"/>
          <w:szCs w:val="24"/>
          <w:lang w:val="es-ES_tradnl"/>
        </w:rPr>
        <w:t>La incorporación del componente de Gestión Ambiental Institucional representa un avance significativo en términos de:</w:t>
      </w:r>
    </w:p>
    <w:p w:rsidRPr="00920246" w:rsidR="00E93796" w:rsidRDefault="00E93796" w14:paraId="7C965D67" w14:textId="77777777">
      <w:pPr>
        <w:pStyle w:val="Prrafodelista"/>
        <w:numPr>
          <w:ilvl w:val="0"/>
          <w:numId w:val="75"/>
        </w:numPr>
        <w:spacing w:after="0" w:line="360" w:lineRule="auto"/>
        <w:jc w:val="both"/>
        <w:rPr>
          <w:rFonts w:ascii="Verdana" w:hAnsi="Verdana"/>
          <w:sz w:val="24"/>
          <w:szCs w:val="24"/>
          <w:lang w:val="es-ES_tradnl"/>
        </w:rPr>
      </w:pPr>
      <w:r w:rsidRPr="00920246">
        <w:rPr>
          <w:rFonts w:ascii="Verdana" w:hAnsi="Verdana"/>
          <w:sz w:val="24"/>
          <w:szCs w:val="24"/>
          <w:lang w:val="es-ES_tradnl"/>
        </w:rPr>
        <w:t>Medición.</w:t>
      </w:r>
    </w:p>
    <w:p w:rsidRPr="00920246" w:rsidR="00E93796" w:rsidRDefault="00E93796" w14:paraId="2F8A395F" w14:textId="77777777">
      <w:pPr>
        <w:pStyle w:val="Prrafodelista"/>
        <w:numPr>
          <w:ilvl w:val="0"/>
          <w:numId w:val="75"/>
        </w:numPr>
        <w:spacing w:after="0" w:line="360" w:lineRule="auto"/>
        <w:jc w:val="both"/>
        <w:rPr>
          <w:rFonts w:ascii="Verdana" w:hAnsi="Verdana"/>
          <w:sz w:val="24"/>
          <w:szCs w:val="24"/>
          <w:lang w:val="es-ES_tradnl"/>
        </w:rPr>
      </w:pPr>
      <w:r w:rsidRPr="00920246">
        <w:rPr>
          <w:rFonts w:ascii="Verdana" w:hAnsi="Verdana"/>
          <w:sz w:val="24"/>
          <w:szCs w:val="24"/>
          <w:lang w:val="es-ES_tradnl"/>
        </w:rPr>
        <w:t>Definición de responsables.</w:t>
      </w:r>
    </w:p>
    <w:p w:rsidRPr="00920246" w:rsidR="00E93796" w:rsidRDefault="00E93796" w14:paraId="64C7BC37" w14:textId="77777777">
      <w:pPr>
        <w:pStyle w:val="Prrafodelista"/>
        <w:numPr>
          <w:ilvl w:val="0"/>
          <w:numId w:val="75"/>
        </w:numPr>
        <w:spacing w:after="0" w:line="360" w:lineRule="auto"/>
        <w:jc w:val="both"/>
        <w:rPr>
          <w:rFonts w:ascii="Verdana" w:hAnsi="Verdana"/>
          <w:sz w:val="24"/>
          <w:szCs w:val="24"/>
          <w:lang w:val="es-ES_tradnl"/>
        </w:rPr>
      </w:pPr>
      <w:r w:rsidRPr="00920246">
        <w:rPr>
          <w:rFonts w:ascii="Verdana" w:hAnsi="Verdana"/>
          <w:sz w:val="24"/>
          <w:szCs w:val="24"/>
          <w:lang w:val="es-ES_tradnl"/>
        </w:rPr>
        <w:t>Transparencia institucional.</w:t>
      </w:r>
    </w:p>
    <w:p w:rsidRPr="00920246" w:rsidR="00E93796" w:rsidRDefault="00E93796" w14:paraId="5D8C677D" w14:textId="77777777">
      <w:pPr>
        <w:pStyle w:val="Prrafodelista"/>
        <w:numPr>
          <w:ilvl w:val="0"/>
          <w:numId w:val="75"/>
        </w:numPr>
        <w:spacing w:after="0" w:line="360" w:lineRule="auto"/>
        <w:jc w:val="both"/>
        <w:rPr>
          <w:rFonts w:ascii="Verdana" w:hAnsi="Verdana"/>
          <w:sz w:val="24"/>
          <w:szCs w:val="24"/>
          <w:lang w:val="es-ES_tradnl"/>
        </w:rPr>
      </w:pPr>
      <w:r w:rsidRPr="00920246">
        <w:rPr>
          <w:rFonts w:ascii="Verdana" w:hAnsi="Verdana"/>
          <w:sz w:val="24"/>
          <w:szCs w:val="24"/>
          <w:lang w:val="es-ES_tradnl"/>
        </w:rPr>
        <w:t>Cultura organizacional ambiental.</w:t>
      </w:r>
    </w:p>
    <w:p w:rsidR="00ED7226" w:rsidP="005358E1" w:rsidRDefault="00ED7226" w14:paraId="6E6B1A9F" w14:textId="77777777">
      <w:pPr>
        <w:spacing w:after="0" w:line="360" w:lineRule="auto"/>
        <w:jc w:val="both"/>
        <w:rPr>
          <w:rFonts w:ascii="Verdana" w:hAnsi="Verdana"/>
          <w:sz w:val="24"/>
          <w:szCs w:val="24"/>
          <w:lang w:val="es-ES_tradnl"/>
        </w:rPr>
      </w:pPr>
    </w:p>
    <w:p w:rsidRPr="00C140A0" w:rsidR="00E93796" w:rsidP="005358E1" w:rsidRDefault="00E93796" w14:paraId="1DE93B67" w14:textId="77777777">
      <w:pPr>
        <w:spacing w:after="0" w:line="360" w:lineRule="auto"/>
        <w:jc w:val="both"/>
        <w:rPr>
          <w:rFonts w:ascii="Verdana" w:hAnsi="Verdana"/>
          <w:sz w:val="24"/>
          <w:szCs w:val="24"/>
          <w:lang w:val="es-ES_tradnl"/>
        </w:rPr>
      </w:pPr>
      <w:r w:rsidRPr="00C140A0">
        <w:rPr>
          <w:rFonts w:ascii="Verdana" w:hAnsi="Verdana"/>
          <w:sz w:val="24"/>
          <w:szCs w:val="24"/>
          <w:lang w:val="es-ES_tradnl"/>
        </w:rPr>
        <w:t>Se recomienda continuar desarrollando mesas técnicas con las dependencias responsables para consolidar metas más claras, medibles y alineadas con la capacidad operativa institucional.</w:t>
      </w:r>
    </w:p>
    <w:p w:rsidRPr="00C140A0" w:rsidR="00E93796" w:rsidP="005358E1" w:rsidRDefault="00E93796" w14:paraId="179898CA" w14:textId="77777777">
      <w:pPr>
        <w:spacing w:after="0" w:line="360" w:lineRule="auto"/>
        <w:jc w:val="both"/>
        <w:rPr>
          <w:rFonts w:ascii="Verdana" w:hAnsi="Verdana"/>
          <w:sz w:val="24"/>
          <w:szCs w:val="24"/>
        </w:rPr>
      </w:pPr>
    </w:p>
    <w:p w:rsidR="003C4398" w:rsidRDefault="003C4398" w14:paraId="542A43F7" w14:textId="77777777">
      <w:pPr>
        <w:pStyle w:val="Ttulo2"/>
        <w:numPr>
          <w:ilvl w:val="1"/>
          <w:numId w:val="95"/>
        </w:numPr>
        <w:spacing w:before="0" w:after="0" w:line="360" w:lineRule="auto"/>
        <w:rPr>
          <w:rFonts w:ascii="Verdana" w:hAnsi="Verdana"/>
          <w:b/>
          <w:bCs/>
          <w:color w:val="auto"/>
          <w:sz w:val="24"/>
          <w:szCs w:val="24"/>
        </w:rPr>
      </w:pPr>
      <w:bookmarkStart w:name="_Toc233996765" w:id="48"/>
      <w:r w:rsidRPr="00C140A0">
        <w:rPr>
          <w:rFonts w:ascii="Verdana" w:hAnsi="Verdana"/>
          <w:b/>
          <w:bCs/>
          <w:color w:val="auto"/>
          <w:sz w:val="24"/>
          <w:szCs w:val="24"/>
        </w:rPr>
        <w:t>Cultura de Integridad y Código de valores</w:t>
      </w:r>
      <w:bookmarkEnd w:id="48"/>
    </w:p>
    <w:p w:rsidRPr="00920246" w:rsidR="00920246" w:rsidP="005358E1" w:rsidRDefault="00920246" w14:paraId="747E389D" w14:textId="77777777">
      <w:pPr>
        <w:spacing w:after="0" w:line="360" w:lineRule="auto"/>
      </w:pPr>
    </w:p>
    <w:p w:rsidRPr="00C140A0" w:rsidR="003C4398" w:rsidRDefault="003C4398" w14:paraId="294ECFBB" w14:textId="77777777">
      <w:pPr>
        <w:pStyle w:val="Ttulo2"/>
        <w:numPr>
          <w:ilvl w:val="1"/>
          <w:numId w:val="95"/>
        </w:numPr>
        <w:spacing w:before="0" w:after="0" w:line="360" w:lineRule="auto"/>
        <w:rPr>
          <w:rFonts w:ascii="Verdana" w:hAnsi="Verdana"/>
          <w:b/>
          <w:bCs/>
          <w:color w:val="auto"/>
          <w:sz w:val="24"/>
          <w:szCs w:val="24"/>
        </w:rPr>
      </w:pPr>
      <w:bookmarkStart w:name="_Toc233996766" w:id="49"/>
      <w:r w:rsidRPr="00C140A0">
        <w:rPr>
          <w:rFonts w:ascii="Verdana" w:hAnsi="Verdana"/>
          <w:b/>
          <w:bCs/>
          <w:color w:val="auto"/>
          <w:sz w:val="24"/>
          <w:szCs w:val="24"/>
        </w:rPr>
        <w:t>Iniciativa de Transparencia en la Industria Extractiva - EITI</w:t>
      </w:r>
      <w:bookmarkEnd w:id="49"/>
    </w:p>
    <w:p w:rsidRPr="00C140A0" w:rsidR="003C4398" w:rsidP="005358E1" w:rsidRDefault="003C4398" w14:paraId="4F83F39A" w14:textId="77777777">
      <w:pPr>
        <w:spacing w:after="0" w:line="360" w:lineRule="auto"/>
        <w:rPr>
          <w:rFonts w:ascii="Verdana" w:hAnsi="Verdana"/>
          <w:b/>
          <w:bCs/>
          <w:sz w:val="24"/>
          <w:szCs w:val="24"/>
        </w:rPr>
      </w:pPr>
    </w:p>
    <w:p w:rsidRPr="00C140A0" w:rsidR="002C6596" w:rsidP="005358E1" w:rsidRDefault="002C6596" w14:paraId="14253D67" w14:textId="77777777">
      <w:pPr>
        <w:spacing w:after="0" w:line="360" w:lineRule="auto"/>
        <w:jc w:val="both"/>
        <w:rPr>
          <w:rFonts w:ascii="Verdana" w:hAnsi="Verdana"/>
          <w:sz w:val="24"/>
          <w:szCs w:val="24"/>
        </w:rPr>
      </w:pPr>
      <w:r w:rsidRPr="00C140A0">
        <w:rPr>
          <w:rFonts w:ascii="Verdana" w:hAnsi="Verdana"/>
          <w:sz w:val="24"/>
          <w:szCs w:val="24"/>
        </w:rPr>
        <w:t>La Iniciativa para la Transparencia de las Industrias Extractivas (EITI, por sus siglas en inglés) es el estándar global para la gestión abierta y responsable de los recursos naturales. En Colombia, esta iniciativa no solo es un ejercicio de divulgación, sino una herramienta de Estado para fortalecer la gobernanza, mitigar riesgos de corrupción y elevar la calidad del debate público en torno a la minería y los hidrocarburos. Desde su adhesión formal en 2014, Colombia ha transitado de ser un país implementador para convertirse en un referente regional. Durante el cuatrienio 2022-2026, el país ha profundizado la adopción del estándar, garantizando que la información del sector extractivo sea un bien público accesible, confiable y oportuno.</w:t>
      </w:r>
    </w:p>
    <w:p w:rsidR="00CB4CE5" w:rsidP="005358E1" w:rsidRDefault="00CB4CE5" w14:paraId="73B165D1" w14:textId="77777777">
      <w:pPr>
        <w:spacing w:after="0" w:line="360" w:lineRule="auto"/>
        <w:jc w:val="both"/>
        <w:rPr>
          <w:rFonts w:ascii="Verdana" w:hAnsi="Verdana"/>
          <w:sz w:val="24"/>
          <w:szCs w:val="24"/>
        </w:rPr>
      </w:pPr>
    </w:p>
    <w:p w:rsidRPr="00C140A0" w:rsidR="002C6596" w:rsidP="005358E1" w:rsidRDefault="002C6596" w14:paraId="779BF51D" w14:textId="77777777">
      <w:pPr>
        <w:spacing w:after="0" w:line="360" w:lineRule="auto"/>
        <w:jc w:val="both"/>
        <w:rPr>
          <w:rFonts w:ascii="Verdana" w:hAnsi="Verdana"/>
          <w:sz w:val="24"/>
          <w:szCs w:val="24"/>
        </w:rPr>
      </w:pPr>
      <w:r w:rsidRPr="00C140A0">
        <w:rPr>
          <w:rFonts w:ascii="Verdana" w:hAnsi="Verdana"/>
          <w:sz w:val="24"/>
          <w:szCs w:val="24"/>
        </w:rPr>
        <w:t>En el marco del nuevo Plan de Acción EITI, la gran apuesta estratégica radica en la implementación de una Estrategia de Comunicaciones con enfoque territorial. Esta visión busca trascender la publicación de datos técnicos para transformarlos en información comprensible y accesible en las regiones. El objetivo es que la transparencia no se quede en el nivel central, sino que llegue al territorio como un bien público que empodere a las comunidades locales, reduzca las asimetrías de información y fomente una participación ciudadana informada y efectiva en las zonas donde se desarrolla la actividad extractiva.</w:t>
      </w:r>
    </w:p>
    <w:p w:rsidR="00ED7226" w:rsidP="005358E1" w:rsidRDefault="00ED7226" w14:paraId="351752D8" w14:textId="77777777">
      <w:pPr>
        <w:spacing w:after="0" w:line="360" w:lineRule="auto"/>
        <w:jc w:val="both"/>
        <w:rPr>
          <w:rFonts w:ascii="Verdana" w:hAnsi="Verdana"/>
          <w:sz w:val="24"/>
          <w:szCs w:val="24"/>
        </w:rPr>
      </w:pPr>
    </w:p>
    <w:p w:rsidRPr="00C140A0" w:rsidR="002C6596" w:rsidP="005358E1" w:rsidRDefault="002C6596" w14:paraId="5AD2054E" w14:textId="77777777">
      <w:pPr>
        <w:spacing w:after="0" w:line="360" w:lineRule="auto"/>
        <w:jc w:val="both"/>
        <w:rPr>
          <w:rFonts w:ascii="Verdana" w:hAnsi="Verdana"/>
          <w:sz w:val="24"/>
          <w:szCs w:val="24"/>
        </w:rPr>
      </w:pPr>
      <w:r w:rsidRPr="00C140A0">
        <w:rPr>
          <w:rFonts w:ascii="Verdana" w:hAnsi="Verdana"/>
          <w:sz w:val="24"/>
          <w:szCs w:val="24"/>
        </w:rPr>
        <w:t xml:space="preserve">De este modo, Colombia no solo garantiza el cumplimiento de estándares internacionales, sino que posiciona la comunicación estratégica como el </w:t>
      </w:r>
      <w:r w:rsidRPr="00C140A0">
        <w:rPr>
          <w:rFonts w:ascii="Verdana" w:hAnsi="Verdana"/>
          <w:sz w:val="24"/>
          <w:szCs w:val="24"/>
        </w:rPr>
        <w:t>puente esencial para que la transparencia se convierta en una herramienta de diálogo y justicia social en cada rincón del país</w:t>
      </w:r>
    </w:p>
    <w:p w:rsidR="00920246" w:rsidP="005358E1" w:rsidRDefault="00920246" w14:paraId="46225D33" w14:textId="77777777">
      <w:pPr>
        <w:spacing w:after="0" w:line="360" w:lineRule="auto"/>
        <w:jc w:val="both"/>
        <w:rPr>
          <w:rFonts w:ascii="Verdana" w:hAnsi="Verdana"/>
          <w:b/>
          <w:bCs/>
          <w:sz w:val="24"/>
          <w:szCs w:val="24"/>
        </w:rPr>
      </w:pPr>
    </w:p>
    <w:p w:rsidRPr="00C140A0" w:rsidR="002C6596" w:rsidP="005358E1" w:rsidRDefault="002C6596" w14:paraId="2F5E3B87" w14:textId="77777777">
      <w:pPr>
        <w:spacing w:after="0" w:line="360" w:lineRule="auto"/>
        <w:jc w:val="both"/>
        <w:rPr>
          <w:rFonts w:ascii="Verdana" w:hAnsi="Verdana"/>
          <w:b/>
          <w:bCs/>
          <w:sz w:val="24"/>
          <w:szCs w:val="24"/>
        </w:rPr>
      </w:pPr>
      <w:r w:rsidRPr="00C140A0">
        <w:rPr>
          <w:rFonts w:ascii="Verdana" w:hAnsi="Verdana"/>
          <w:b/>
          <w:bCs/>
          <w:sz w:val="24"/>
          <w:szCs w:val="24"/>
        </w:rPr>
        <w:t>Gobernanza y el Modelo Tripartito</w:t>
      </w:r>
    </w:p>
    <w:p w:rsidR="00920246" w:rsidP="005358E1" w:rsidRDefault="00920246" w14:paraId="4D1E8741" w14:textId="77777777">
      <w:pPr>
        <w:spacing w:after="0" w:line="360" w:lineRule="auto"/>
        <w:jc w:val="both"/>
        <w:rPr>
          <w:rFonts w:ascii="Verdana" w:hAnsi="Verdana"/>
          <w:sz w:val="24"/>
          <w:szCs w:val="24"/>
        </w:rPr>
      </w:pPr>
    </w:p>
    <w:p w:rsidRPr="00C140A0" w:rsidR="002C6596" w:rsidP="005358E1" w:rsidRDefault="002C6596" w14:paraId="2737A0F5" w14:textId="77777777">
      <w:pPr>
        <w:spacing w:after="0" w:line="360" w:lineRule="auto"/>
        <w:jc w:val="both"/>
        <w:rPr>
          <w:rFonts w:ascii="Verdana" w:hAnsi="Verdana"/>
          <w:sz w:val="24"/>
          <w:szCs w:val="24"/>
        </w:rPr>
      </w:pPr>
      <w:r w:rsidRPr="00C140A0">
        <w:rPr>
          <w:rFonts w:ascii="Verdana" w:hAnsi="Verdana"/>
          <w:sz w:val="24"/>
          <w:szCs w:val="24"/>
        </w:rPr>
        <w:t>El éxito de EITI Colombia radica en su Comité Tripartito Nacional (CTN), un espacio de gobernanza horizontal donde convergen:</w:t>
      </w:r>
    </w:p>
    <w:p w:rsidRPr="00C140A0" w:rsidR="002C6596" w:rsidRDefault="002C6596" w14:paraId="1C269067" w14:textId="77777777">
      <w:pPr>
        <w:pStyle w:val="Prrafodelista"/>
        <w:numPr>
          <w:ilvl w:val="0"/>
          <w:numId w:val="47"/>
        </w:numPr>
        <w:spacing w:after="0" w:line="360" w:lineRule="auto"/>
        <w:ind w:left="709" w:hanging="425"/>
        <w:jc w:val="both"/>
        <w:rPr>
          <w:rFonts w:ascii="Verdana" w:hAnsi="Verdana"/>
          <w:sz w:val="24"/>
          <w:szCs w:val="24"/>
        </w:rPr>
      </w:pPr>
      <w:r w:rsidRPr="00C140A0">
        <w:rPr>
          <w:rFonts w:ascii="Verdana" w:hAnsi="Verdana"/>
          <w:sz w:val="24"/>
          <w:szCs w:val="24"/>
        </w:rPr>
        <w:t>Gobierno Nacional: Liderazgo institucional y técnico (Ministerio de Minas y Energía – ANM – AMH – DIAN)</w:t>
      </w:r>
    </w:p>
    <w:p w:rsidRPr="00C140A0" w:rsidR="002C6596" w:rsidRDefault="002C6596" w14:paraId="0E7E7824" w14:textId="77777777">
      <w:pPr>
        <w:pStyle w:val="Prrafodelista"/>
        <w:numPr>
          <w:ilvl w:val="0"/>
          <w:numId w:val="47"/>
        </w:numPr>
        <w:spacing w:after="0" w:line="360" w:lineRule="auto"/>
        <w:ind w:left="709" w:hanging="425"/>
        <w:jc w:val="both"/>
        <w:rPr>
          <w:rFonts w:ascii="Verdana" w:hAnsi="Verdana"/>
          <w:sz w:val="24"/>
          <w:szCs w:val="24"/>
        </w:rPr>
      </w:pPr>
      <w:r w:rsidRPr="00C140A0">
        <w:rPr>
          <w:rFonts w:ascii="Verdana" w:hAnsi="Verdana"/>
          <w:sz w:val="24"/>
          <w:szCs w:val="24"/>
        </w:rPr>
        <w:t xml:space="preserve">Industria: Empresas comprometidas con la transparencia corporativa. </w:t>
      </w:r>
    </w:p>
    <w:p w:rsidRPr="00CB4CE5" w:rsidR="002C6596" w:rsidRDefault="002C6596" w14:paraId="24D3C3D0" w14:textId="77777777">
      <w:pPr>
        <w:pStyle w:val="Prrafodelista"/>
        <w:numPr>
          <w:ilvl w:val="0"/>
          <w:numId w:val="47"/>
        </w:numPr>
        <w:spacing w:after="0" w:line="360" w:lineRule="auto"/>
        <w:ind w:left="709" w:hanging="425"/>
        <w:jc w:val="both"/>
        <w:rPr>
          <w:rFonts w:ascii="Verdana" w:hAnsi="Verdana"/>
          <w:sz w:val="24"/>
          <w:szCs w:val="24"/>
          <w:lang w:val="pt-PT"/>
        </w:rPr>
      </w:pPr>
      <w:r w:rsidRPr="00CB4CE5">
        <w:rPr>
          <w:rFonts w:ascii="Verdana" w:hAnsi="Verdana"/>
          <w:sz w:val="24"/>
          <w:szCs w:val="24"/>
          <w:lang w:val="pt-PT"/>
        </w:rPr>
        <w:t>(ACP – ACM – ECOPETROL – Empresas adheridas)</w:t>
      </w:r>
    </w:p>
    <w:p w:rsidRPr="00C140A0" w:rsidR="002C6596" w:rsidRDefault="002C6596" w14:paraId="6B0BC805" w14:textId="77777777">
      <w:pPr>
        <w:pStyle w:val="Prrafodelista"/>
        <w:numPr>
          <w:ilvl w:val="0"/>
          <w:numId w:val="47"/>
        </w:numPr>
        <w:spacing w:after="0" w:line="360" w:lineRule="auto"/>
        <w:ind w:left="709" w:hanging="425"/>
        <w:jc w:val="both"/>
        <w:rPr>
          <w:rFonts w:ascii="Verdana" w:hAnsi="Verdana"/>
          <w:sz w:val="24"/>
          <w:szCs w:val="24"/>
        </w:rPr>
      </w:pPr>
      <w:r w:rsidRPr="00C140A0">
        <w:rPr>
          <w:rFonts w:ascii="Verdana" w:hAnsi="Verdana"/>
          <w:sz w:val="24"/>
          <w:szCs w:val="24"/>
        </w:rPr>
        <w:t>Sociedad Civil: Organizaciones que garantizan el control social y la vigilancia ciudadana. (Transparencia por Colombia – Foro Nacional por Colombia – GDIAM ECOS – CREER)</w:t>
      </w:r>
    </w:p>
    <w:p w:rsidR="00ED7226" w:rsidP="005358E1" w:rsidRDefault="00ED7226" w14:paraId="3E055044" w14:textId="77777777">
      <w:pPr>
        <w:spacing w:after="0" w:line="360" w:lineRule="auto"/>
        <w:jc w:val="both"/>
        <w:rPr>
          <w:rFonts w:ascii="Verdana" w:hAnsi="Verdana"/>
          <w:sz w:val="24"/>
          <w:szCs w:val="24"/>
        </w:rPr>
      </w:pPr>
    </w:p>
    <w:p w:rsidRPr="00C140A0" w:rsidR="002C6596" w:rsidP="005358E1" w:rsidRDefault="002C6596" w14:paraId="6CE522A2" w14:textId="77777777">
      <w:pPr>
        <w:spacing w:after="0" w:line="360" w:lineRule="auto"/>
        <w:jc w:val="both"/>
        <w:rPr>
          <w:rFonts w:ascii="Verdana" w:hAnsi="Verdana"/>
          <w:sz w:val="24"/>
          <w:szCs w:val="24"/>
        </w:rPr>
      </w:pPr>
      <w:r w:rsidRPr="00C140A0">
        <w:rPr>
          <w:rFonts w:ascii="Verdana" w:hAnsi="Verdana"/>
          <w:sz w:val="24"/>
          <w:szCs w:val="24"/>
        </w:rPr>
        <w:t>Este modelo asegura que cada decisión, desde la metodología de los informes hasta la planeación estratégica, cuente con el consenso de las partes, legitimando la política pública del sector.</w:t>
      </w:r>
    </w:p>
    <w:p w:rsidRPr="00C140A0" w:rsidR="002C6596" w:rsidP="005358E1" w:rsidRDefault="002C6596" w14:paraId="2D6E8A34" w14:textId="77777777">
      <w:pPr>
        <w:spacing w:after="0" w:line="360" w:lineRule="auto"/>
        <w:jc w:val="both"/>
        <w:rPr>
          <w:rFonts w:ascii="Verdana" w:hAnsi="Verdana"/>
          <w:b/>
          <w:bCs/>
          <w:sz w:val="24"/>
          <w:szCs w:val="24"/>
        </w:rPr>
      </w:pPr>
    </w:p>
    <w:p w:rsidRPr="00C140A0" w:rsidR="002C6596" w:rsidP="005358E1" w:rsidRDefault="002C6596" w14:paraId="04B8AF5B" w14:textId="77777777">
      <w:pPr>
        <w:spacing w:after="0" w:line="360" w:lineRule="auto"/>
        <w:jc w:val="both"/>
        <w:rPr>
          <w:rFonts w:ascii="Verdana" w:hAnsi="Verdana"/>
          <w:b/>
          <w:bCs/>
          <w:sz w:val="24"/>
          <w:szCs w:val="24"/>
        </w:rPr>
      </w:pPr>
      <w:r w:rsidRPr="00C140A0">
        <w:rPr>
          <w:rFonts w:ascii="Verdana" w:hAnsi="Verdana"/>
          <w:b/>
          <w:bCs/>
          <w:sz w:val="24"/>
          <w:szCs w:val="24"/>
        </w:rPr>
        <w:t>Liderazgo del Ministerio de Minas y Energía (2022-2026)</w:t>
      </w:r>
    </w:p>
    <w:p w:rsidR="00920246" w:rsidP="005358E1" w:rsidRDefault="00920246" w14:paraId="3C2BEDF5" w14:textId="77777777">
      <w:pPr>
        <w:spacing w:after="0" w:line="360" w:lineRule="auto"/>
        <w:jc w:val="both"/>
        <w:rPr>
          <w:rFonts w:ascii="Verdana" w:hAnsi="Verdana"/>
          <w:sz w:val="24"/>
          <w:szCs w:val="24"/>
        </w:rPr>
      </w:pPr>
    </w:p>
    <w:p w:rsidRPr="00C140A0" w:rsidR="002C6596" w:rsidP="005358E1" w:rsidRDefault="77BE6015" w14:paraId="7C5496CF" w14:textId="77777777">
      <w:pPr>
        <w:spacing w:after="0" w:line="360" w:lineRule="auto"/>
        <w:jc w:val="both"/>
        <w:rPr>
          <w:rFonts w:ascii="Verdana" w:hAnsi="Verdana"/>
          <w:sz w:val="24"/>
          <w:szCs w:val="24"/>
        </w:rPr>
      </w:pPr>
      <w:r w:rsidRPr="180099B3">
        <w:rPr>
          <w:rFonts w:ascii="Verdana" w:hAnsi="Verdana"/>
          <w:sz w:val="24"/>
          <w:szCs w:val="24"/>
        </w:rPr>
        <w:t>Bajo la dirección del Viceministerio de Minas, que ejerce la Secretaría Técnica, el Ministerio ha transformado el cumplimiento del estándar en una ventaja estratégica para el país.</w:t>
      </w:r>
    </w:p>
    <w:p w:rsidR="180099B3" w:rsidP="005358E1" w:rsidRDefault="180099B3" w14:paraId="542A75FD" w14:textId="77777777">
      <w:pPr>
        <w:spacing w:after="0" w:line="360" w:lineRule="auto"/>
        <w:jc w:val="both"/>
        <w:rPr>
          <w:rFonts w:ascii="Verdana" w:hAnsi="Verdana"/>
          <w:sz w:val="24"/>
          <w:szCs w:val="24"/>
        </w:rPr>
      </w:pPr>
    </w:p>
    <w:p w:rsidRPr="00C140A0" w:rsidR="002C6596" w:rsidP="005358E1" w:rsidRDefault="002C6596" w14:paraId="7BFD4F3C" w14:textId="77777777">
      <w:pPr>
        <w:spacing w:after="0" w:line="360" w:lineRule="auto"/>
        <w:jc w:val="both"/>
        <w:rPr>
          <w:rFonts w:ascii="Verdana" w:hAnsi="Verdana"/>
          <w:sz w:val="24"/>
          <w:szCs w:val="24"/>
        </w:rPr>
      </w:pPr>
      <w:r w:rsidRPr="00C140A0">
        <w:rPr>
          <w:rFonts w:ascii="Verdana" w:hAnsi="Verdana"/>
          <w:sz w:val="24"/>
          <w:szCs w:val="24"/>
        </w:rPr>
        <w:t xml:space="preserve">Hito de Gestión: Entre 2022 y 2026, el Ministerio ha liderado la articulación interinstitucional y del Comité Tripartito Nacional CTN, garantizando que el flujo de datos y reportes cumplan con los más altos </w:t>
      </w:r>
      <w:r w:rsidRPr="00C140A0">
        <w:rPr>
          <w:rFonts w:ascii="Verdana" w:hAnsi="Verdana"/>
          <w:sz w:val="24"/>
          <w:szCs w:val="24"/>
        </w:rPr>
        <w:t>estándares internacionales de calidad y veracidad en el marco del Estándar EITI</w:t>
      </w:r>
    </w:p>
    <w:p w:rsidRPr="00C140A0" w:rsidR="002C6596" w:rsidP="005358E1" w:rsidRDefault="002C6596" w14:paraId="3FD5B951" w14:textId="77777777">
      <w:pPr>
        <w:spacing w:after="0" w:line="360" w:lineRule="auto"/>
        <w:jc w:val="both"/>
        <w:rPr>
          <w:rFonts w:ascii="Verdana" w:hAnsi="Verdana"/>
          <w:sz w:val="24"/>
          <w:szCs w:val="24"/>
        </w:rPr>
      </w:pPr>
    </w:p>
    <w:p w:rsidRPr="00C140A0" w:rsidR="002C6596" w:rsidP="005358E1" w:rsidRDefault="77BE6015" w14:paraId="05333078" w14:textId="77777777">
      <w:pPr>
        <w:spacing w:after="0" w:line="360" w:lineRule="auto"/>
        <w:jc w:val="both"/>
        <w:rPr>
          <w:rFonts w:ascii="Verdana" w:hAnsi="Verdana"/>
          <w:sz w:val="24"/>
          <w:szCs w:val="24"/>
        </w:rPr>
      </w:pPr>
      <w:r w:rsidRPr="180099B3">
        <w:rPr>
          <w:rFonts w:ascii="Verdana" w:hAnsi="Verdana"/>
          <w:sz w:val="24"/>
          <w:szCs w:val="24"/>
        </w:rPr>
        <w:t>Durante este periodo, la gestión ministerial ha alcanzado resultados de alto impacto:</w:t>
      </w:r>
    </w:p>
    <w:p w:rsidR="33B58ED9" w:rsidP="180099B3" w:rsidRDefault="33B58ED9" w14:paraId="17D72F7B" w14:textId="1CE5AFF4">
      <w:pPr>
        <w:spacing w:after="0" w:line="360" w:lineRule="auto"/>
        <w:jc w:val="center"/>
        <w:rPr>
          <w:rFonts w:ascii="Verdana" w:hAnsi="Verdana"/>
          <w:sz w:val="18"/>
          <w:szCs w:val="18"/>
        </w:rPr>
      </w:pPr>
      <w:r w:rsidRPr="180099B3">
        <w:rPr>
          <w:rFonts w:ascii="Verdana" w:hAnsi="Verdana"/>
          <w:sz w:val="18"/>
          <w:szCs w:val="18"/>
        </w:rPr>
        <w:t>Tabla No. 7</w:t>
      </w:r>
      <w:r w:rsidR="00D94015">
        <w:rPr>
          <w:rFonts w:ascii="Verdana" w:hAnsi="Verdana"/>
          <w:sz w:val="18"/>
          <w:szCs w:val="18"/>
        </w:rPr>
        <w:t>6</w:t>
      </w:r>
      <w:r w:rsidRPr="180099B3">
        <w:rPr>
          <w:rFonts w:ascii="Verdana" w:hAnsi="Verdana"/>
          <w:sz w:val="18"/>
          <w:szCs w:val="18"/>
        </w:rPr>
        <w:t xml:space="preserve">. </w:t>
      </w:r>
      <w:r w:rsidRPr="180099B3" w:rsidR="436140FD">
        <w:rPr>
          <w:rFonts w:ascii="Verdana" w:hAnsi="Verdana"/>
          <w:sz w:val="18"/>
          <w:szCs w:val="18"/>
        </w:rPr>
        <w:t xml:space="preserve">Logros Estratégicos del Cuatrienio  </w:t>
      </w:r>
    </w:p>
    <w:tbl>
      <w:tblPr>
        <w:tblStyle w:val="Tablaconcuadrcula"/>
        <w:tblW w:w="0" w:type="auto"/>
        <w:tblLook w:val="04A0" w:firstRow="1" w:lastRow="0" w:firstColumn="1" w:lastColumn="0" w:noHBand="0" w:noVBand="1"/>
      </w:tblPr>
      <w:tblGrid>
        <w:gridCol w:w="1844"/>
        <w:gridCol w:w="6984"/>
      </w:tblGrid>
      <w:tr w:rsidRPr="00D62FF4" w:rsidR="002C6596" w:rsidTr="00770ECF" w14:paraId="23C5835C" w14:textId="77777777">
        <w:trPr>
          <w:trHeight w:val="524"/>
        </w:trPr>
        <w:tc>
          <w:tcPr>
            <w:tcW w:w="0" w:type="auto"/>
            <w:shd w:val="clear" w:color="auto" w:fill="A6A6A6" w:themeFill="background1" w:themeFillShade="A6"/>
            <w:hideMark/>
          </w:tcPr>
          <w:p w:rsidRPr="00D62FF4" w:rsidR="002C6596" w:rsidP="002C6596" w:rsidRDefault="002C6596" w14:paraId="35454AE4" w14:textId="77777777">
            <w:pPr>
              <w:spacing w:line="276" w:lineRule="auto"/>
              <w:jc w:val="center"/>
              <w:rPr>
                <w:rFonts w:ascii="Verdana" w:hAnsi="Verdana"/>
                <w:b/>
                <w:bCs/>
                <w:sz w:val="18"/>
                <w:szCs w:val="18"/>
              </w:rPr>
            </w:pPr>
            <w:r w:rsidRPr="00D62FF4">
              <w:rPr>
                <w:rFonts w:ascii="Verdana" w:hAnsi="Verdana"/>
                <w:b/>
                <w:bCs/>
                <w:sz w:val="18"/>
                <w:szCs w:val="18"/>
              </w:rPr>
              <w:t>Área de Impacto</w:t>
            </w:r>
          </w:p>
        </w:tc>
        <w:tc>
          <w:tcPr>
            <w:tcW w:w="0" w:type="auto"/>
            <w:shd w:val="clear" w:color="auto" w:fill="A6A6A6" w:themeFill="background1" w:themeFillShade="A6"/>
            <w:hideMark/>
          </w:tcPr>
          <w:p w:rsidRPr="00D62FF4" w:rsidR="002C6596" w:rsidP="002C6596" w:rsidRDefault="002C6596" w14:paraId="3E56D210" w14:textId="77777777">
            <w:pPr>
              <w:spacing w:line="276" w:lineRule="auto"/>
              <w:jc w:val="center"/>
              <w:rPr>
                <w:rFonts w:ascii="Verdana" w:hAnsi="Verdana"/>
                <w:b/>
                <w:bCs/>
                <w:sz w:val="18"/>
                <w:szCs w:val="18"/>
              </w:rPr>
            </w:pPr>
            <w:r w:rsidRPr="00D62FF4">
              <w:rPr>
                <w:rFonts w:ascii="Verdana" w:hAnsi="Verdana"/>
                <w:b/>
                <w:bCs/>
                <w:sz w:val="18"/>
                <w:szCs w:val="18"/>
              </w:rPr>
              <w:t>Logro Destacado</w:t>
            </w:r>
          </w:p>
        </w:tc>
      </w:tr>
      <w:tr w:rsidRPr="00D62FF4" w:rsidR="002C6596" w:rsidTr="00770ECF" w14:paraId="102E12E8" w14:textId="77777777">
        <w:tc>
          <w:tcPr>
            <w:tcW w:w="0" w:type="auto"/>
            <w:hideMark/>
          </w:tcPr>
          <w:p w:rsidRPr="00D62FF4" w:rsidR="002C6596" w:rsidRDefault="002C6596" w14:paraId="6B4D2833" w14:textId="77777777">
            <w:pPr>
              <w:spacing w:line="276" w:lineRule="auto"/>
              <w:jc w:val="both"/>
              <w:rPr>
                <w:rFonts w:ascii="Verdana" w:hAnsi="Verdana"/>
                <w:sz w:val="18"/>
                <w:szCs w:val="18"/>
              </w:rPr>
            </w:pPr>
            <w:r w:rsidRPr="00D62FF4">
              <w:rPr>
                <w:rFonts w:ascii="Verdana" w:hAnsi="Verdana"/>
                <w:sz w:val="18"/>
                <w:szCs w:val="18"/>
              </w:rPr>
              <w:t>Transparencia Activa</w:t>
            </w:r>
          </w:p>
        </w:tc>
        <w:tc>
          <w:tcPr>
            <w:tcW w:w="0" w:type="auto"/>
            <w:hideMark/>
          </w:tcPr>
          <w:p w:rsidRPr="00D62FF4" w:rsidR="002C6596" w:rsidRDefault="002C6596" w14:paraId="0A0C2D2F" w14:textId="77777777">
            <w:pPr>
              <w:spacing w:line="276" w:lineRule="auto"/>
              <w:jc w:val="both"/>
              <w:rPr>
                <w:rFonts w:ascii="Verdana" w:hAnsi="Verdana"/>
                <w:sz w:val="18"/>
                <w:szCs w:val="18"/>
              </w:rPr>
            </w:pPr>
            <w:r w:rsidRPr="00D62FF4">
              <w:rPr>
                <w:rFonts w:ascii="Verdana" w:hAnsi="Verdana"/>
                <w:sz w:val="18"/>
                <w:szCs w:val="18"/>
              </w:rPr>
              <w:t xml:space="preserve">Publicación de los Informes Nacionales bajo la dirección del equipo EITI Colombia </w:t>
            </w:r>
          </w:p>
        </w:tc>
      </w:tr>
      <w:tr w:rsidRPr="00D62FF4" w:rsidR="002C6596" w:rsidTr="00770ECF" w14:paraId="62356CC8" w14:textId="77777777">
        <w:tc>
          <w:tcPr>
            <w:tcW w:w="0" w:type="auto"/>
            <w:hideMark/>
          </w:tcPr>
          <w:p w:rsidRPr="00D62FF4" w:rsidR="002C6596" w:rsidRDefault="002C6596" w14:paraId="529815E9" w14:textId="77777777">
            <w:pPr>
              <w:spacing w:line="276" w:lineRule="auto"/>
              <w:jc w:val="both"/>
              <w:rPr>
                <w:rFonts w:ascii="Verdana" w:hAnsi="Verdana"/>
                <w:sz w:val="18"/>
                <w:szCs w:val="18"/>
              </w:rPr>
            </w:pPr>
            <w:r w:rsidRPr="00D62FF4">
              <w:rPr>
                <w:rFonts w:ascii="Verdana" w:hAnsi="Verdana"/>
                <w:sz w:val="18"/>
                <w:szCs w:val="18"/>
              </w:rPr>
              <w:t>Calidad de Datos</w:t>
            </w:r>
          </w:p>
        </w:tc>
        <w:tc>
          <w:tcPr>
            <w:tcW w:w="0" w:type="auto"/>
            <w:hideMark/>
          </w:tcPr>
          <w:p w:rsidRPr="00D62FF4" w:rsidR="002C6596" w:rsidRDefault="002C6596" w14:paraId="2F8D7E5C" w14:textId="77777777">
            <w:pPr>
              <w:spacing w:line="276" w:lineRule="auto"/>
              <w:jc w:val="both"/>
              <w:rPr>
                <w:rFonts w:ascii="Verdana" w:hAnsi="Verdana"/>
                <w:sz w:val="18"/>
                <w:szCs w:val="18"/>
              </w:rPr>
            </w:pPr>
            <w:r w:rsidRPr="00D62FF4">
              <w:rPr>
                <w:rFonts w:ascii="Verdana" w:hAnsi="Verdana"/>
                <w:sz w:val="18"/>
                <w:szCs w:val="18"/>
              </w:rPr>
              <w:t xml:space="preserve">Implementación de protocolos de validación que aseguran la trazabilidad de la cadena de valor. </w:t>
            </w:r>
          </w:p>
        </w:tc>
      </w:tr>
      <w:tr w:rsidRPr="00D62FF4" w:rsidR="002C6596" w:rsidTr="00770ECF" w14:paraId="7CB05B6F" w14:textId="77777777">
        <w:tc>
          <w:tcPr>
            <w:tcW w:w="0" w:type="auto"/>
            <w:hideMark/>
          </w:tcPr>
          <w:p w:rsidRPr="00D62FF4" w:rsidR="002C6596" w:rsidRDefault="002C6596" w14:paraId="369B1AEF" w14:textId="77777777">
            <w:pPr>
              <w:spacing w:line="276" w:lineRule="auto"/>
              <w:jc w:val="both"/>
              <w:rPr>
                <w:rFonts w:ascii="Verdana" w:hAnsi="Verdana"/>
                <w:sz w:val="18"/>
                <w:szCs w:val="18"/>
              </w:rPr>
            </w:pPr>
            <w:r w:rsidRPr="00D62FF4">
              <w:rPr>
                <w:rFonts w:ascii="Verdana" w:hAnsi="Verdana"/>
                <w:sz w:val="18"/>
                <w:szCs w:val="18"/>
              </w:rPr>
              <w:t>Inclusión Territorial</w:t>
            </w:r>
          </w:p>
        </w:tc>
        <w:tc>
          <w:tcPr>
            <w:tcW w:w="0" w:type="auto"/>
            <w:hideMark/>
          </w:tcPr>
          <w:p w:rsidRPr="00D62FF4" w:rsidR="002C6596" w:rsidRDefault="002C6596" w14:paraId="77651A56" w14:textId="77777777">
            <w:pPr>
              <w:spacing w:line="276" w:lineRule="auto"/>
              <w:jc w:val="both"/>
              <w:rPr>
                <w:rFonts w:ascii="Verdana" w:hAnsi="Verdana"/>
                <w:sz w:val="18"/>
                <w:szCs w:val="18"/>
              </w:rPr>
            </w:pPr>
            <w:r w:rsidRPr="00D62FF4">
              <w:rPr>
                <w:rFonts w:ascii="Verdana" w:hAnsi="Verdana"/>
                <w:sz w:val="18"/>
                <w:szCs w:val="18"/>
              </w:rPr>
              <w:t>Lanzamiento de la Estrategia Territorial y Desarrollo de diagnósticos territoriales en los Departamentos priorizados por el CTN</w:t>
            </w:r>
          </w:p>
        </w:tc>
      </w:tr>
      <w:tr w:rsidRPr="00D62FF4" w:rsidR="002C6596" w:rsidTr="00770ECF" w14:paraId="437850CF" w14:textId="77777777">
        <w:tc>
          <w:tcPr>
            <w:tcW w:w="0" w:type="auto"/>
            <w:hideMark/>
          </w:tcPr>
          <w:p w:rsidRPr="00D62FF4" w:rsidR="002C6596" w:rsidRDefault="002C6596" w14:paraId="14B0BDD1" w14:textId="77777777">
            <w:pPr>
              <w:spacing w:line="276" w:lineRule="auto"/>
              <w:jc w:val="both"/>
              <w:rPr>
                <w:rFonts w:ascii="Verdana" w:hAnsi="Verdana"/>
                <w:sz w:val="18"/>
                <w:szCs w:val="18"/>
              </w:rPr>
            </w:pPr>
            <w:r w:rsidRPr="00D62FF4">
              <w:rPr>
                <w:rFonts w:ascii="Verdana" w:hAnsi="Verdana"/>
                <w:sz w:val="18"/>
                <w:szCs w:val="18"/>
              </w:rPr>
              <w:t>Puntaje Internacional</w:t>
            </w:r>
          </w:p>
        </w:tc>
        <w:tc>
          <w:tcPr>
            <w:tcW w:w="0" w:type="auto"/>
            <w:hideMark/>
          </w:tcPr>
          <w:p w:rsidRPr="00D62FF4" w:rsidR="002C6596" w:rsidRDefault="002C6596" w14:paraId="5B6EC494" w14:textId="77777777">
            <w:pPr>
              <w:spacing w:line="276" w:lineRule="auto"/>
              <w:jc w:val="both"/>
              <w:rPr>
                <w:rFonts w:ascii="Verdana" w:hAnsi="Verdana"/>
                <w:sz w:val="18"/>
                <w:szCs w:val="18"/>
              </w:rPr>
            </w:pPr>
            <w:r w:rsidRPr="00D62FF4">
              <w:rPr>
                <w:rFonts w:ascii="Verdana" w:hAnsi="Verdana"/>
                <w:sz w:val="18"/>
                <w:szCs w:val="18"/>
              </w:rPr>
              <w:t>Mantenimiento de una calificación de cumplimiento ante el Secretariado Internacional de EITI.</w:t>
            </w:r>
          </w:p>
        </w:tc>
      </w:tr>
    </w:tbl>
    <w:p w:rsidR="002C6596" w:rsidP="180099B3" w:rsidRDefault="57C42896" w14:paraId="79C0F661" w14:textId="77777777">
      <w:pPr>
        <w:spacing w:line="360" w:lineRule="auto"/>
        <w:jc w:val="center"/>
        <w:rPr>
          <w:rFonts w:ascii="Verdana" w:hAnsi="Verdana"/>
          <w:sz w:val="18"/>
          <w:szCs w:val="18"/>
        </w:rPr>
      </w:pPr>
      <w:r w:rsidRPr="180099B3">
        <w:rPr>
          <w:rFonts w:ascii="Verdana" w:hAnsi="Verdana"/>
          <w:sz w:val="18"/>
          <w:szCs w:val="18"/>
        </w:rPr>
        <w:t>Fuente: OPGI -MME</w:t>
      </w:r>
    </w:p>
    <w:p w:rsidRPr="00C140A0" w:rsidR="005358E1" w:rsidP="005358E1" w:rsidRDefault="005358E1" w14:paraId="76EC0C7F" w14:textId="77777777">
      <w:pPr>
        <w:spacing w:after="0" w:line="360" w:lineRule="auto"/>
        <w:jc w:val="center"/>
        <w:rPr>
          <w:rFonts w:ascii="Verdana" w:hAnsi="Verdana"/>
          <w:sz w:val="18"/>
          <w:szCs w:val="18"/>
        </w:rPr>
      </w:pPr>
    </w:p>
    <w:p w:rsidRPr="00C140A0" w:rsidR="002C6596" w:rsidP="005358E1" w:rsidRDefault="002C6596" w14:paraId="7AB8D7A1" w14:textId="77777777">
      <w:pPr>
        <w:spacing w:after="0" w:line="360" w:lineRule="auto"/>
        <w:jc w:val="both"/>
        <w:rPr>
          <w:rFonts w:ascii="Verdana" w:hAnsi="Verdana"/>
          <w:sz w:val="24"/>
          <w:szCs w:val="24"/>
        </w:rPr>
      </w:pPr>
      <w:r w:rsidRPr="00C140A0">
        <w:rPr>
          <w:rFonts w:ascii="Verdana" w:hAnsi="Verdana"/>
          <w:sz w:val="24"/>
          <w:szCs w:val="24"/>
        </w:rPr>
        <w:t>De otra parte, a diferencia de periodos anteriores, en los que la consolidación de la información dependía de la contratación de consultores externos, durante la presente gestión se alcanzó un hito histórico: el Ministerio de Minas y Energía, a través de su propio equipo técnico, asumió directamente la elaboración integral del Informe Nacional EITI. Este cambio de paradigma no solo representa un ahorro significativo de recursos y una soberanía técnica sin precedentes, sino que ha permitido que todos los actores del Comité Tripartito se involucren de manera orgánica y profunda en el proceso. Al internalizar esta responsabilidad, se ha elevado el sentido de pertenencia y la comprensión sobre la importancia estratégica de estos informes, transformándolos de un producto de cumplimiento en un activo vivo de conocimiento compartido para el país.</w:t>
      </w:r>
    </w:p>
    <w:p w:rsidRPr="00C140A0" w:rsidR="002C6596" w:rsidP="005358E1" w:rsidRDefault="002C6596" w14:paraId="20352703" w14:textId="77777777">
      <w:pPr>
        <w:spacing w:after="0" w:line="360" w:lineRule="auto"/>
        <w:jc w:val="both"/>
        <w:rPr>
          <w:rFonts w:ascii="Verdana" w:hAnsi="Verdana"/>
          <w:sz w:val="24"/>
          <w:szCs w:val="24"/>
        </w:rPr>
      </w:pPr>
    </w:p>
    <w:p w:rsidRPr="00C140A0" w:rsidR="002C6596" w:rsidP="005358E1" w:rsidRDefault="002C6596" w14:paraId="32266ABE" w14:textId="77777777">
      <w:pPr>
        <w:spacing w:after="0" w:line="360" w:lineRule="auto"/>
        <w:jc w:val="both"/>
        <w:rPr>
          <w:rFonts w:ascii="Verdana" w:hAnsi="Verdana"/>
          <w:sz w:val="24"/>
          <w:szCs w:val="24"/>
        </w:rPr>
      </w:pPr>
      <w:r w:rsidRPr="00C140A0">
        <w:rPr>
          <w:rFonts w:ascii="Verdana" w:hAnsi="Verdana"/>
          <w:sz w:val="24"/>
          <w:szCs w:val="24"/>
        </w:rPr>
        <w:t xml:space="preserve">Durante la vigencia 2023, la Secretaría Técnica de EITI Colombia adelantó acciones estratégicas orientadas a la reactivación y fortalecimiento de la </w:t>
      </w:r>
      <w:r w:rsidRPr="00C140A0">
        <w:rPr>
          <w:rFonts w:ascii="Verdana" w:hAnsi="Verdana"/>
          <w:sz w:val="24"/>
          <w:szCs w:val="24"/>
        </w:rPr>
        <w:t xml:space="preserve">implementación territorial de la iniciativa en departamentos priorizados del país, en el marco de la apuesta institucional por descentralizar la transparencia y fortalecer la gobernanza del sector extractivo en los territorios. En ese orden, se desarrollaron jornadas virtuales y presenciales en los departamentos de Huila, Santander, La Guajira, Cesar y Casanare, con el propósito de socializar los principios y alcances de la iniciativa EITI, promover espacios de articulación interinstitucional y fortalecer el diálogo con actores territoriales vinculados al sector minero-energético. </w:t>
      </w:r>
    </w:p>
    <w:p w:rsidRPr="00C140A0" w:rsidR="002C6596" w:rsidP="005358E1" w:rsidRDefault="002C6596" w14:paraId="06D9CDE6" w14:textId="77777777">
      <w:pPr>
        <w:spacing w:after="0" w:line="360" w:lineRule="auto"/>
        <w:jc w:val="both"/>
        <w:rPr>
          <w:rFonts w:ascii="Verdana" w:hAnsi="Verdana"/>
          <w:sz w:val="24"/>
          <w:szCs w:val="24"/>
        </w:rPr>
      </w:pPr>
    </w:p>
    <w:p w:rsidRPr="00C140A0" w:rsidR="002C6596" w:rsidP="005358E1" w:rsidRDefault="002C6596" w14:paraId="6CBC9FFB" w14:textId="77777777">
      <w:pPr>
        <w:spacing w:after="0" w:line="360" w:lineRule="auto"/>
        <w:jc w:val="both"/>
        <w:rPr>
          <w:rFonts w:ascii="Verdana" w:hAnsi="Verdana"/>
          <w:sz w:val="24"/>
          <w:szCs w:val="24"/>
        </w:rPr>
      </w:pPr>
      <w:r w:rsidRPr="00C140A0">
        <w:rPr>
          <w:rFonts w:ascii="Verdana" w:hAnsi="Verdana"/>
          <w:sz w:val="24"/>
          <w:szCs w:val="24"/>
        </w:rPr>
        <w:t xml:space="preserve">Posteriormente, se realizaron reuniones virtuales con actores de Meta y Huila orientadas a impulsar la reactivación de EITI Territorial, avanzando paralelamente en gestiones institucionales para consolidar agendas de trabajo y fortalecer los mecanismos de participación y coordinación en estos territorios; consolidando así, el equipo territorial de EITI Colombia que permitió definir una ruta metodológica para la implementación de la iniciativa en los departamentos priorizados. </w:t>
      </w:r>
    </w:p>
    <w:p w:rsidRPr="00C140A0" w:rsidR="002C6596" w:rsidP="005358E1" w:rsidRDefault="002C6596" w14:paraId="1B525F90" w14:textId="77777777">
      <w:pPr>
        <w:spacing w:after="0" w:line="360" w:lineRule="auto"/>
        <w:jc w:val="both"/>
        <w:rPr>
          <w:rFonts w:ascii="Verdana" w:hAnsi="Verdana"/>
          <w:sz w:val="24"/>
          <w:szCs w:val="24"/>
        </w:rPr>
      </w:pPr>
    </w:p>
    <w:p w:rsidRPr="00C140A0" w:rsidR="002C6596" w:rsidP="005358E1" w:rsidRDefault="002C6596" w14:paraId="4228E90F" w14:textId="77777777">
      <w:pPr>
        <w:spacing w:after="0" w:line="360" w:lineRule="auto"/>
        <w:jc w:val="both"/>
        <w:rPr>
          <w:rFonts w:ascii="Verdana" w:hAnsi="Verdana"/>
          <w:sz w:val="24"/>
          <w:szCs w:val="24"/>
        </w:rPr>
      </w:pPr>
      <w:r w:rsidRPr="00C140A0">
        <w:rPr>
          <w:rFonts w:ascii="Verdana" w:hAnsi="Verdana"/>
          <w:sz w:val="24"/>
          <w:szCs w:val="24"/>
        </w:rPr>
        <w:t>En desarrollo de esta fase se adelantaron reuniones en Santander, Córdoba, Casanare y La Guajira, así como encuentros con Comités Multipartícipes Locales, orientados a fortalecer el relacionamiento territorial, socializar la iniciativa y presentar la agenda de talleres, mesas técnicas y espacios de formación previstos para la siguiente vigencia. Estas acciones permitieron sentar las bases para el fortalecimiento de capacidades locales y la consolidación progresiva de una estrategia territorial enfocada en el acceso a la información, la transparencia y la participación ciudadana en asuntos relacionados con el sector extractivo.</w:t>
      </w:r>
    </w:p>
    <w:p w:rsidRPr="00C140A0" w:rsidR="002C6596" w:rsidP="005358E1" w:rsidRDefault="002C6596" w14:paraId="3681C4CF" w14:textId="77777777">
      <w:pPr>
        <w:spacing w:after="0" w:line="360" w:lineRule="auto"/>
        <w:jc w:val="both"/>
        <w:rPr>
          <w:rFonts w:ascii="Verdana" w:hAnsi="Verdana"/>
          <w:sz w:val="24"/>
          <w:szCs w:val="24"/>
        </w:rPr>
      </w:pPr>
    </w:p>
    <w:p w:rsidRPr="00C140A0" w:rsidR="002C6596" w:rsidP="005358E1" w:rsidRDefault="002C6596" w14:paraId="2B68034E" w14:textId="77777777">
      <w:pPr>
        <w:spacing w:after="0" w:line="360" w:lineRule="auto"/>
        <w:jc w:val="both"/>
        <w:rPr>
          <w:rFonts w:ascii="Verdana" w:hAnsi="Verdana"/>
          <w:sz w:val="24"/>
          <w:szCs w:val="24"/>
        </w:rPr>
      </w:pPr>
      <w:r w:rsidRPr="00C140A0">
        <w:rPr>
          <w:rFonts w:ascii="Verdana" w:hAnsi="Verdana"/>
          <w:sz w:val="24"/>
          <w:szCs w:val="24"/>
        </w:rPr>
        <w:t xml:space="preserve">Durante el periodo 2024–2025, la Secretaría Técnica de EITI Colombia lideró el proceso de formulación y consolidación de la Estrategia Territorial </w:t>
      </w:r>
      <w:r w:rsidRPr="00C140A0">
        <w:rPr>
          <w:rFonts w:ascii="Verdana" w:hAnsi="Verdana"/>
          <w:sz w:val="24"/>
          <w:szCs w:val="24"/>
        </w:rPr>
        <w:t xml:space="preserve">EITI 2025–2028, instrumento estratégico orientado al fortalecimiento de la gobernanza y la transparencia del sector extractivo en los territorios priorizados. Esta estrategia, aprobada en abril de 2026 por el Comité Tripartito Nacional (CTN), tiene como propósito promover la articulación entre entidades públicas, sector privado, academia, organizaciones sociales y ciudadanía, mediante mecanismos de diálogo, coordinación interinstitucional y cooperación territorial que contribuyan al fortalecimiento de la confianza, el acceso a información pertinente y la participación informada en torno a la gestión de los recursos naturales. </w:t>
      </w:r>
    </w:p>
    <w:p w:rsidRPr="00C140A0" w:rsidR="002C6596" w:rsidP="005358E1" w:rsidRDefault="002C6596" w14:paraId="50539376" w14:textId="77777777">
      <w:pPr>
        <w:spacing w:after="0" w:line="360" w:lineRule="auto"/>
        <w:jc w:val="both"/>
        <w:rPr>
          <w:rFonts w:ascii="Verdana" w:hAnsi="Verdana"/>
          <w:sz w:val="24"/>
          <w:szCs w:val="24"/>
        </w:rPr>
      </w:pPr>
    </w:p>
    <w:p w:rsidRPr="00C140A0" w:rsidR="002C6596" w:rsidP="005358E1" w:rsidRDefault="002C6596" w14:paraId="314D04B0" w14:textId="77777777">
      <w:pPr>
        <w:spacing w:after="0" w:line="360" w:lineRule="auto"/>
        <w:jc w:val="both"/>
        <w:rPr>
          <w:rFonts w:ascii="Verdana" w:hAnsi="Verdana"/>
          <w:sz w:val="24"/>
          <w:szCs w:val="24"/>
        </w:rPr>
      </w:pPr>
      <w:r w:rsidRPr="00C140A0">
        <w:rPr>
          <w:rFonts w:ascii="Verdana" w:hAnsi="Verdana"/>
          <w:sz w:val="24"/>
          <w:szCs w:val="24"/>
        </w:rPr>
        <w:t xml:space="preserve">En el marco de este proceso, se priorizó la consolidación de Grupos Impulsores Territoriales como espacios de articulación y gobernanza colaborativa, así como la identificación de necesidades de fortalecimiento de capacidades y la promoción de herramientas orientadas a facilitar el acceso, comprensión y uso efectivo de la información pública del sector extractivo en los procesos de toma de decisiones territoriales. </w:t>
      </w:r>
    </w:p>
    <w:p w:rsidR="00D62FF4" w:rsidP="005358E1" w:rsidRDefault="00D62FF4" w14:paraId="72B9A036" w14:textId="77777777">
      <w:pPr>
        <w:spacing w:after="0" w:line="360" w:lineRule="auto"/>
        <w:jc w:val="both"/>
        <w:rPr>
          <w:rFonts w:ascii="Verdana" w:hAnsi="Verdana"/>
          <w:sz w:val="24"/>
          <w:szCs w:val="24"/>
        </w:rPr>
      </w:pPr>
    </w:p>
    <w:p w:rsidRPr="00C140A0" w:rsidR="002C6596" w:rsidP="005358E1" w:rsidRDefault="002C6596" w14:paraId="5644345F" w14:textId="77777777">
      <w:pPr>
        <w:spacing w:after="0" w:line="360" w:lineRule="auto"/>
        <w:jc w:val="both"/>
        <w:rPr>
          <w:rFonts w:ascii="Verdana" w:hAnsi="Verdana"/>
          <w:sz w:val="24"/>
          <w:szCs w:val="24"/>
        </w:rPr>
      </w:pPr>
      <w:r w:rsidRPr="00C140A0">
        <w:rPr>
          <w:rFonts w:ascii="Verdana" w:hAnsi="Verdana"/>
          <w:sz w:val="24"/>
          <w:szCs w:val="24"/>
        </w:rPr>
        <w:t xml:space="preserve">Como resultado de esta estrategia, durante el año 2025 se realizaron más de 14 espacios presenciales en los departamentos de Antioquia, Casanare, Cesar y La Guajira, desarrollados a través de talleres, mesas técnicas y jornadas de sensibilización en municipios priorizados. Estas actividades estuvieron enfocadas en el fortalecimiento de capacidades relacionadas con transparencia, acceso a la información, seguimiento a regalías y uso de plataformas públicas del sector minero-energético. De igual manera, durante la vigencia 2025 se avanzó en la identificación y análisis de temas de relevancia territorial y en la caracterización de los principales recursos naturales explotados en los departamentos priorizados, incorporando información sobre empresas operadoras, alcance de proyectos y contribuciones económicas y sociales asociadas a la actividad extractiva. </w:t>
      </w:r>
    </w:p>
    <w:p w:rsidRPr="00C140A0" w:rsidR="002C6596" w:rsidP="005358E1" w:rsidRDefault="002C6596" w14:paraId="119A0AFD" w14:textId="77777777">
      <w:pPr>
        <w:spacing w:after="0" w:line="360" w:lineRule="auto"/>
        <w:jc w:val="both"/>
        <w:rPr>
          <w:rFonts w:ascii="Verdana" w:hAnsi="Verdana"/>
          <w:sz w:val="24"/>
          <w:szCs w:val="24"/>
        </w:rPr>
      </w:pPr>
    </w:p>
    <w:p w:rsidRPr="00C140A0" w:rsidR="002C6596" w:rsidP="005358E1" w:rsidRDefault="002C6596" w14:paraId="5DA443A8" w14:textId="77777777">
      <w:pPr>
        <w:spacing w:after="0" w:line="360" w:lineRule="auto"/>
        <w:jc w:val="both"/>
        <w:rPr>
          <w:rFonts w:ascii="Verdana" w:hAnsi="Verdana"/>
          <w:sz w:val="24"/>
          <w:szCs w:val="24"/>
        </w:rPr>
      </w:pPr>
      <w:r w:rsidRPr="00C140A0">
        <w:rPr>
          <w:rFonts w:ascii="Verdana" w:hAnsi="Verdana"/>
          <w:sz w:val="24"/>
          <w:szCs w:val="24"/>
        </w:rPr>
        <w:t>Como resultado de este proceso, a finales del 2025 se entregaron cuatro diagnósticos territoriales correspondientes a los departamentos de Antioquia, Casanare, Cesar y La Guajira, concertados con el Comité Tripartito Nacional y concebidos como insumo técnico para la implementación de la Estrategia Territorial EITI en las siguientes vigencias. Este resultado representó un avance significativo frente a las metas inicialmente previstas en el proyecto de inversión, al lograrse la elaboración de cuatro documentos territoriales en lugar de uno, gracias al fortalecimiento del relacionamiento territorial, las economías de escala y la consolidación de capacidades técnicas durante la ejecución del componente.</w:t>
      </w:r>
    </w:p>
    <w:p w:rsidRPr="00C140A0" w:rsidR="002C6596" w:rsidP="005358E1" w:rsidRDefault="002C6596" w14:paraId="01C46345" w14:textId="77777777">
      <w:pPr>
        <w:spacing w:after="0" w:line="360" w:lineRule="auto"/>
        <w:jc w:val="both"/>
        <w:rPr>
          <w:rFonts w:ascii="Verdana" w:hAnsi="Verdana"/>
          <w:sz w:val="24"/>
          <w:szCs w:val="24"/>
        </w:rPr>
      </w:pPr>
    </w:p>
    <w:p w:rsidRPr="00C140A0" w:rsidR="002C6596" w:rsidP="005358E1" w:rsidRDefault="002C6596" w14:paraId="6620FC5F" w14:textId="77777777">
      <w:pPr>
        <w:spacing w:after="0" w:line="360" w:lineRule="auto"/>
        <w:jc w:val="both"/>
        <w:rPr>
          <w:rFonts w:ascii="Verdana" w:hAnsi="Verdana"/>
          <w:sz w:val="24"/>
          <w:szCs w:val="24"/>
        </w:rPr>
      </w:pPr>
      <w:r w:rsidRPr="00C140A0">
        <w:rPr>
          <w:rFonts w:ascii="Verdana" w:hAnsi="Verdana"/>
          <w:sz w:val="24"/>
          <w:szCs w:val="24"/>
        </w:rPr>
        <w:t>Finalmente, durante la vigencia 2026 se dio continuidad al proceso de implementación territorial mediante espacios de articulación y diálogo virtuales y presenciales con actores de Antioquia, Casanare, Cesar, La Guajira y Caldas. En este marco se destacaron las jornadas desarrolladas en Marmato y Segovia, orientadas a consolidar agendas territoriales relacionadas con transparencia, formalización minera, sostenibilidad ambiental y participación ciudadana. Estas acciones permitieron fortalecer la gobernanza colaborativa en el ámbito subnacional y consolidar una hoja de ruta territorial orientada a la construcción de confianza, el fortalecimiento institucional y la transparencia del sector extractivo en los territorios.</w:t>
      </w:r>
    </w:p>
    <w:p w:rsidRPr="00C140A0" w:rsidR="002C6596" w:rsidP="005358E1" w:rsidRDefault="002C6596" w14:paraId="1A7EAC19" w14:textId="77777777">
      <w:pPr>
        <w:spacing w:after="0" w:line="360" w:lineRule="auto"/>
        <w:jc w:val="both"/>
        <w:rPr>
          <w:rFonts w:ascii="Verdana" w:hAnsi="Verdana"/>
          <w:sz w:val="24"/>
          <w:szCs w:val="24"/>
        </w:rPr>
      </w:pPr>
    </w:p>
    <w:p w:rsidRPr="00C140A0" w:rsidR="002C6596" w:rsidP="005358E1" w:rsidRDefault="002C6596" w14:paraId="089CEE90" w14:textId="77777777">
      <w:pPr>
        <w:spacing w:after="0" w:line="360" w:lineRule="auto"/>
        <w:jc w:val="both"/>
        <w:rPr>
          <w:rFonts w:ascii="Verdana" w:hAnsi="Verdana"/>
          <w:b/>
          <w:bCs/>
          <w:sz w:val="24"/>
          <w:szCs w:val="24"/>
        </w:rPr>
      </w:pPr>
      <w:r w:rsidRPr="00C140A0">
        <w:rPr>
          <w:rFonts w:ascii="Verdana" w:hAnsi="Verdana"/>
          <w:b/>
          <w:bCs/>
          <w:sz w:val="24"/>
          <w:szCs w:val="24"/>
        </w:rPr>
        <w:t>Evolución del Diálogo Multipartícipe</w:t>
      </w:r>
    </w:p>
    <w:p w:rsidR="00D62FF4" w:rsidP="005358E1" w:rsidRDefault="00D62FF4" w14:paraId="0778B5A0" w14:textId="77777777">
      <w:pPr>
        <w:spacing w:after="0" w:line="360" w:lineRule="auto"/>
        <w:jc w:val="both"/>
        <w:rPr>
          <w:rFonts w:ascii="Verdana" w:hAnsi="Verdana"/>
          <w:sz w:val="24"/>
          <w:szCs w:val="24"/>
        </w:rPr>
      </w:pPr>
    </w:p>
    <w:p w:rsidRPr="00C140A0" w:rsidR="002C6596" w:rsidP="005358E1" w:rsidRDefault="002C6596" w14:paraId="3CDC6E27" w14:textId="77777777">
      <w:pPr>
        <w:spacing w:after="0" w:line="360" w:lineRule="auto"/>
        <w:jc w:val="both"/>
        <w:rPr>
          <w:rFonts w:ascii="Verdana" w:hAnsi="Verdana"/>
          <w:sz w:val="24"/>
          <w:szCs w:val="24"/>
        </w:rPr>
      </w:pPr>
      <w:r w:rsidRPr="00C140A0">
        <w:rPr>
          <w:rFonts w:ascii="Verdana" w:hAnsi="Verdana"/>
          <w:sz w:val="24"/>
          <w:szCs w:val="24"/>
        </w:rPr>
        <w:t xml:space="preserve">El diálogo ha trascendido su naturaleza informativa para transformarse en un ejercicio de incidencia estratégica. Durante el periodo 2022-2026, el Comité Tripartito Nacional (CTN) se consolidó como el escenario técnico </w:t>
      </w:r>
      <w:r w:rsidRPr="00C140A0">
        <w:rPr>
          <w:rFonts w:ascii="Verdana" w:hAnsi="Verdana"/>
          <w:sz w:val="24"/>
          <w:szCs w:val="24"/>
        </w:rPr>
        <w:t>por excelencia para abordar temas de alta complejidad, tales como la identificación de beneficiarios finales, el reporte de impactos ambientales y la equidad en la participación de la mujer en la industria. Este dinamismo ha sido impulsado por una agenda intensiva de talleres de co-creación y capacitaciones especializadas, complementada con la visita técnica del Secretariado Internacional de EITI, cuya asesoría directa ha sido fundamental para alinear los procesos de implementación con las exigencias globales del estándar. Estas acciones conjuntas no solo han fortalecido las capacidades técnicas de los actores, sino que han blindado la confianza mutua, permitiendo construir consensos en temas históricamente sensibles para el sector.</w:t>
      </w:r>
    </w:p>
    <w:p w:rsidRPr="00C140A0" w:rsidR="002C6596" w:rsidP="005358E1" w:rsidRDefault="002C6596" w14:paraId="6F7A9C64" w14:textId="77777777">
      <w:pPr>
        <w:spacing w:after="0" w:line="360" w:lineRule="auto"/>
        <w:jc w:val="both"/>
        <w:rPr>
          <w:rFonts w:ascii="Verdana" w:hAnsi="Verdana"/>
          <w:sz w:val="24"/>
          <w:szCs w:val="24"/>
        </w:rPr>
      </w:pPr>
    </w:p>
    <w:p w:rsidRPr="00C140A0" w:rsidR="002C6596" w:rsidP="005358E1" w:rsidRDefault="002C6596" w14:paraId="4DCE9A72" w14:textId="77777777">
      <w:pPr>
        <w:spacing w:after="0" w:line="360" w:lineRule="auto"/>
        <w:jc w:val="both"/>
        <w:rPr>
          <w:rFonts w:ascii="Verdana" w:hAnsi="Verdana"/>
          <w:b/>
          <w:bCs/>
          <w:sz w:val="24"/>
          <w:szCs w:val="24"/>
        </w:rPr>
      </w:pPr>
      <w:r w:rsidRPr="00C140A0">
        <w:rPr>
          <w:rFonts w:ascii="Verdana" w:hAnsi="Verdana"/>
          <w:b/>
          <w:bCs/>
          <w:sz w:val="24"/>
          <w:szCs w:val="24"/>
        </w:rPr>
        <w:t>Prospectiva Estratégica 2025 – 2028</w:t>
      </w:r>
    </w:p>
    <w:p w:rsidR="00CB4CE5" w:rsidP="005358E1" w:rsidRDefault="00CB4CE5" w14:paraId="0A07D378" w14:textId="77777777">
      <w:pPr>
        <w:spacing w:after="0" w:line="360" w:lineRule="auto"/>
        <w:jc w:val="both"/>
        <w:rPr>
          <w:rFonts w:ascii="Verdana" w:hAnsi="Verdana"/>
          <w:sz w:val="24"/>
          <w:szCs w:val="24"/>
        </w:rPr>
      </w:pPr>
    </w:p>
    <w:p w:rsidR="002C6596" w:rsidP="005358E1" w:rsidRDefault="002C6596" w14:paraId="69486414" w14:textId="77777777">
      <w:pPr>
        <w:spacing w:after="0" w:line="360" w:lineRule="auto"/>
        <w:jc w:val="both"/>
        <w:rPr>
          <w:rFonts w:ascii="Verdana" w:hAnsi="Verdana"/>
          <w:sz w:val="24"/>
          <w:szCs w:val="24"/>
        </w:rPr>
      </w:pPr>
      <w:r w:rsidRPr="00C140A0">
        <w:rPr>
          <w:rFonts w:ascii="Verdana" w:hAnsi="Verdana"/>
          <w:sz w:val="24"/>
          <w:szCs w:val="24"/>
        </w:rPr>
        <w:t>El Ministerio ha proyectado la sostenibilidad de la iniciativa mediante dos instrumentos de política pública aprobados en el cierre de esta gestión:</w:t>
      </w:r>
    </w:p>
    <w:p w:rsidRPr="00C140A0" w:rsidR="00D62FF4" w:rsidP="005358E1" w:rsidRDefault="00D62FF4" w14:paraId="19344A08" w14:textId="77777777">
      <w:pPr>
        <w:spacing w:after="0" w:line="360" w:lineRule="auto"/>
        <w:jc w:val="both"/>
        <w:rPr>
          <w:rFonts w:ascii="Verdana" w:hAnsi="Verdana"/>
          <w:sz w:val="24"/>
          <w:szCs w:val="24"/>
        </w:rPr>
      </w:pPr>
    </w:p>
    <w:p w:rsidRPr="00C140A0" w:rsidR="002C6596" w:rsidRDefault="002C6596" w14:paraId="0608C491" w14:textId="77777777">
      <w:pPr>
        <w:pStyle w:val="Prrafodelista"/>
        <w:numPr>
          <w:ilvl w:val="0"/>
          <w:numId w:val="48"/>
        </w:numPr>
        <w:spacing w:after="0" w:line="360" w:lineRule="auto"/>
        <w:jc w:val="both"/>
        <w:rPr>
          <w:rFonts w:ascii="Verdana" w:hAnsi="Verdana"/>
          <w:sz w:val="24"/>
          <w:szCs w:val="24"/>
        </w:rPr>
      </w:pPr>
      <w:r w:rsidRPr="00C140A0">
        <w:rPr>
          <w:rFonts w:ascii="Verdana" w:hAnsi="Verdana"/>
          <w:sz w:val="24"/>
          <w:szCs w:val="24"/>
        </w:rPr>
        <w:t>Plan Nacional de Acción (PNA) 2025–2028.</w:t>
      </w:r>
    </w:p>
    <w:p w:rsidRPr="00C140A0" w:rsidR="002C6596" w:rsidP="005358E1" w:rsidRDefault="002C6596" w14:paraId="19698FDF" w14:textId="77777777">
      <w:pPr>
        <w:spacing w:after="0" w:line="360" w:lineRule="auto"/>
        <w:jc w:val="both"/>
        <w:rPr>
          <w:rFonts w:ascii="Verdana" w:hAnsi="Verdana"/>
          <w:sz w:val="24"/>
          <w:szCs w:val="24"/>
        </w:rPr>
      </w:pPr>
      <w:r w:rsidRPr="00C140A0">
        <w:rPr>
          <w:rFonts w:ascii="Verdana" w:hAnsi="Verdana"/>
          <w:sz w:val="24"/>
          <w:szCs w:val="24"/>
        </w:rPr>
        <w:t xml:space="preserve">Este plan sistematiza los compromisos del Estado para automatizar la captura de datos (divulgación sistemática) y reducir los tiempos de publicación de la </w:t>
      </w:r>
      <w:r w:rsidRPr="00C140A0" w:rsidR="00B24BE0">
        <w:rPr>
          <w:rFonts w:ascii="Verdana" w:hAnsi="Verdana"/>
          <w:sz w:val="24"/>
          <w:szCs w:val="24"/>
        </w:rPr>
        <w:t>información del</w:t>
      </w:r>
      <w:r w:rsidRPr="00C140A0">
        <w:rPr>
          <w:rFonts w:ascii="Verdana" w:hAnsi="Verdana"/>
          <w:sz w:val="24"/>
          <w:szCs w:val="24"/>
        </w:rPr>
        <w:t xml:space="preserve"> sector.</w:t>
      </w:r>
    </w:p>
    <w:p w:rsidRPr="00C140A0" w:rsidR="002C6596" w:rsidP="005358E1" w:rsidRDefault="002C6596" w14:paraId="01C12366" w14:textId="77777777">
      <w:pPr>
        <w:spacing w:after="0" w:line="360" w:lineRule="auto"/>
        <w:jc w:val="both"/>
        <w:rPr>
          <w:rFonts w:ascii="Verdana" w:hAnsi="Verdana"/>
          <w:sz w:val="24"/>
          <w:szCs w:val="24"/>
        </w:rPr>
      </w:pPr>
    </w:p>
    <w:p w:rsidRPr="00C140A0" w:rsidR="002C6596" w:rsidRDefault="002C6596" w14:paraId="6977BB2C" w14:textId="77777777">
      <w:pPr>
        <w:pStyle w:val="Prrafodelista"/>
        <w:numPr>
          <w:ilvl w:val="0"/>
          <w:numId w:val="48"/>
        </w:numPr>
        <w:spacing w:after="0" w:line="360" w:lineRule="auto"/>
        <w:jc w:val="both"/>
        <w:rPr>
          <w:rFonts w:ascii="Verdana" w:hAnsi="Verdana"/>
          <w:sz w:val="24"/>
          <w:szCs w:val="24"/>
        </w:rPr>
      </w:pPr>
      <w:r w:rsidRPr="00C140A0">
        <w:rPr>
          <w:rFonts w:ascii="Verdana" w:hAnsi="Verdana"/>
          <w:sz w:val="24"/>
          <w:szCs w:val="24"/>
        </w:rPr>
        <w:t>Estrategia Territorial EITI. Reconociendo que la transparencia es vital en los territorios, esta estrategia busca:</w:t>
      </w:r>
    </w:p>
    <w:p w:rsidRPr="00C140A0" w:rsidR="002C6596" w:rsidRDefault="002C6596" w14:paraId="31546CE4" w14:textId="77777777">
      <w:pPr>
        <w:pStyle w:val="Prrafodelista"/>
        <w:numPr>
          <w:ilvl w:val="0"/>
          <w:numId w:val="47"/>
        </w:numPr>
        <w:spacing w:after="0" w:line="360" w:lineRule="auto"/>
        <w:jc w:val="both"/>
        <w:rPr>
          <w:rFonts w:ascii="Verdana" w:hAnsi="Verdana"/>
          <w:sz w:val="24"/>
          <w:szCs w:val="24"/>
        </w:rPr>
      </w:pPr>
      <w:r w:rsidRPr="00C140A0">
        <w:rPr>
          <w:rFonts w:ascii="Verdana" w:hAnsi="Verdana"/>
          <w:sz w:val="24"/>
          <w:szCs w:val="24"/>
        </w:rPr>
        <w:t>Traducir datos complejos a lenguajes ciudadanos para las comunidades locales.</w:t>
      </w:r>
    </w:p>
    <w:p w:rsidRPr="00C140A0" w:rsidR="002C6596" w:rsidRDefault="002C6596" w14:paraId="0EE23282" w14:textId="77777777">
      <w:pPr>
        <w:pStyle w:val="Prrafodelista"/>
        <w:numPr>
          <w:ilvl w:val="0"/>
          <w:numId w:val="47"/>
        </w:numPr>
        <w:spacing w:after="0" w:line="360" w:lineRule="auto"/>
        <w:jc w:val="both"/>
        <w:rPr>
          <w:rFonts w:ascii="Verdana" w:hAnsi="Verdana"/>
          <w:sz w:val="24"/>
          <w:szCs w:val="24"/>
        </w:rPr>
      </w:pPr>
      <w:r w:rsidRPr="00C140A0">
        <w:rPr>
          <w:rFonts w:ascii="Verdana" w:hAnsi="Verdana"/>
          <w:sz w:val="24"/>
          <w:szCs w:val="24"/>
        </w:rPr>
        <w:t>Capacitar a líderes regionales e integrar los grupos impulsores territoriales de EITI.</w:t>
      </w:r>
    </w:p>
    <w:p w:rsidRPr="00C140A0" w:rsidR="002C6596" w:rsidRDefault="002C6596" w14:paraId="16B86A3D" w14:textId="77777777">
      <w:pPr>
        <w:pStyle w:val="Prrafodelista"/>
        <w:numPr>
          <w:ilvl w:val="0"/>
          <w:numId w:val="47"/>
        </w:numPr>
        <w:spacing w:after="0" w:line="360" w:lineRule="auto"/>
        <w:jc w:val="both"/>
        <w:rPr>
          <w:rFonts w:ascii="Verdana" w:hAnsi="Verdana"/>
          <w:sz w:val="24"/>
          <w:szCs w:val="24"/>
        </w:rPr>
      </w:pPr>
      <w:r w:rsidRPr="00C140A0">
        <w:rPr>
          <w:rFonts w:ascii="Verdana" w:hAnsi="Verdana"/>
          <w:sz w:val="24"/>
          <w:szCs w:val="24"/>
        </w:rPr>
        <w:t>Reducir la asimetría de información en las zonas de influencia directa de los proyectos.</w:t>
      </w:r>
    </w:p>
    <w:p w:rsidRPr="00C140A0" w:rsidR="00B24BE0" w:rsidP="005358E1" w:rsidRDefault="00B24BE0" w14:paraId="3BD064CD" w14:textId="77777777">
      <w:pPr>
        <w:spacing w:after="0" w:line="360" w:lineRule="auto"/>
        <w:jc w:val="both"/>
        <w:rPr>
          <w:rFonts w:ascii="Verdana" w:hAnsi="Verdana"/>
          <w:sz w:val="24"/>
          <w:szCs w:val="24"/>
        </w:rPr>
      </w:pPr>
    </w:p>
    <w:p w:rsidRPr="00C140A0" w:rsidR="002C6596" w:rsidP="005358E1" w:rsidRDefault="002C6596" w14:paraId="44B7E09E" w14:textId="77777777">
      <w:pPr>
        <w:spacing w:after="0" w:line="360" w:lineRule="auto"/>
        <w:jc w:val="both"/>
        <w:rPr>
          <w:rFonts w:ascii="Verdana" w:hAnsi="Verdana"/>
          <w:b/>
          <w:bCs/>
          <w:sz w:val="24"/>
          <w:szCs w:val="24"/>
        </w:rPr>
      </w:pPr>
      <w:r w:rsidRPr="00C140A0">
        <w:rPr>
          <w:rFonts w:ascii="Verdana" w:hAnsi="Verdana"/>
          <w:b/>
          <w:bCs/>
          <w:sz w:val="24"/>
          <w:szCs w:val="24"/>
        </w:rPr>
        <w:t xml:space="preserve">Desafíos y la nueva agenda de transparencia. </w:t>
      </w:r>
    </w:p>
    <w:p w:rsidR="00D62FF4" w:rsidP="005358E1" w:rsidRDefault="00D62FF4" w14:paraId="5D30E690" w14:textId="77777777">
      <w:pPr>
        <w:spacing w:after="0" w:line="360" w:lineRule="auto"/>
        <w:jc w:val="both"/>
        <w:rPr>
          <w:rFonts w:ascii="Verdana" w:hAnsi="Verdana"/>
          <w:sz w:val="24"/>
          <w:szCs w:val="24"/>
        </w:rPr>
      </w:pPr>
    </w:p>
    <w:p w:rsidRPr="00C140A0" w:rsidR="002C6596" w:rsidP="005358E1" w:rsidRDefault="002C6596" w14:paraId="380A01FF" w14:textId="77777777">
      <w:pPr>
        <w:spacing w:after="0" w:line="360" w:lineRule="auto"/>
        <w:jc w:val="both"/>
        <w:rPr>
          <w:rFonts w:ascii="Verdana" w:hAnsi="Verdana"/>
          <w:sz w:val="24"/>
          <w:szCs w:val="24"/>
        </w:rPr>
      </w:pPr>
      <w:r w:rsidRPr="00C140A0">
        <w:rPr>
          <w:rFonts w:ascii="Verdana" w:hAnsi="Verdana"/>
          <w:sz w:val="24"/>
          <w:szCs w:val="24"/>
        </w:rPr>
        <w:t>Mirando hacia el futuro, el Ministerio identifica cuatro ejes críticos:</w:t>
      </w:r>
    </w:p>
    <w:p w:rsidRPr="00C140A0" w:rsidR="002C6596" w:rsidRDefault="002C6596" w14:paraId="72FB6BC0" w14:textId="77777777">
      <w:pPr>
        <w:pStyle w:val="Prrafodelista"/>
        <w:numPr>
          <w:ilvl w:val="1"/>
          <w:numId w:val="49"/>
        </w:numPr>
        <w:spacing w:after="0" w:line="360" w:lineRule="auto"/>
        <w:jc w:val="both"/>
        <w:rPr>
          <w:rFonts w:ascii="Verdana" w:hAnsi="Verdana"/>
          <w:sz w:val="24"/>
          <w:szCs w:val="24"/>
        </w:rPr>
      </w:pPr>
      <w:r w:rsidRPr="00C140A0">
        <w:rPr>
          <w:rFonts w:ascii="Verdana" w:hAnsi="Verdana"/>
          <w:sz w:val="24"/>
          <w:szCs w:val="24"/>
        </w:rPr>
        <w:t>Transición Energética Justa: Integrar los datos de minerales críticos en los reportes de transparencia.</w:t>
      </w:r>
    </w:p>
    <w:p w:rsidRPr="00C140A0" w:rsidR="002C6596" w:rsidRDefault="002C6596" w14:paraId="326195F8" w14:textId="77777777">
      <w:pPr>
        <w:pStyle w:val="Prrafodelista"/>
        <w:numPr>
          <w:ilvl w:val="1"/>
          <w:numId w:val="49"/>
        </w:numPr>
        <w:spacing w:after="0" w:line="360" w:lineRule="auto"/>
        <w:jc w:val="both"/>
        <w:rPr>
          <w:rFonts w:ascii="Verdana" w:hAnsi="Verdana"/>
          <w:sz w:val="24"/>
          <w:szCs w:val="24"/>
        </w:rPr>
      </w:pPr>
      <w:r w:rsidRPr="00C140A0">
        <w:rPr>
          <w:rFonts w:ascii="Verdana" w:hAnsi="Verdana"/>
          <w:sz w:val="24"/>
          <w:szCs w:val="24"/>
        </w:rPr>
        <w:t>Transparencia Ambiental: Reportar con mayor precisión los pagos relacionados con licencias y compensaciones ambientales.</w:t>
      </w:r>
    </w:p>
    <w:p w:rsidRPr="00C140A0" w:rsidR="002C6596" w:rsidRDefault="002C6596" w14:paraId="64C31040" w14:textId="77777777">
      <w:pPr>
        <w:pStyle w:val="Prrafodelista"/>
        <w:numPr>
          <w:ilvl w:val="1"/>
          <w:numId w:val="49"/>
        </w:numPr>
        <w:spacing w:after="0" w:line="360" w:lineRule="auto"/>
        <w:jc w:val="both"/>
        <w:rPr>
          <w:rFonts w:ascii="Verdana" w:hAnsi="Verdana"/>
          <w:sz w:val="24"/>
          <w:szCs w:val="24"/>
        </w:rPr>
      </w:pPr>
      <w:r w:rsidRPr="00C140A0">
        <w:rPr>
          <w:rFonts w:ascii="Verdana" w:hAnsi="Verdana"/>
          <w:sz w:val="24"/>
          <w:szCs w:val="24"/>
        </w:rPr>
        <w:t xml:space="preserve">Digitalización: Migrar de informes estáticos a plataformas de datos abiertos en tiempo real que mejore la comunicación hacia los territorios </w:t>
      </w:r>
    </w:p>
    <w:p w:rsidRPr="00C140A0" w:rsidR="002C6596" w:rsidRDefault="002C6596" w14:paraId="2A535A31" w14:textId="77777777">
      <w:pPr>
        <w:pStyle w:val="Prrafodelista"/>
        <w:numPr>
          <w:ilvl w:val="1"/>
          <w:numId w:val="49"/>
        </w:numPr>
        <w:spacing w:after="0" w:line="360" w:lineRule="auto"/>
        <w:jc w:val="both"/>
        <w:rPr>
          <w:rFonts w:ascii="Verdana" w:hAnsi="Verdana"/>
          <w:sz w:val="24"/>
          <w:szCs w:val="24"/>
        </w:rPr>
      </w:pPr>
      <w:r w:rsidRPr="00C140A0">
        <w:rPr>
          <w:rFonts w:ascii="Verdana" w:hAnsi="Verdana"/>
          <w:sz w:val="24"/>
          <w:szCs w:val="24"/>
        </w:rPr>
        <w:t>Enfoque de Género: Visibilizar la brecha de género y la participación femenina en la fuerza laboral extractiva.</w:t>
      </w:r>
    </w:p>
    <w:p w:rsidR="00CB4CE5" w:rsidP="005358E1" w:rsidRDefault="00CB4CE5" w14:paraId="5AB7D5B4" w14:textId="77777777">
      <w:pPr>
        <w:spacing w:after="0" w:line="360" w:lineRule="auto"/>
        <w:jc w:val="both"/>
        <w:rPr>
          <w:rFonts w:ascii="Verdana" w:hAnsi="Verdana"/>
          <w:sz w:val="24"/>
          <w:szCs w:val="24"/>
        </w:rPr>
      </w:pPr>
    </w:p>
    <w:p w:rsidRPr="00C140A0" w:rsidR="002C6596" w:rsidP="005358E1" w:rsidRDefault="002C6596" w14:paraId="598E344E" w14:textId="77777777">
      <w:pPr>
        <w:spacing w:after="0" w:line="360" w:lineRule="auto"/>
        <w:jc w:val="both"/>
        <w:rPr>
          <w:rFonts w:ascii="Verdana" w:hAnsi="Verdana"/>
          <w:sz w:val="24"/>
          <w:szCs w:val="24"/>
        </w:rPr>
      </w:pPr>
      <w:r w:rsidRPr="00C140A0">
        <w:rPr>
          <w:rFonts w:ascii="Verdana" w:hAnsi="Verdana"/>
          <w:sz w:val="24"/>
          <w:szCs w:val="24"/>
        </w:rPr>
        <w:t>La gestión 2022-2026 reafirma que EITI Colombia es el estándar para la transparencia sectorial. El liderazgo del Ministerio de Minas y Energía ha permitido que la información no solo sea pública, sino útil para el desarrollo sostenible. Con la aprobación de la hoja de ruta 2025-2028, el país asegura una transición hacia una gobernanza extractiva más justa, territorializada y resiliente ante los cambios globales del sector energético.</w:t>
      </w:r>
    </w:p>
    <w:p w:rsidR="00D62FF4" w:rsidP="005358E1" w:rsidRDefault="00D62FF4" w14:paraId="3F796CFA" w14:textId="77777777">
      <w:pPr>
        <w:spacing w:after="0" w:line="360" w:lineRule="auto"/>
        <w:jc w:val="both"/>
        <w:rPr>
          <w:rFonts w:ascii="Verdana" w:hAnsi="Verdana"/>
          <w:sz w:val="24"/>
          <w:szCs w:val="24"/>
        </w:rPr>
      </w:pPr>
    </w:p>
    <w:p w:rsidRPr="00C140A0" w:rsidR="002C6596" w:rsidP="005358E1" w:rsidRDefault="002C6596" w14:paraId="30568817" w14:textId="77777777">
      <w:pPr>
        <w:spacing w:after="0" w:line="360" w:lineRule="auto"/>
        <w:jc w:val="both"/>
        <w:rPr>
          <w:rFonts w:ascii="Verdana" w:hAnsi="Verdana"/>
          <w:sz w:val="24"/>
          <w:szCs w:val="24"/>
        </w:rPr>
      </w:pPr>
      <w:r w:rsidRPr="00C140A0">
        <w:rPr>
          <w:rFonts w:ascii="Verdana" w:hAnsi="Verdana"/>
          <w:sz w:val="24"/>
          <w:szCs w:val="24"/>
        </w:rPr>
        <w:t xml:space="preserve">Asimismo, La Iniciativa para la Transparencia de las Industrias Extractivas (EITI) se consolida como una herramienta estratégica dentro de la política de transparencia y ética pública del Estado colombiano, al promover estándares internacionales de acceso a la información, rendición de cuentas y participación ciudadana en uno de los sectores más sensibles para la gestión pública: el sector minero-energético. En articulación con los principios impulsados desde la Presidencia de la República en materia de integridad, lucha contra la corrupción y fortalecimiento institucional, </w:t>
      </w:r>
      <w:r w:rsidRPr="00C140A0">
        <w:rPr>
          <w:rFonts w:ascii="Verdana" w:hAnsi="Verdana"/>
          <w:sz w:val="24"/>
          <w:szCs w:val="24"/>
        </w:rPr>
        <w:t xml:space="preserve">EITI contribuye a garantizar la divulgación sistemática de información sobre ingresos, pagos, contratos, beneficiarios reales y gobernanza de los recursos naturales, fortaleciendo la confianza entre ciudadanía, Estado e industria. </w:t>
      </w:r>
    </w:p>
    <w:p w:rsidR="00D62FF4" w:rsidP="005358E1" w:rsidRDefault="00D62FF4" w14:paraId="02AFA8F6" w14:textId="77777777">
      <w:pPr>
        <w:spacing w:after="0" w:line="360" w:lineRule="auto"/>
        <w:jc w:val="both"/>
        <w:rPr>
          <w:rFonts w:ascii="Verdana" w:hAnsi="Verdana"/>
          <w:sz w:val="24"/>
          <w:szCs w:val="24"/>
        </w:rPr>
      </w:pPr>
    </w:p>
    <w:p w:rsidRPr="00C140A0" w:rsidR="002C6596" w:rsidP="005358E1" w:rsidRDefault="002C6596" w14:paraId="27F1873D" w14:textId="77777777">
      <w:pPr>
        <w:spacing w:after="0" w:line="360" w:lineRule="auto"/>
        <w:jc w:val="both"/>
        <w:rPr>
          <w:rFonts w:ascii="Verdana" w:hAnsi="Verdana"/>
          <w:sz w:val="24"/>
          <w:szCs w:val="24"/>
        </w:rPr>
      </w:pPr>
      <w:r w:rsidRPr="00C140A0">
        <w:rPr>
          <w:rFonts w:ascii="Verdana" w:hAnsi="Verdana"/>
          <w:sz w:val="24"/>
          <w:szCs w:val="24"/>
        </w:rPr>
        <w:t>Así mismo, su modelo multipartícipe promueve el diálogo democrático y el control social, convirtiéndose en un mecanismo clave para avanzar hacia una gestión pública más abierta, participativa, ética y orientada al desarrollo sostenible de los territorios.</w:t>
      </w:r>
    </w:p>
    <w:p w:rsidRPr="00C140A0" w:rsidR="003C4398" w:rsidP="005358E1" w:rsidRDefault="003C4398" w14:paraId="77DDE688" w14:textId="77777777">
      <w:pPr>
        <w:spacing w:after="0" w:line="360" w:lineRule="auto"/>
        <w:outlineLvl w:val="0"/>
        <w:rPr>
          <w:rFonts w:ascii="Verdana" w:hAnsi="Verdana"/>
          <w:b/>
          <w:bCs/>
          <w:sz w:val="24"/>
          <w:szCs w:val="24"/>
        </w:rPr>
      </w:pPr>
    </w:p>
    <w:p w:rsidRPr="00C140A0" w:rsidR="00350C38" w:rsidRDefault="00A82055" w14:paraId="16E1E92B" w14:textId="77777777">
      <w:pPr>
        <w:pStyle w:val="Prrafodelista"/>
        <w:numPr>
          <w:ilvl w:val="0"/>
          <w:numId w:val="95"/>
        </w:numPr>
        <w:spacing w:after="0" w:line="360" w:lineRule="auto"/>
        <w:outlineLvl w:val="0"/>
        <w:rPr>
          <w:rFonts w:ascii="Verdana" w:hAnsi="Verdana"/>
          <w:b/>
          <w:bCs/>
          <w:sz w:val="24"/>
          <w:szCs w:val="24"/>
        </w:rPr>
      </w:pPr>
      <w:bookmarkStart w:name="_Toc233996767" w:id="50"/>
      <w:r w:rsidRPr="00C140A0">
        <w:rPr>
          <w:rFonts w:ascii="Verdana" w:hAnsi="Verdana"/>
          <w:b/>
          <w:bCs/>
          <w:sz w:val="24"/>
          <w:szCs w:val="24"/>
        </w:rPr>
        <w:t xml:space="preserve">Gestión de </w:t>
      </w:r>
      <w:r w:rsidR="00CB4CE5">
        <w:rPr>
          <w:rFonts w:ascii="Verdana" w:hAnsi="Verdana"/>
          <w:b/>
          <w:bCs/>
          <w:sz w:val="24"/>
          <w:szCs w:val="24"/>
        </w:rPr>
        <w:t>C</w:t>
      </w:r>
      <w:r w:rsidRPr="00C140A0">
        <w:rPr>
          <w:rFonts w:ascii="Verdana" w:hAnsi="Verdana"/>
          <w:b/>
          <w:bCs/>
          <w:sz w:val="24"/>
          <w:szCs w:val="24"/>
        </w:rPr>
        <w:t>omunicaciones</w:t>
      </w:r>
      <w:bookmarkEnd w:id="50"/>
    </w:p>
    <w:p w:rsidRPr="00C140A0" w:rsidR="00350C38" w:rsidP="005358E1" w:rsidRDefault="00350C38" w14:paraId="73BAD08A" w14:textId="77777777">
      <w:pPr>
        <w:spacing w:after="0" w:line="360" w:lineRule="auto"/>
        <w:outlineLvl w:val="0"/>
        <w:rPr>
          <w:rFonts w:ascii="Verdana" w:hAnsi="Verdana"/>
          <w:b/>
          <w:bCs/>
          <w:sz w:val="24"/>
          <w:szCs w:val="24"/>
        </w:rPr>
      </w:pPr>
    </w:p>
    <w:p w:rsidRPr="00C140A0" w:rsidR="00350C38" w:rsidP="005358E1" w:rsidRDefault="00350C38" w14:paraId="60DF27A1" w14:textId="77777777">
      <w:pPr>
        <w:spacing w:after="0" w:line="360" w:lineRule="auto"/>
        <w:jc w:val="both"/>
        <w:rPr>
          <w:rFonts w:ascii="Verdana" w:hAnsi="Verdana"/>
          <w:sz w:val="24"/>
          <w:szCs w:val="24"/>
        </w:rPr>
      </w:pPr>
      <w:r w:rsidRPr="00C140A0">
        <w:rPr>
          <w:rFonts w:ascii="Verdana" w:hAnsi="Verdana"/>
          <w:sz w:val="24"/>
          <w:szCs w:val="24"/>
        </w:rPr>
        <w:t>En el marco del fortalecimiento institucional del Ministerio de Minas y Energía, durante el año 2023 se llevó a cabo la reorganización de los grupos internos de trabajo, conforme a lo establecido en la Resolución 00631 de 2023, artículo 1, numeral 1.5, mediante la cual se definieron las funciones y responsabilidades del Grupo de Comunicaciones y Prensa (GCP).</w:t>
      </w:r>
    </w:p>
    <w:p w:rsidR="00D62FF4" w:rsidP="005358E1" w:rsidRDefault="00D62FF4" w14:paraId="6C004219" w14:textId="77777777">
      <w:pPr>
        <w:spacing w:after="0" w:line="360" w:lineRule="auto"/>
        <w:jc w:val="both"/>
        <w:rPr>
          <w:rFonts w:ascii="Verdana" w:hAnsi="Verdana"/>
          <w:sz w:val="24"/>
          <w:szCs w:val="24"/>
        </w:rPr>
      </w:pPr>
    </w:p>
    <w:p w:rsidRPr="00C140A0" w:rsidR="00350C38" w:rsidP="005358E1" w:rsidRDefault="00350C38" w14:paraId="60F4A786" w14:textId="77777777">
      <w:pPr>
        <w:spacing w:after="0" w:line="360" w:lineRule="auto"/>
        <w:jc w:val="both"/>
        <w:rPr>
          <w:rFonts w:ascii="Verdana" w:hAnsi="Verdana"/>
          <w:sz w:val="24"/>
          <w:szCs w:val="24"/>
        </w:rPr>
      </w:pPr>
      <w:r w:rsidRPr="00C140A0">
        <w:rPr>
          <w:rFonts w:ascii="Verdana" w:hAnsi="Verdana"/>
          <w:sz w:val="24"/>
          <w:szCs w:val="24"/>
        </w:rPr>
        <w:t>A partir de esta reorganización, el Grupo de Comunicaciones y Prensa asumió el liderazgo estratégico de las acciones de comunicación institucional del Ministerio, orientadas a posicionar, divulgar y socializar las políticas, programas y avances del sector minero-energético ante la ciudadanía, los medios de comunicación y los diferentes grupos de interés.</w:t>
      </w:r>
    </w:p>
    <w:p w:rsidR="00D62FF4" w:rsidP="005358E1" w:rsidRDefault="00D62FF4" w14:paraId="24CBB5FE" w14:textId="77777777">
      <w:pPr>
        <w:spacing w:after="0" w:line="360" w:lineRule="auto"/>
        <w:jc w:val="both"/>
        <w:rPr>
          <w:rFonts w:ascii="Verdana" w:hAnsi="Verdana"/>
          <w:sz w:val="24"/>
          <w:szCs w:val="24"/>
        </w:rPr>
      </w:pPr>
    </w:p>
    <w:p w:rsidRPr="00C140A0" w:rsidR="00350C38" w:rsidP="005358E1" w:rsidRDefault="00350C38" w14:paraId="3611A3D8" w14:textId="77777777">
      <w:pPr>
        <w:spacing w:after="0" w:line="360" w:lineRule="auto"/>
        <w:jc w:val="both"/>
        <w:rPr>
          <w:rFonts w:ascii="Verdana" w:hAnsi="Verdana"/>
          <w:sz w:val="24"/>
          <w:szCs w:val="24"/>
        </w:rPr>
      </w:pPr>
      <w:r w:rsidRPr="00C140A0">
        <w:rPr>
          <w:rFonts w:ascii="Verdana" w:hAnsi="Verdana"/>
          <w:sz w:val="24"/>
          <w:szCs w:val="24"/>
        </w:rPr>
        <w:t xml:space="preserve">Dentro de las funciones asignadas al GCP se destacan la asesoría a la Alta Dirección en la implementación del Plan Estratégico de Comunicaciones; el fortalecimiento de la imagen institucional; la coordinación de estrategias de divulgación en medios tradicionales y digitales; el </w:t>
      </w:r>
      <w:r w:rsidRPr="00C140A0">
        <w:rPr>
          <w:rFonts w:ascii="Verdana" w:hAnsi="Verdana"/>
          <w:sz w:val="24"/>
          <w:szCs w:val="24"/>
        </w:rPr>
        <w:t>desarrollo de canales de comunicación interna; la producción de contenidos impresos, audiovisuales y multimedia; así como la generación de mecanismos de comunicación que permitan fortalecer la cultura organizacional y garantizar un flujo de información claro, oportuno y transparente.</w:t>
      </w:r>
    </w:p>
    <w:p w:rsidR="00D62FF4" w:rsidP="005358E1" w:rsidRDefault="00D62FF4" w14:paraId="5DC775C0" w14:textId="77777777">
      <w:pPr>
        <w:spacing w:after="0" w:line="360" w:lineRule="auto"/>
        <w:jc w:val="both"/>
        <w:rPr>
          <w:rFonts w:ascii="Verdana" w:hAnsi="Verdana"/>
          <w:sz w:val="24"/>
          <w:szCs w:val="24"/>
        </w:rPr>
      </w:pPr>
    </w:p>
    <w:p w:rsidRPr="00C140A0" w:rsidR="00350C38" w:rsidP="005358E1" w:rsidRDefault="55D54590" w14:paraId="47FD3040" w14:textId="77777777">
      <w:pPr>
        <w:spacing w:after="0" w:line="360" w:lineRule="auto"/>
        <w:jc w:val="both"/>
        <w:rPr>
          <w:rFonts w:ascii="Verdana" w:hAnsi="Verdana"/>
          <w:sz w:val="24"/>
          <w:szCs w:val="24"/>
        </w:rPr>
      </w:pPr>
      <w:r w:rsidRPr="180099B3">
        <w:rPr>
          <w:rFonts w:ascii="Verdana" w:hAnsi="Verdana"/>
          <w:sz w:val="24"/>
          <w:szCs w:val="24"/>
        </w:rPr>
        <w:t>En cumplimiento de estas responsabilidades, el Grupo de Comunicaciones y Prensa estructuró su gestión sobre dos grandes ejes estratégicos: Comunicaciones Externas y Comunicaciones Internas. A través de estos componentes se diseñaron e implementaron estrategias orientadas tanto al posicionamiento institucional y relacionamiento con medios y ciudadanía, como al fortalecimiento de la comunicación organizacional al interior de la entidad.</w:t>
      </w:r>
    </w:p>
    <w:p w:rsidR="180099B3" w:rsidP="005358E1" w:rsidRDefault="180099B3" w14:paraId="5730D77F" w14:textId="77777777">
      <w:pPr>
        <w:spacing w:after="0" w:line="360" w:lineRule="auto"/>
        <w:jc w:val="both"/>
        <w:rPr>
          <w:rFonts w:ascii="Verdana" w:hAnsi="Verdana"/>
          <w:sz w:val="24"/>
          <w:szCs w:val="24"/>
        </w:rPr>
      </w:pPr>
    </w:p>
    <w:p w:rsidRPr="00C140A0" w:rsidR="00350C38" w:rsidP="005358E1" w:rsidRDefault="00350C38" w14:paraId="07C81196" w14:textId="77777777">
      <w:pPr>
        <w:spacing w:after="0" w:line="360" w:lineRule="auto"/>
        <w:jc w:val="both"/>
        <w:rPr>
          <w:rFonts w:ascii="Verdana" w:hAnsi="Verdana"/>
          <w:sz w:val="24"/>
          <w:szCs w:val="24"/>
        </w:rPr>
      </w:pPr>
      <w:r w:rsidRPr="00C140A0">
        <w:rPr>
          <w:rFonts w:ascii="Verdana" w:hAnsi="Verdana"/>
          <w:sz w:val="24"/>
          <w:szCs w:val="24"/>
        </w:rPr>
        <w:t>Cabe resaltar que la vigencia 2022 correspondió a un periodo de transición institucional, durante el cual se dio continuidad a los objetivos inicialmente planteados, permitiendo avanzar en la consolidación de las estrategias de comunicación del Ministerio.</w:t>
      </w:r>
    </w:p>
    <w:p w:rsidRPr="00C140A0" w:rsidR="00350C38" w:rsidP="005358E1" w:rsidRDefault="00350C38" w14:paraId="215750EE" w14:textId="77777777">
      <w:pPr>
        <w:spacing w:after="0" w:line="360" w:lineRule="auto"/>
        <w:outlineLvl w:val="0"/>
        <w:rPr>
          <w:rFonts w:ascii="Verdana" w:hAnsi="Verdana"/>
          <w:b/>
          <w:bCs/>
          <w:sz w:val="24"/>
          <w:szCs w:val="24"/>
        </w:rPr>
      </w:pPr>
    </w:p>
    <w:p w:rsidRPr="00C140A0" w:rsidR="003C4398" w:rsidRDefault="003C4398" w14:paraId="2DC87F19" w14:textId="77777777">
      <w:pPr>
        <w:pStyle w:val="Ttulo2"/>
        <w:numPr>
          <w:ilvl w:val="1"/>
          <w:numId w:val="95"/>
        </w:numPr>
        <w:spacing w:before="0" w:after="0" w:line="360" w:lineRule="auto"/>
        <w:rPr>
          <w:rFonts w:ascii="Verdana" w:hAnsi="Verdana"/>
          <w:b/>
          <w:bCs/>
          <w:color w:val="auto"/>
          <w:sz w:val="24"/>
          <w:szCs w:val="24"/>
        </w:rPr>
      </w:pPr>
      <w:bookmarkStart w:name="_Toc233996768" w:id="51"/>
      <w:r w:rsidRPr="00C140A0">
        <w:rPr>
          <w:rFonts w:ascii="Verdana" w:hAnsi="Verdana"/>
          <w:b/>
          <w:bCs/>
          <w:color w:val="auto"/>
          <w:sz w:val="24"/>
          <w:szCs w:val="24"/>
        </w:rPr>
        <w:t>Fortalecimiento de las Comunicaciones Externas</w:t>
      </w:r>
      <w:bookmarkEnd w:id="51"/>
    </w:p>
    <w:p w:rsidRPr="00C140A0" w:rsidR="00350C38" w:rsidP="005358E1" w:rsidRDefault="00350C38" w14:paraId="7FC0A43D" w14:textId="77777777">
      <w:pPr>
        <w:spacing w:after="0" w:line="360" w:lineRule="auto"/>
        <w:rPr>
          <w:rFonts w:ascii="Verdana" w:hAnsi="Verdana"/>
        </w:rPr>
      </w:pPr>
    </w:p>
    <w:p w:rsidRPr="00C140A0" w:rsidR="00350C38" w:rsidP="005358E1" w:rsidRDefault="00350C38" w14:paraId="1C69C747" w14:textId="77777777">
      <w:pPr>
        <w:spacing w:after="0" w:line="360" w:lineRule="auto"/>
        <w:jc w:val="both"/>
        <w:rPr>
          <w:rFonts w:ascii="Verdana" w:hAnsi="Verdana" w:cs="Arial"/>
          <w:sz w:val="24"/>
          <w:szCs w:val="24"/>
        </w:rPr>
      </w:pPr>
      <w:r w:rsidRPr="00C140A0">
        <w:rPr>
          <w:rFonts w:ascii="Verdana" w:hAnsi="Verdana" w:cs="Arial"/>
          <w:sz w:val="24"/>
          <w:szCs w:val="24"/>
        </w:rPr>
        <w:t>Durante el cuatrienio comprendido entre agosto de 2022 a marzo de 2026, el GCP logró ampliar significativamente el alcance y posicionamiento institucional mediante estrategias de prensa, campañas de comunicación, ruedas de medios y fortalecimiento de redes sociales institucionales.</w:t>
      </w:r>
    </w:p>
    <w:p w:rsidR="00D62FF4" w:rsidP="005358E1" w:rsidRDefault="00D62FF4" w14:paraId="210E9FE0" w14:textId="77777777">
      <w:pPr>
        <w:spacing w:after="0" w:line="360" w:lineRule="auto"/>
        <w:jc w:val="both"/>
        <w:rPr>
          <w:rFonts w:ascii="Verdana" w:hAnsi="Verdana" w:cs="Arial"/>
          <w:sz w:val="24"/>
          <w:szCs w:val="24"/>
        </w:rPr>
      </w:pPr>
    </w:p>
    <w:p w:rsidRPr="00C140A0" w:rsidR="00350C38" w:rsidP="005358E1" w:rsidRDefault="00350C38" w14:paraId="491806E0" w14:textId="77777777">
      <w:pPr>
        <w:spacing w:after="0" w:line="360" w:lineRule="auto"/>
        <w:jc w:val="both"/>
        <w:rPr>
          <w:rFonts w:ascii="Verdana" w:hAnsi="Verdana" w:cs="Arial"/>
          <w:sz w:val="24"/>
          <w:szCs w:val="24"/>
        </w:rPr>
      </w:pPr>
      <w:r w:rsidRPr="00C140A0">
        <w:rPr>
          <w:rFonts w:ascii="Verdana" w:hAnsi="Verdana" w:cs="Arial"/>
          <w:sz w:val="24"/>
          <w:szCs w:val="24"/>
        </w:rPr>
        <w:t>Como resultados destacados se resaltan los siguientes:</w:t>
      </w:r>
    </w:p>
    <w:p w:rsidRPr="00C140A0" w:rsidR="00350C38" w:rsidRDefault="00350C38" w14:paraId="39CCA98D" w14:textId="77777777">
      <w:pPr>
        <w:numPr>
          <w:ilvl w:val="0"/>
          <w:numId w:val="44"/>
        </w:numPr>
        <w:spacing w:after="0" w:line="360" w:lineRule="auto"/>
        <w:jc w:val="both"/>
        <w:rPr>
          <w:rFonts w:ascii="Verdana" w:hAnsi="Verdana" w:cs="Arial"/>
          <w:sz w:val="24"/>
          <w:szCs w:val="24"/>
        </w:rPr>
      </w:pPr>
      <w:r w:rsidRPr="00C140A0">
        <w:rPr>
          <w:rFonts w:ascii="Verdana" w:hAnsi="Verdana" w:cs="Arial"/>
          <w:sz w:val="24"/>
          <w:szCs w:val="24"/>
        </w:rPr>
        <w:t xml:space="preserve">Incremento sostenido del alcance e impacto digital en plataformas como Instagram, Facebook, X, LinkedIn, TikTok y YouTube. </w:t>
      </w:r>
    </w:p>
    <w:p w:rsidRPr="00C140A0" w:rsidR="00350C38" w:rsidRDefault="00350C38" w14:paraId="7B914875" w14:textId="77777777">
      <w:pPr>
        <w:numPr>
          <w:ilvl w:val="0"/>
          <w:numId w:val="44"/>
        </w:numPr>
        <w:spacing w:after="0" w:line="360" w:lineRule="auto"/>
        <w:jc w:val="both"/>
        <w:rPr>
          <w:rFonts w:ascii="Verdana" w:hAnsi="Verdana" w:cs="Arial"/>
          <w:sz w:val="24"/>
          <w:szCs w:val="24"/>
        </w:rPr>
      </w:pPr>
      <w:r w:rsidRPr="00C140A0">
        <w:rPr>
          <w:rFonts w:ascii="Verdana" w:hAnsi="Verdana" w:cs="Arial"/>
          <w:sz w:val="24"/>
          <w:szCs w:val="24"/>
        </w:rPr>
        <w:t xml:space="preserve">Consolidación de campañas estratégicas relacionadas con: </w:t>
      </w:r>
    </w:p>
    <w:p w:rsidRPr="00C140A0" w:rsidR="00350C38" w:rsidRDefault="00350C38" w14:paraId="0F95A03A" w14:textId="77777777">
      <w:pPr>
        <w:numPr>
          <w:ilvl w:val="1"/>
          <w:numId w:val="44"/>
        </w:numPr>
        <w:spacing w:after="0" w:line="360" w:lineRule="auto"/>
        <w:jc w:val="both"/>
        <w:rPr>
          <w:rFonts w:ascii="Verdana" w:hAnsi="Verdana" w:cs="Arial"/>
          <w:sz w:val="24"/>
          <w:szCs w:val="24"/>
        </w:rPr>
      </w:pPr>
      <w:r w:rsidRPr="00C140A0">
        <w:rPr>
          <w:rFonts w:ascii="Verdana" w:hAnsi="Verdana" w:cs="Arial"/>
          <w:sz w:val="24"/>
          <w:szCs w:val="24"/>
        </w:rPr>
        <w:t xml:space="preserve">Transición Energética Justa </w:t>
      </w:r>
    </w:p>
    <w:p w:rsidRPr="00C140A0" w:rsidR="00350C38" w:rsidRDefault="00350C38" w14:paraId="7A307DF3" w14:textId="77777777">
      <w:pPr>
        <w:numPr>
          <w:ilvl w:val="1"/>
          <w:numId w:val="44"/>
        </w:numPr>
        <w:spacing w:after="0" w:line="360" w:lineRule="auto"/>
        <w:jc w:val="both"/>
        <w:rPr>
          <w:rFonts w:ascii="Verdana" w:hAnsi="Verdana" w:cs="Arial"/>
          <w:sz w:val="24"/>
          <w:szCs w:val="24"/>
        </w:rPr>
      </w:pPr>
      <w:r w:rsidRPr="00C140A0">
        <w:rPr>
          <w:rFonts w:ascii="Verdana" w:hAnsi="Verdana" w:cs="Arial"/>
          <w:sz w:val="24"/>
          <w:szCs w:val="24"/>
        </w:rPr>
        <w:t xml:space="preserve">Uso eficiente de la energía </w:t>
      </w:r>
    </w:p>
    <w:p w:rsidRPr="00C140A0" w:rsidR="00350C38" w:rsidRDefault="00350C38" w14:paraId="315CCBEA" w14:textId="77777777">
      <w:pPr>
        <w:numPr>
          <w:ilvl w:val="1"/>
          <w:numId w:val="44"/>
        </w:numPr>
        <w:spacing w:after="0" w:line="360" w:lineRule="auto"/>
        <w:jc w:val="both"/>
        <w:rPr>
          <w:rFonts w:ascii="Verdana" w:hAnsi="Verdana" w:cs="Arial"/>
          <w:sz w:val="24"/>
          <w:szCs w:val="24"/>
        </w:rPr>
      </w:pPr>
      <w:r w:rsidRPr="00C140A0">
        <w:rPr>
          <w:rFonts w:ascii="Verdana" w:hAnsi="Verdana" w:cs="Arial"/>
          <w:sz w:val="24"/>
          <w:szCs w:val="24"/>
        </w:rPr>
        <w:t xml:space="preserve">Comunidades energéticas </w:t>
      </w:r>
    </w:p>
    <w:p w:rsidRPr="00C140A0" w:rsidR="00350C38" w:rsidRDefault="00350C38" w14:paraId="50079491" w14:textId="77777777">
      <w:pPr>
        <w:numPr>
          <w:ilvl w:val="1"/>
          <w:numId w:val="44"/>
        </w:numPr>
        <w:spacing w:after="0" w:line="360" w:lineRule="auto"/>
        <w:jc w:val="both"/>
        <w:rPr>
          <w:rFonts w:ascii="Verdana" w:hAnsi="Verdana" w:cs="Arial"/>
          <w:sz w:val="24"/>
          <w:szCs w:val="24"/>
        </w:rPr>
      </w:pPr>
      <w:r w:rsidRPr="00C140A0">
        <w:rPr>
          <w:rFonts w:ascii="Verdana" w:hAnsi="Verdana" w:cs="Arial"/>
          <w:sz w:val="24"/>
          <w:szCs w:val="24"/>
        </w:rPr>
        <w:t xml:space="preserve">Fenómeno de El Niño </w:t>
      </w:r>
    </w:p>
    <w:p w:rsidRPr="00C140A0" w:rsidR="00350C38" w:rsidRDefault="00350C38" w14:paraId="4DDB603B" w14:textId="77777777">
      <w:pPr>
        <w:numPr>
          <w:ilvl w:val="1"/>
          <w:numId w:val="44"/>
        </w:numPr>
        <w:spacing w:after="0" w:line="360" w:lineRule="auto"/>
        <w:jc w:val="both"/>
        <w:rPr>
          <w:rFonts w:ascii="Verdana" w:hAnsi="Verdana" w:cs="Arial"/>
          <w:sz w:val="24"/>
          <w:szCs w:val="24"/>
        </w:rPr>
      </w:pPr>
      <w:r w:rsidRPr="00C140A0">
        <w:rPr>
          <w:rFonts w:ascii="Verdana" w:hAnsi="Verdana" w:cs="Arial"/>
          <w:sz w:val="24"/>
          <w:szCs w:val="24"/>
        </w:rPr>
        <w:t xml:space="preserve">Minería para la vida </w:t>
      </w:r>
    </w:p>
    <w:p w:rsidRPr="00C140A0" w:rsidR="00350C38" w:rsidRDefault="00350C38" w14:paraId="7407A44D" w14:textId="77777777">
      <w:pPr>
        <w:numPr>
          <w:ilvl w:val="0"/>
          <w:numId w:val="44"/>
        </w:numPr>
        <w:spacing w:after="0" w:line="360" w:lineRule="auto"/>
        <w:jc w:val="both"/>
        <w:rPr>
          <w:rFonts w:ascii="Verdana" w:hAnsi="Verdana" w:cs="Arial"/>
          <w:sz w:val="24"/>
          <w:szCs w:val="24"/>
        </w:rPr>
      </w:pPr>
      <w:r w:rsidRPr="00C140A0">
        <w:rPr>
          <w:rFonts w:ascii="Verdana" w:hAnsi="Verdana" w:cs="Arial"/>
          <w:sz w:val="24"/>
          <w:szCs w:val="24"/>
        </w:rPr>
        <w:t xml:space="preserve">Fortalecimiento de las relaciones con medios nacionales e internacionales mediante entrevistas, ruedas de prensa y gestión de vocerías institucionales. </w:t>
      </w:r>
    </w:p>
    <w:p w:rsidRPr="00C140A0" w:rsidR="00350C38" w:rsidRDefault="55D54590" w14:paraId="64371B40" w14:textId="77777777">
      <w:pPr>
        <w:numPr>
          <w:ilvl w:val="0"/>
          <w:numId w:val="44"/>
        </w:numPr>
        <w:spacing w:after="0" w:line="360" w:lineRule="auto"/>
        <w:jc w:val="both"/>
        <w:rPr>
          <w:rFonts w:ascii="Verdana" w:hAnsi="Verdana" w:cs="Arial"/>
          <w:sz w:val="24"/>
          <w:szCs w:val="24"/>
        </w:rPr>
      </w:pPr>
      <w:r w:rsidRPr="180099B3">
        <w:rPr>
          <w:rFonts w:ascii="Verdana" w:hAnsi="Verdana" w:cs="Arial"/>
          <w:sz w:val="24"/>
          <w:szCs w:val="24"/>
        </w:rPr>
        <w:t xml:space="preserve">Incremento significativo en la producción y difusión de boletines y comunicados de prensa. </w:t>
      </w:r>
    </w:p>
    <w:p w:rsidR="180099B3" w:rsidP="005358E1" w:rsidRDefault="180099B3" w14:paraId="311D5B10" w14:textId="77777777">
      <w:pPr>
        <w:spacing w:after="0" w:line="360" w:lineRule="auto"/>
        <w:rPr>
          <w:rFonts w:ascii="Verdana" w:hAnsi="Verdana"/>
          <w:sz w:val="24"/>
          <w:szCs w:val="24"/>
        </w:rPr>
      </w:pPr>
    </w:p>
    <w:p w:rsidRPr="00C140A0" w:rsidR="00350C38" w:rsidP="180099B3" w:rsidRDefault="0AA592AE" w14:paraId="4E3B5578" w14:textId="4091BCD4">
      <w:pPr>
        <w:spacing w:after="0" w:line="240" w:lineRule="auto"/>
        <w:jc w:val="center"/>
        <w:rPr>
          <w:rFonts w:ascii="Verdana" w:hAnsi="Verdana"/>
          <w:i/>
          <w:iCs/>
          <w:sz w:val="18"/>
          <w:szCs w:val="18"/>
        </w:rPr>
      </w:pPr>
      <w:r w:rsidRPr="180099B3">
        <w:rPr>
          <w:rFonts w:ascii="Verdana" w:hAnsi="Verdana"/>
          <w:sz w:val="18"/>
          <w:szCs w:val="18"/>
        </w:rPr>
        <w:t>Tabla</w:t>
      </w:r>
      <w:r w:rsidRPr="180099B3" w:rsidR="37FF8093">
        <w:rPr>
          <w:rFonts w:ascii="Verdana" w:hAnsi="Verdana"/>
          <w:sz w:val="18"/>
          <w:szCs w:val="18"/>
        </w:rPr>
        <w:t xml:space="preserve"> No. 7</w:t>
      </w:r>
      <w:r w:rsidR="00D94015">
        <w:rPr>
          <w:rFonts w:ascii="Verdana" w:hAnsi="Verdana"/>
          <w:sz w:val="18"/>
          <w:szCs w:val="18"/>
        </w:rPr>
        <w:t>7</w:t>
      </w:r>
      <w:r w:rsidRPr="180099B3" w:rsidR="37FF8093">
        <w:rPr>
          <w:rFonts w:ascii="Verdana" w:hAnsi="Verdana"/>
          <w:sz w:val="18"/>
          <w:szCs w:val="18"/>
        </w:rPr>
        <w:t>.</w:t>
      </w:r>
      <w:r w:rsidRPr="180099B3">
        <w:rPr>
          <w:rFonts w:ascii="Verdana" w:hAnsi="Verdana"/>
          <w:sz w:val="18"/>
          <w:szCs w:val="18"/>
        </w:rPr>
        <w:t xml:space="preserve"> </w:t>
      </w:r>
      <w:r w:rsidRPr="180099B3" w:rsidR="49531B07">
        <w:rPr>
          <w:rFonts w:ascii="Verdana" w:hAnsi="Verdana"/>
          <w:sz w:val="18"/>
          <w:szCs w:val="18"/>
        </w:rPr>
        <w:t>Evolución de indicadores externos</w:t>
      </w:r>
    </w:p>
    <w:tbl>
      <w:tblPr>
        <w:tblStyle w:val="Tablaconcuadrcula"/>
        <w:tblW w:w="0" w:type="auto"/>
        <w:tblLook w:val="04A0" w:firstRow="1" w:lastRow="0" w:firstColumn="1" w:lastColumn="0" w:noHBand="0" w:noVBand="1"/>
      </w:tblPr>
      <w:tblGrid>
        <w:gridCol w:w="725"/>
        <w:gridCol w:w="8103"/>
      </w:tblGrid>
      <w:tr w:rsidRPr="00D62FF4" w:rsidR="00350C38" w:rsidTr="180099B3" w14:paraId="068DBF51" w14:textId="77777777">
        <w:tc>
          <w:tcPr>
            <w:tcW w:w="725" w:type="dxa"/>
            <w:shd w:val="clear" w:color="auto" w:fill="A6A6A6" w:themeFill="background1" w:themeFillShade="A6"/>
            <w:vAlign w:val="center"/>
          </w:tcPr>
          <w:p w:rsidRPr="00D62FF4" w:rsidR="00350C38" w:rsidP="00D62FF4" w:rsidRDefault="00350C38" w14:paraId="554AC292" w14:textId="77777777">
            <w:pPr>
              <w:jc w:val="center"/>
              <w:rPr>
                <w:rFonts w:ascii="Verdana" w:hAnsi="Verdana"/>
                <w:sz w:val="18"/>
                <w:szCs w:val="18"/>
              </w:rPr>
            </w:pPr>
            <w:r w:rsidRPr="00D62FF4">
              <w:rPr>
                <w:rFonts w:ascii="Verdana" w:hAnsi="Verdana" w:cs="Arial"/>
                <w:b/>
                <w:bCs/>
                <w:sz w:val="18"/>
                <w:szCs w:val="18"/>
              </w:rPr>
              <w:t>Año</w:t>
            </w:r>
          </w:p>
        </w:tc>
        <w:tc>
          <w:tcPr>
            <w:tcW w:w="8103" w:type="dxa"/>
            <w:shd w:val="clear" w:color="auto" w:fill="A6A6A6" w:themeFill="background1" w:themeFillShade="A6"/>
            <w:vAlign w:val="center"/>
          </w:tcPr>
          <w:p w:rsidRPr="00D62FF4" w:rsidR="00350C38" w:rsidP="00D62FF4" w:rsidRDefault="00350C38" w14:paraId="30173D0C" w14:textId="77777777">
            <w:pPr>
              <w:jc w:val="center"/>
              <w:rPr>
                <w:rFonts w:ascii="Verdana" w:hAnsi="Verdana"/>
                <w:sz w:val="18"/>
                <w:szCs w:val="18"/>
              </w:rPr>
            </w:pPr>
            <w:r w:rsidRPr="00D62FF4">
              <w:rPr>
                <w:rFonts w:ascii="Verdana" w:hAnsi="Verdana" w:cs="Arial"/>
                <w:b/>
                <w:bCs/>
                <w:sz w:val="18"/>
                <w:szCs w:val="18"/>
              </w:rPr>
              <w:t>Principales resultados</w:t>
            </w:r>
          </w:p>
        </w:tc>
      </w:tr>
      <w:tr w:rsidRPr="00D62FF4" w:rsidR="00350C38" w:rsidTr="180099B3" w14:paraId="30A8B49C" w14:textId="77777777">
        <w:tc>
          <w:tcPr>
            <w:tcW w:w="725" w:type="dxa"/>
            <w:vAlign w:val="center"/>
          </w:tcPr>
          <w:p w:rsidRPr="00D62FF4" w:rsidR="00350C38" w:rsidP="00D62FF4" w:rsidRDefault="00350C38" w14:paraId="06F1449F" w14:textId="77777777">
            <w:pPr>
              <w:rPr>
                <w:rFonts w:ascii="Verdana" w:hAnsi="Verdana"/>
                <w:sz w:val="18"/>
                <w:szCs w:val="18"/>
              </w:rPr>
            </w:pPr>
            <w:r w:rsidRPr="00D62FF4">
              <w:rPr>
                <w:rFonts w:ascii="Verdana" w:hAnsi="Verdana" w:cs="Arial"/>
                <w:sz w:val="18"/>
                <w:szCs w:val="18"/>
              </w:rPr>
              <w:t>2022</w:t>
            </w:r>
          </w:p>
        </w:tc>
        <w:tc>
          <w:tcPr>
            <w:tcW w:w="8103" w:type="dxa"/>
            <w:vAlign w:val="center"/>
          </w:tcPr>
          <w:p w:rsidRPr="00D62FF4" w:rsidR="00350C38" w:rsidP="00D62FF4" w:rsidRDefault="00350C38" w14:paraId="70E23218" w14:textId="77777777">
            <w:pPr>
              <w:rPr>
                <w:rFonts w:ascii="Verdana" w:hAnsi="Verdana"/>
                <w:sz w:val="18"/>
                <w:szCs w:val="18"/>
              </w:rPr>
            </w:pPr>
            <w:r w:rsidRPr="00D62FF4">
              <w:rPr>
                <w:rFonts w:ascii="Verdana" w:hAnsi="Verdana" w:cs="Arial"/>
                <w:sz w:val="18"/>
                <w:szCs w:val="18"/>
              </w:rPr>
              <w:t>Crecimiento del 34 % en alcance de publicaciones y aumento considerable de interacciones digitales.</w:t>
            </w:r>
          </w:p>
        </w:tc>
      </w:tr>
      <w:tr w:rsidRPr="00D62FF4" w:rsidR="00350C38" w:rsidTr="180099B3" w14:paraId="6455937B" w14:textId="77777777">
        <w:tc>
          <w:tcPr>
            <w:tcW w:w="725" w:type="dxa"/>
            <w:vAlign w:val="center"/>
          </w:tcPr>
          <w:p w:rsidRPr="00D62FF4" w:rsidR="00350C38" w:rsidP="00D62FF4" w:rsidRDefault="00350C38" w14:paraId="5325A21B" w14:textId="77777777">
            <w:pPr>
              <w:rPr>
                <w:rFonts w:ascii="Verdana" w:hAnsi="Verdana"/>
                <w:sz w:val="18"/>
                <w:szCs w:val="18"/>
              </w:rPr>
            </w:pPr>
            <w:r w:rsidRPr="00D62FF4">
              <w:rPr>
                <w:rFonts w:ascii="Verdana" w:hAnsi="Verdana" w:cs="Arial"/>
                <w:sz w:val="18"/>
                <w:szCs w:val="18"/>
              </w:rPr>
              <w:t>2023</w:t>
            </w:r>
          </w:p>
        </w:tc>
        <w:tc>
          <w:tcPr>
            <w:tcW w:w="8103" w:type="dxa"/>
            <w:vAlign w:val="center"/>
          </w:tcPr>
          <w:p w:rsidRPr="00D62FF4" w:rsidR="00350C38" w:rsidP="00D62FF4" w:rsidRDefault="00350C38" w14:paraId="65C8D30D" w14:textId="77777777">
            <w:pPr>
              <w:rPr>
                <w:rFonts w:ascii="Verdana" w:hAnsi="Verdana"/>
                <w:sz w:val="18"/>
                <w:szCs w:val="18"/>
              </w:rPr>
            </w:pPr>
            <w:r w:rsidRPr="00D62FF4">
              <w:rPr>
                <w:rFonts w:ascii="Verdana" w:hAnsi="Verdana" w:cs="Arial"/>
                <w:sz w:val="18"/>
                <w:szCs w:val="18"/>
              </w:rPr>
              <w:t>Ejecución de 4 campañas nacionales y emisión de 133 boletines de prensa.</w:t>
            </w:r>
          </w:p>
        </w:tc>
      </w:tr>
      <w:tr w:rsidRPr="00D62FF4" w:rsidR="00350C38" w:rsidTr="180099B3" w14:paraId="0ACE73CB" w14:textId="77777777">
        <w:tc>
          <w:tcPr>
            <w:tcW w:w="725" w:type="dxa"/>
            <w:vAlign w:val="center"/>
          </w:tcPr>
          <w:p w:rsidRPr="00D62FF4" w:rsidR="00350C38" w:rsidP="00D62FF4" w:rsidRDefault="00350C38" w14:paraId="4207B5E4" w14:textId="77777777">
            <w:pPr>
              <w:rPr>
                <w:rFonts w:ascii="Verdana" w:hAnsi="Verdana"/>
                <w:sz w:val="18"/>
                <w:szCs w:val="18"/>
              </w:rPr>
            </w:pPr>
            <w:r w:rsidRPr="00D62FF4">
              <w:rPr>
                <w:rFonts w:ascii="Verdana" w:hAnsi="Verdana" w:cs="Arial"/>
                <w:sz w:val="18"/>
                <w:szCs w:val="18"/>
              </w:rPr>
              <w:t>2024</w:t>
            </w:r>
          </w:p>
        </w:tc>
        <w:tc>
          <w:tcPr>
            <w:tcW w:w="8103" w:type="dxa"/>
            <w:vAlign w:val="center"/>
          </w:tcPr>
          <w:p w:rsidRPr="00D62FF4" w:rsidR="00350C38" w:rsidP="00D62FF4" w:rsidRDefault="00350C38" w14:paraId="3CD9CE5C" w14:textId="77777777">
            <w:pPr>
              <w:rPr>
                <w:rFonts w:ascii="Verdana" w:hAnsi="Verdana"/>
                <w:sz w:val="18"/>
                <w:szCs w:val="18"/>
              </w:rPr>
            </w:pPr>
            <w:r w:rsidRPr="00D62FF4">
              <w:rPr>
                <w:rFonts w:ascii="Verdana" w:hAnsi="Verdana" w:cs="Arial"/>
                <w:sz w:val="18"/>
                <w:szCs w:val="18"/>
              </w:rPr>
              <w:t>Más de 16 millones de impresiones acumuladas en redes sociales institucionales.</w:t>
            </w:r>
          </w:p>
        </w:tc>
      </w:tr>
      <w:tr w:rsidRPr="00D62FF4" w:rsidR="00350C38" w:rsidTr="180099B3" w14:paraId="0068131C" w14:textId="77777777">
        <w:tc>
          <w:tcPr>
            <w:tcW w:w="725" w:type="dxa"/>
            <w:vAlign w:val="center"/>
          </w:tcPr>
          <w:p w:rsidRPr="00D62FF4" w:rsidR="00350C38" w:rsidP="00D62FF4" w:rsidRDefault="00350C38" w14:paraId="2D3CFA74" w14:textId="77777777">
            <w:pPr>
              <w:rPr>
                <w:rFonts w:ascii="Verdana" w:hAnsi="Verdana"/>
                <w:sz w:val="18"/>
                <w:szCs w:val="18"/>
              </w:rPr>
            </w:pPr>
            <w:r w:rsidRPr="00D62FF4">
              <w:rPr>
                <w:rFonts w:ascii="Verdana" w:hAnsi="Verdana" w:cs="Arial"/>
                <w:sz w:val="18"/>
                <w:szCs w:val="18"/>
              </w:rPr>
              <w:t>2025</w:t>
            </w:r>
          </w:p>
        </w:tc>
        <w:tc>
          <w:tcPr>
            <w:tcW w:w="8103" w:type="dxa"/>
            <w:vAlign w:val="center"/>
          </w:tcPr>
          <w:p w:rsidRPr="00D62FF4" w:rsidR="00350C38" w:rsidP="00D62FF4" w:rsidRDefault="00350C38" w14:paraId="17610777" w14:textId="77777777">
            <w:pPr>
              <w:rPr>
                <w:rFonts w:ascii="Verdana" w:hAnsi="Verdana"/>
                <w:sz w:val="18"/>
                <w:szCs w:val="18"/>
              </w:rPr>
            </w:pPr>
            <w:r w:rsidRPr="00D62FF4">
              <w:rPr>
                <w:rFonts w:ascii="Verdana" w:hAnsi="Verdana" w:cs="Arial"/>
                <w:sz w:val="18"/>
                <w:szCs w:val="18"/>
              </w:rPr>
              <w:t>Superación de metas en todos los indicadores estratégicos: 153 ruedas de prensa, 512 impactos en medios y 368 boletines publicados.</w:t>
            </w:r>
          </w:p>
        </w:tc>
      </w:tr>
      <w:tr w:rsidRPr="00D62FF4" w:rsidR="00350C38" w:rsidTr="180099B3" w14:paraId="476792E6" w14:textId="77777777">
        <w:trPr>
          <w:trHeight w:val="300"/>
        </w:trPr>
        <w:tc>
          <w:tcPr>
            <w:tcW w:w="725" w:type="dxa"/>
            <w:vAlign w:val="center"/>
          </w:tcPr>
          <w:p w:rsidRPr="00D62FF4" w:rsidR="00350C38" w:rsidP="00D62FF4" w:rsidRDefault="00350C38" w14:paraId="33B1D976" w14:textId="77777777">
            <w:pPr>
              <w:rPr>
                <w:rFonts w:ascii="Verdana" w:hAnsi="Verdana"/>
                <w:sz w:val="18"/>
                <w:szCs w:val="18"/>
              </w:rPr>
            </w:pPr>
            <w:r w:rsidRPr="00D62FF4">
              <w:rPr>
                <w:rFonts w:ascii="Verdana" w:hAnsi="Verdana" w:cs="Arial"/>
                <w:sz w:val="18"/>
                <w:szCs w:val="18"/>
              </w:rPr>
              <w:t>2026 (T1)</w:t>
            </w:r>
          </w:p>
        </w:tc>
        <w:tc>
          <w:tcPr>
            <w:tcW w:w="8103" w:type="dxa"/>
            <w:vAlign w:val="center"/>
          </w:tcPr>
          <w:p w:rsidRPr="00D62FF4" w:rsidR="00350C38" w:rsidP="00D62FF4" w:rsidRDefault="00350C38" w14:paraId="48F057DD" w14:textId="77777777">
            <w:pPr>
              <w:rPr>
                <w:rFonts w:ascii="Verdana" w:hAnsi="Verdana"/>
                <w:sz w:val="18"/>
                <w:szCs w:val="18"/>
              </w:rPr>
            </w:pPr>
            <w:r w:rsidRPr="00D62FF4">
              <w:rPr>
                <w:rFonts w:ascii="Verdana" w:hAnsi="Verdana" w:cs="Arial"/>
                <w:sz w:val="18"/>
                <w:szCs w:val="18"/>
              </w:rPr>
              <w:t>Producción de 295 publicaciones digitales, 61 comunicados y 8 ruedas de prensa en el primer trimestre.</w:t>
            </w:r>
          </w:p>
        </w:tc>
      </w:tr>
    </w:tbl>
    <w:p w:rsidR="00350C38" w:rsidP="180099B3" w:rsidRDefault="62C2B28F" w14:paraId="6B7B64AF" w14:textId="5C8EC190">
      <w:pPr>
        <w:spacing w:after="0" w:line="360" w:lineRule="auto"/>
        <w:jc w:val="center"/>
        <w:rPr>
          <w:rFonts w:ascii="Verdana" w:hAnsi="Verdana"/>
          <w:sz w:val="18"/>
          <w:szCs w:val="18"/>
        </w:rPr>
      </w:pPr>
      <w:r w:rsidRPr="180099B3">
        <w:rPr>
          <w:rFonts w:ascii="Verdana" w:hAnsi="Verdana"/>
          <w:sz w:val="18"/>
          <w:szCs w:val="18"/>
        </w:rPr>
        <w:t xml:space="preserve">Fuente: Grupo de comunicaciones </w:t>
      </w:r>
      <w:r w:rsidR="005358E1">
        <w:rPr>
          <w:rFonts w:ascii="Verdana" w:hAnsi="Verdana"/>
          <w:sz w:val="18"/>
          <w:szCs w:val="18"/>
        </w:rPr>
        <w:t>–</w:t>
      </w:r>
      <w:r w:rsidRPr="180099B3">
        <w:rPr>
          <w:rFonts w:ascii="Verdana" w:hAnsi="Verdana"/>
          <w:sz w:val="18"/>
          <w:szCs w:val="18"/>
        </w:rPr>
        <w:t xml:space="preserve"> MME</w:t>
      </w:r>
    </w:p>
    <w:p w:rsidRPr="00C140A0" w:rsidR="005358E1" w:rsidP="005358E1" w:rsidRDefault="005358E1" w14:paraId="4201A711" w14:textId="77777777">
      <w:pPr>
        <w:spacing w:after="0" w:line="360" w:lineRule="auto"/>
        <w:jc w:val="center"/>
        <w:rPr>
          <w:rFonts w:ascii="Verdana" w:hAnsi="Verdana"/>
          <w:sz w:val="18"/>
          <w:szCs w:val="18"/>
        </w:rPr>
      </w:pPr>
    </w:p>
    <w:p w:rsidRPr="00C140A0" w:rsidR="003C4398" w:rsidRDefault="003C4398" w14:paraId="77D27353" w14:textId="77777777">
      <w:pPr>
        <w:pStyle w:val="Ttulo2"/>
        <w:numPr>
          <w:ilvl w:val="1"/>
          <w:numId w:val="95"/>
        </w:numPr>
        <w:spacing w:before="0" w:after="0" w:line="360" w:lineRule="auto"/>
        <w:rPr>
          <w:rFonts w:ascii="Verdana" w:hAnsi="Verdana"/>
          <w:b/>
          <w:bCs/>
          <w:color w:val="auto"/>
          <w:sz w:val="24"/>
          <w:szCs w:val="24"/>
        </w:rPr>
      </w:pPr>
      <w:bookmarkStart w:name="_Toc233996769" w:id="52"/>
      <w:r w:rsidRPr="00C140A0">
        <w:rPr>
          <w:rFonts w:ascii="Verdana" w:hAnsi="Verdana"/>
          <w:b/>
          <w:bCs/>
          <w:color w:val="auto"/>
          <w:sz w:val="24"/>
          <w:szCs w:val="24"/>
        </w:rPr>
        <w:t>Consolidación de la Comunicación Interna</w:t>
      </w:r>
      <w:bookmarkEnd w:id="52"/>
    </w:p>
    <w:p w:rsidRPr="00C140A0" w:rsidR="00C04ED5" w:rsidP="005358E1" w:rsidRDefault="00C04ED5" w14:paraId="5F9F2AC4" w14:textId="77777777">
      <w:pPr>
        <w:spacing w:after="0" w:line="360" w:lineRule="auto"/>
        <w:jc w:val="both"/>
        <w:rPr>
          <w:rFonts w:ascii="Verdana" w:hAnsi="Verdana"/>
          <w:sz w:val="24"/>
          <w:szCs w:val="24"/>
        </w:rPr>
      </w:pPr>
    </w:p>
    <w:p w:rsidRPr="00C140A0" w:rsidR="00350C38" w:rsidP="005358E1" w:rsidRDefault="00350C38" w14:paraId="78388587" w14:textId="77777777">
      <w:pPr>
        <w:spacing w:after="0" w:line="360" w:lineRule="auto"/>
        <w:jc w:val="both"/>
        <w:rPr>
          <w:rFonts w:ascii="Verdana" w:hAnsi="Verdana" w:cs="Arial"/>
          <w:sz w:val="24"/>
          <w:szCs w:val="24"/>
        </w:rPr>
      </w:pPr>
      <w:r w:rsidRPr="00C140A0">
        <w:rPr>
          <w:rFonts w:ascii="Verdana" w:hAnsi="Verdana" w:cs="Arial"/>
          <w:sz w:val="24"/>
          <w:szCs w:val="24"/>
        </w:rPr>
        <w:t>El Grupo de Comunicaciones y Prensa fortaleció la comunicación organizacional mediante contenidos informativos, transmisiones en vivo, boletines y piezas gráficas orientadas a mejorar la cohesión institucional y el flujo de información entre dependencias.</w:t>
      </w:r>
    </w:p>
    <w:p w:rsidRPr="00C140A0" w:rsidR="00350C38" w:rsidP="005358E1" w:rsidRDefault="00350C38" w14:paraId="2B679490" w14:textId="77777777">
      <w:pPr>
        <w:spacing w:after="0" w:line="360" w:lineRule="auto"/>
        <w:jc w:val="both"/>
        <w:rPr>
          <w:rFonts w:ascii="Verdana" w:hAnsi="Verdana" w:cs="Arial"/>
          <w:sz w:val="24"/>
          <w:szCs w:val="24"/>
        </w:rPr>
      </w:pPr>
    </w:p>
    <w:p w:rsidRPr="00C140A0" w:rsidR="00350C38" w:rsidP="005358E1" w:rsidRDefault="00350C38" w14:paraId="3FBB305B" w14:textId="77777777">
      <w:pPr>
        <w:spacing w:after="0" w:line="360" w:lineRule="auto"/>
        <w:jc w:val="both"/>
        <w:rPr>
          <w:rFonts w:ascii="Verdana" w:hAnsi="Verdana" w:cs="Arial"/>
          <w:sz w:val="24"/>
          <w:szCs w:val="24"/>
        </w:rPr>
      </w:pPr>
      <w:r w:rsidRPr="00C140A0">
        <w:rPr>
          <w:rFonts w:ascii="Verdana" w:hAnsi="Verdana" w:cs="Arial"/>
          <w:sz w:val="24"/>
          <w:szCs w:val="24"/>
        </w:rPr>
        <w:t>Como resultados destacados se resaltan los siguientes:</w:t>
      </w:r>
    </w:p>
    <w:p w:rsidRPr="00C140A0" w:rsidR="00350C38" w:rsidRDefault="00350C38" w14:paraId="0B3AD6F2" w14:textId="77777777">
      <w:pPr>
        <w:pStyle w:val="Prrafodelista"/>
        <w:numPr>
          <w:ilvl w:val="0"/>
          <w:numId w:val="45"/>
        </w:numPr>
        <w:spacing w:after="0" w:line="360" w:lineRule="auto"/>
        <w:jc w:val="both"/>
        <w:rPr>
          <w:rFonts w:ascii="Verdana" w:hAnsi="Verdana" w:cs="Arial"/>
          <w:sz w:val="24"/>
          <w:szCs w:val="24"/>
        </w:rPr>
      </w:pPr>
      <w:r w:rsidRPr="00C140A0">
        <w:rPr>
          <w:rFonts w:ascii="Verdana" w:hAnsi="Verdana" w:cs="Arial"/>
          <w:sz w:val="24"/>
          <w:szCs w:val="24"/>
        </w:rPr>
        <w:t xml:space="preserve">Fortalecimiento del canal “Vivo Minenergía”. </w:t>
      </w:r>
    </w:p>
    <w:p w:rsidRPr="00C140A0" w:rsidR="00350C38" w:rsidRDefault="00350C38" w14:paraId="6B54CB1E" w14:textId="77777777">
      <w:pPr>
        <w:pStyle w:val="Prrafodelista"/>
        <w:numPr>
          <w:ilvl w:val="0"/>
          <w:numId w:val="45"/>
        </w:numPr>
        <w:spacing w:after="0" w:line="360" w:lineRule="auto"/>
        <w:jc w:val="both"/>
        <w:rPr>
          <w:rFonts w:ascii="Verdana" w:hAnsi="Verdana" w:cs="Arial"/>
          <w:sz w:val="24"/>
          <w:szCs w:val="24"/>
        </w:rPr>
      </w:pPr>
      <w:r w:rsidRPr="00C140A0">
        <w:rPr>
          <w:rFonts w:ascii="Verdana" w:hAnsi="Verdana" w:cs="Arial"/>
          <w:sz w:val="24"/>
          <w:szCs w:val="24"/>
        </w:rPr>
        <w:t xml:space="preserve">Producción masiva de piezas gráficas internas. </w:t>
      </w:r>
    </w:p>
    <w:p w:rsidRPr="00C140A0" w:rsidR="00350C38" w:rsidRDefault="00350C38" w14:paraId="2F01297F" w14:textId="77777777">
      <w:pPr>
        <w:pStyle w:val="Prrafodelista"/>
        <w:numPr>
          <w:ilvl w:val="0"/>
          <w:numId w:val="45"/>
        </w:numPr>
        <w:spacing w:after="0" w:line="360" w:lineRule="auto"/>
        <w:jc w:val="both"/>
        <w:rPr>
          <w:rFonts w:ascii="Verdana" w:hAnsi="Verdana" w:cs="Arial"/>
          <w:sz w:val="24"/>
          <w:szCs w:val="24"/>
        </w:rPr>
      </w:pPr>
      <w:r w:rsidRPr="00C140A0">
        <w:rPr>
          <w:rFonts w:ascii="Verdana" w:hAnsi="Verdana" w:cs="Arial"/>
          <w:sz w:val="24"/>
          <w:szCs w:val="24"/>
        </w:rPr>
        <w:t xml:space="preserve">Incremento de programas y contenidos en vivo dirigidos a funcionarios. </w:t>
      </w:r>
    </w:p>
    <w:p w:rsidRPr="00C140A0" w:rsidR="00350C38" w:rsidRDefault="00350C38" w14:paraId="5AA1C0AE" w14:textId="77777777">
      <w:pPr>
        <w:pStyle w:val="Prrafodelista"/>
        <w:numPr>
          <w:ilvl w:val="0"/>
          <w:numId w:val="45"/>
        </w:numPr>
        <w:spacing w:after="0" w:line="360" w:lineRule="auto"/>
        <w:jc w:val="both"/>
        <w:rPr>
          <w:rFonts w:ascii="Verdana" w:hAnsi="Verdana" w:cs="Arial"/>
          <w:sz w:val="24"/>
          <w:szCs w:val="24"/>
        </w:rPr>
      </w:pPr>
      <w:r w:rsidRPr="00C140A0">
        <w:rPr>
          <w:rFonts w:ascii="Verdana" w:hAnsi="Verdana" w:cs="Arial"/>
          <w:sz w:val="24"/>
          <w:szCs w:val="24"/>
        </w:rPr>
        <w:t xml:space="preserve">Desarrollo de campañas pedagógicas y de apropiación institucional. </w:t>
      </w:r>
    </w:p>
    <w:p w:rsidRPr="00C140A0" w:rsidR="00350C38" w:rsidRDefault="00350C38" w14:paraId="0A69C15C" w14:textId="77777777">
      <w:pPr>
        <w:pStyle w:val="Prrafodelista"/>
        <w:numPr>
          <w:ilvl w:val="0"/>
          <w:numId w:val="45"/>
        </w:numPr>
        <w:spacing w:after="0" w:line="360" w:lineRule="auto"/>
        <w:jc w:val="both"/>
        <w:rPr>
          <w:rFonts w:ascii="Verdana" w:hAnsi="Verdana" w:cs="Arial"/>
          <w:sz w:val="24"/>
          <w:szCs w:val="24"/>
        </w:rPr>
      </w:pPr>
      <w:r w:rsidRPr="00C140A0">
        <w:rPr>
          <w:rFonts w:ascii="Verdana" w:hAnsi="Verdana" w:cs="Arial"/>
          <w:sz w:val="24"/>
          <w:szCs w:val="24"/>
        </w:rPr>
        <w:t xml:space="preserve">Mejora en los niveles de interacción y participación del personal. </w:t>
      </w:r>
    </w:p>
    <w:p w:rsidRPr="00C140A0" w:rsidR="00350C38" w:rsidP="005358E1" w:rsidRDefault="00350C38" w14:paraId="162B9A5A" w14:textId="77777777">
      <w:pPr>
        <w:spacing w:after="0" w:line="360" w:lineRule="auto"/>
        <w:jc w:val="both"/>
        <w:rPr>
          <w:rFonts w:ascii="Verdana" w:hAnsi="Verdana"/>
          <w:i/>
          <w:iCs/>
          <w:sz w:val="24"/>
          <w:szCs w:val="24"/>
        </w:rPr>
      </w:pPr>
    </w:p>
    <w:p w:rsidR="6C0CD6CB" w:rsidP="180099B3" w:rsidRDefault="6C0CD6CB" w14:paraId="21CD1D74" w14:textId="01A48D88">
      <w:pPr>
        <w:spacing w:after="0" w:line="240" w:lineRule="auto"/>
        <w:jc w:val="center"/>
        <w:rPr>
          <w:rFonts w:ascii="Verdana" w:hAnsi="Verdana"/>
          <w:i/>
          <w:iCs/>
          <w:sz w:val="18"/>
          <w:szCs w:val="18"/>
        </w:rPr>
      </w:pPr>
      <w:r w:rsidRPr="180099B3">
        <w:rPr>
          <w:rFonts w:ascii="Verdana" w:hAnsi="Verdana"/>
          <w:sz w:val="18"/>
          <w:szCs w:val="18"/>
        </w:rPr>
        <w:t>Tabla No. 7</w:t>
      </w:r>
      <w:r w:rsidR="00D94015">
        <w:rPr>
          <w:rFonts w:ascii="Verdana" w:hAnsi="Verdana"/>
          <w:sz w:val="18"/>
          <w:szCs w:val="18"/>
        </w:rPr>
        <w:t>8</w:t>
      </w:r>
      <w:r w:rsidRPr="180099B3">
        <w:rPr>
          <w:rFonts w:ascii="Verdana" w:hAnsi="Verdana"/>
          <w:sz w:val="18"/>
          <w:szCs w:val="18"/>
        </w:rPr>
        <w:t>. Evolución de indicadores internos</w:t>
      </w:r>
    </w:p>
    <w:tbl>
      <w:tblPr>
        <w:tblStyle w:val="Tablaconcuadrcula"/>
        <w:tblW w:w="0" w:type="auto"/>
        <w:tblLook w:val="04A0" w:firstRow="1" w:lastRow="0" w:firstColumn="1" w:lastColumn="0" w:noHBand="0" w:noVBand="1"/>
      </w:tblPr>
      <w:tblGrid>
        <w:gridCol w:w="846"/>
        <w:gridCol w:w="7982"/>
      </w:tblGrid>
      <w:tr w:rsidRPr="00D62FF4" w:rsidR="00350C38" w:rsidTr="180099B3" w14:paraId="2C5D89B0" w14:textId="77777777">
        <w:tc>
          <w:tcPr>
            <w:tcW w:w="846" w:type="dxa"/>
            <w:shd w:val="clear" w:color="auto" w:fill="A6A6A6" w:themeFill="background1" w:themeFillShade="A6"/>
            <w:vAlign w:val="center"/>
          </w:tcPr>
          <w:p w:rsidRPr="00D62FF4" w:rsidR="00350C38" w:rsidP="00D62FF4" w:rsidRDefault="00350C38" w14:paraId="54EFABCE" w14:textId="77777777">
            <w:pPr>
              <w:jc w:val="center"/>
              <w:rPr>
                <w:rFonts w:ascii="Verdana" w:hAnsi="Verdana"/>
                <w:sz w:val="18"/>
                <w:szCs w:val="18"/>
              </w:rPr>
            </w:pPr>
            <w:r w:rsidRPr="00D62FF4">
              <w:rPr>
                <w:rFonts w:ascii="Verdana" w:hAnsi="Verdana" w:cs="Arial"/>
                <w:b/>
                <w:bCs/>
                <w:sz w:val="18"/>
                <w:szCs w:val="18"/>
              </w:rPr>
              <w:t>Año</w:t>
            </w:r>
          </w:p>
        </w:tc>
        <w:tc>
          <w:tcPr>
            <w:tcW w:w="7982" w:type="dxa"/>
            <w:shd w:val="clear" w:color="auto" w:fill="A6A6A6" w:themeFill="background1" w:themeFillShade="A6"/>
            <w:vAlign w:val="center"/>
          </w:tcPr>
          <w:p w:rsidRPr="00D62FF4" w:rsidR="00350C38" w:rsidP="00D62FF4" w:rsidRDefault="00350C38" w14:paraId="099ECE50" w14:textId="77777777">
            <w:pPr>
              <w:jc w:val="center"/>
              <w:rPr>
                <w:rFonts w:ascii="Verdana" w:hAnsi="Verdana"/>
                <w:sz w:val="18"/>
                <w:szCs w:val="18"/>
              </w:rPr>
            </w:pPr>
            <w:r w:rsidRPr="00D62FF4">
              <w:rPr>
                <w:rFonts w:ascii="Verdana" w:hAnsi="Verdana" w:cs="Arial"/>
                <w:b/>
                <w:bCs/>
                <w:sz w:val="18"/>
                <w:szCs w:val="18"/>
              </w:rPr>
              <w:t>Principales resultados</w:t>
            </w:r>
          </w:p>
        </w:tc>
      </w:tr>
      <w:tr w:rsidRPr="00D62FF4" w:rsidR="00350C38" w:rsidTr="180099B3" w14:paraId="2B5FD4D0" w14:textId="77777777">
        <w:tc>
          <w:tcPr>
            <w:tcW w:w="846" w:type="dxa"/>
            <w:vAlign w:val="center"/>
          </w:tcPr>
          <w:p w:rsidRPr="00D62FF4" w:rsidR="00350C38" w:rsidP="00D62FF4" w:rsidRDefault="00350C38" w14:paraId="1B77E860" w14:textId="77777777">
            <w:pPr>
              <w:jc w:val="both"/>
              <w:rPr>
                <w:rFonts w:ascii="Verdana" w:hAnsi="Verdana"/>
                <w:sz w:val="18"/>
                <w:szCs w:val="18"/>
              </w:rPr>
            </w:pPr>
            <w:r w:rsidRPr="00D62FF4">
              <w:rPr>
                <w:rFonts w:ascii="Verdana" w:hAnsi="Verdana" w:cs="Arial"/>
                <w:sz w:val="18"/>
                <w:szCs w:val="18"/>
              </w:rPr>
              <w:t>2022</w:t>
            </w:r>
          </w:p>
        </w:tc>
        <w:tc>
          <w:tcPr>
            <w:tcW w:w="7982" w:type="dxa"/>
            <w:vAlign w:val="center"/>
          </w:tcPr>
          <w:p w:rsidRPr="00D62FF4" w:rsidR="00350C38" w:rsidP="00D62FF4" w:rsidRDefault="00350C38" w14:paraId="621A70A2" w14:textId="77777777">
            <w:pPr>
              <w:jc w:val="both"/>
              <w:rPr>
                <w:rFonts w:ascii="Verdana" w:hAnsi="Verdana"/>
                <w:sz w:val="18"/>
                <w:szCs w:val="18"/>
              </w:rPr>
            </w:pPr>
            <w:r w:rsidRPr="00D62FF4">
              <w:rPr>
                <w:rFonts w:ascii="Verdana" w:hAnsi="Verdana" w:cs="Arial"/>
                <w:sz w:val="18"/>
                <w:szCs w:val="18"/>
              </w:rPr>
              <w:t>Desarrollo de programas internos como “Empresas que se ponen la 10” y “Las jugadas del equipo 10”.</w:t>
            </w:r>
          </w:p>
        </w:tc>
      </w:tr>
      <w:tr w:rsidRPr="00D62FF4" w:rsidR="00350C38" w:rsidTr="180099B3" w14:paraId="0D5ED236" w14:textId="77777777">
        <w:tc>
          <w:tcPr>
            <w:tcW w:w="846" w:type="dxa"/>
            <w:vAlign w:val="center"/>
          </w:tcPr>
          <w:p w:rsidRPr="00D62FF4" w:rsidR="00350C38" w:rsidP="00D62FF4" w:rsidRDefault="00350C38" w14:paraId="167400DD" w14:textId="77777777">
            <w:pPr>
              <w:jc w:val="both"/>
              <w:rPr>
                <w:rFonts w:ascii="Verdana" w:hAnsi="Verdana"/>
                <w:sz w:val="18"/>
                <w:szCs w:val="18"/>
              </w:rPr>
            </w:pPr>
            <w:r w:rsidRPr="00D62FF4">
              <w:rPr>
                <w:rFonts w:ascii="Verdana" w:hAnsi="Verdana" w:cs="Arial"/>
                <w:sz w:val="18"/>
                <w:szCs w:val="18"/>
              </w:rPr>
              <w:t>2023</w:t>
            </w:r>
          </w:p>
        </w:tc>
        <w:tc>
          <w:tcPr>
            <w:tcW w:w="7982" w:type="dxa"/>
            <w:vAlign w:val="center"/>
          </w:tcPr>
          <w:p w:rsidRPr="00D62FF4" w:rsidR="00350C38" w:rsidP="00D62FF4" w:rsidRDefault="00350C38" w14:paraId="7B51D4D4" w14:textId="77777777">
            <w:pPr>
              <w:jc w:val="both"/>
              <w:rPr>
                <w:rFonts w:ascii="Verdana" w:hAnsi="Verdana"/>
                <w:sz w:val="18"/>
                <w:szCs w:val="18"/>
              </w:rPr>
            </w:pPr>
            <w:r w:rsidRPr="00D62FF4">
              <w:rPr>
                <w:rFonts w:ascii="Verdana" w:hAnsi="Verdana" w:cs="Arial"/>
                <w:sz w:val="18"/>
                <w:szCs w:val="18"/>
              </w:rPr>
              <w:t>Producción de 1.405 piezas gráficas, 153 boletines y 83 contenidos en vivo.</w:t>
            </w:r>
          </w:p>
        </w:tc>
      </w:tr>
      <w:tr w:rsidRPr="00D62FF4" w:rsidR="00350C38" w:rsidTr="180099B3" w14:paraId="196EEBEB" w14:textId="77777777">
        <w:tc>
          <w:tcPr>
            <w:tcW w:w="846" w:type="dxa"/>
            <w:vAlign w:val="center"/>
          </w:tcPr>
          <w:p w:rsidRPr="00D62FF4" w:rsidR="00350C38" w:rsidP="00D62FF4" w:rsidRDefault="00350C38" w14:paraId="09B32B93" w14:textId="77777777">
            <w:pPr>
              <w:jc w:val="both"/>
              <w:rPr>
                <w:rFonts w:ascii="Verdana" w:hAnsi="Verdana"/>
                <w:sz w:val="18"/>
                <w:szCs w:val="18"/>
              </w:rPr>
            </w:pPr>
            <w:r w:rsidRPr="00D62FF4">
              <w:rPr>
                <w:rFonts w:ascii="Verdana" w:hAnsi="Verdana" w:cs="Arial"/>
                <w:sz w:val="18"/>
                <w:szCs w:val="18"/>
              </w:rPr>
              <w:t>2024</w:t>
            </w:r>
          </w:p>
        </w:tc>
        <w:tc>
          <w:tcPr>
            <w:tcW w:w="7982" w:type="dxa"/>
            <w:vAlign w:val="center"/>
          </w:tcPr>
          <w:p w:rsidRPr="00D62FF4" w:rsidR="00350C38" w:rsidP="00D62FF4" w:rsidRDefault="00350C38" w14:paraId="399B6498" w14:textId="77777777">
            <w:pPr>
              <w:jc w:val="both"/>
              <w:rPr>
                <w:rFonts w:ascii="Verdana" w:hAnsi="Verdana"/>
                <w:sz w:val="18"/>
                <w:szCs w:val="18"/>
              </w:rPr>
            </w:pPr>
            <w:r w:rsidRPr="00D62FF4">
              <w:rPr>
                <w:rFonts w:ascii="Verdana" w:hAnsi="Verdana" w:cs="Arial"/>
                <w:sz w:val="18"/>
                <w:szCs w:val="18"/>
              </w:rPr>
              <w:t>Elaboración de 1.390 piezas gráficas y 172 boletines internos.</w:t>
            </w:r>
          </w:p>
        </w:tc>
      </w:tr>
      <w:tr w:rsidRPr="00D62FF4" w:rsidR="00350C38" w:rsidTr="180099B3" w14:paraId="21CA8428" w14:textId="77777777">
        <w:tc>
          <w:tcPr>
            <w:tcW w:w="846" w:type="dxa"/>
            <w:vAlign w:val="center"/>
          </w:tcPr>
          <w:p w:rsidRPr="00D62FF4" w:rsidR="00350C38" w:rsidP="00D62FF4" w:rsidRDefault="00350C38" w14:paraId="4F5D61E6" w14:textId="77777777">
            <w:pPr>
              <w:jc w:val="both"/>
              <w:rPr>
                <w:rFonts w:ascii="Verdana" w:hAnsi="Verdana"/>
                <w:sz w:val="18"/>
                <w:szCs w:val="18"/>
              </w:rPr>
            </w:pPr>
            <w:r w:rsidRPr="00D62FF4">
              <w:rPr>
                <w:rFonts w:ascii="Verdana" w:hAnsi="Verdana" w:cs="Arial"/>
                <w:sz w:val="18"/>
                <w:szCs w:val="18"/>
              </w:rPr>
              <w:t>2025</w:t>
            </w:r>
          </w:p>
        </w:tc>
        <w:tc>
          <w:tcPr>
            <w:tcW w:w="7982" w:type="dxa"/>
            <w:vAlign w:val="center"/>
          </w:tcPr>
          <w:p w:rsidRPr="00D62FF4" w:rsidR="00350C38" w:rsidP="00D62FF4" w:rsidRDefault="00350C38" w14:paraId="4C8191FD" w14:textId="77777777">
            <w:pPr>
              <w:jc w:val="both"/>
              <w:rPr>
                <w:rFonts w:ascii="Verdana" w:hAnsi="Verdana"/>
                <w:sz w:val="18"/>
                <w:szCs w:val="18"/>
              </w:rPr>
            </w:pPr>
            <w:r w:rsidRPr="00D62FF4">
              <w:rPr>
                <w:rFonts w:ascii="Verdana" w:hAnsi="Verdana" w:cs="Arial"/>
                <w:sz w:val="18"/>
                <w:szCs w:val="18"/>
              </w:rPr>
              <w:t>Producción histórica de 3.121 piezas gráficas y 339 boletines emitidos.</w:t>
            </w:r>
          </w:p>
        </w:tc>
      </w:tr>
      <w:tr w:rsidRPr="00D62FF4" w:rsidR="00350C38" w:rsidTr="180099B3" w14:paraId="6BAC93DD" w14:textId="77777777">
        <w:tc>
          <w:tcPr>
            <w:tcW w:w="846" w:type="dxa"/>
            <w:vAlign w:val="center"/>
          </w:tcPr>
          <w:p w:rsidRPr="00D62FF4" w:rsidR="00350C38" w:rsidP="00D62FF4" w:rsidRDefault="00350C38" w14:paraId="713CC5EC" w14:textId="77777777">
            <w:pPr>
              <w:jc w:val="both"/>
              <w:rPr>
                <w:rFonts w:ascii="Verdana" w:hAnsi="Verdana"/>
                <w:sz w:val="18"/>
                <w:szCs w:val="18"/>
              </w:rPr>
            </w:pPr>
            <w:r w:rsidRPr="00D62FF4">
              <w:rPr>
                <w:rFonts w:ascii="Verdana" w:hAnsi="Verdana" w:cs="Arial"/>
                <w:sz w:val="18"/>
                <w:szCs w:val="18"/>
              </w:rPr>
              <w:t>2026 (T1)</w:t>
            </w:r>
          </w:p>
        </w:tc>
        <w:tc>
          <w:tcPr>
            <w:tcW w:w="7982" w:type="dxa"/>
            <w:vAlign w:val="center"/>
          </w:tcPr>
          <w:p w:rsidRPr="00D62FF4" w:rsidR="00350C38" w:rsidP="00D62FF4" w:rsidRDefault="00350C38" w14:paraId="4381F54E" w14:textId="77777777">
            <w:pPr>
              <w:jc w:val="both"/>
              <w:rPr>
                <w:rFonts w:ascii="Verdana" w:hAnsi="Verdana"/>
                <w:sz w:val="18"/>
                <w:szCs w:val="18"/>
              </w:rPr>
            </w:pPr>
            <w:r w:rsidRPr="00D62FF4">
              <w:rPr>
                <w:rFonts w:ascii="Verdana" w:hAnsi="Verdana" w:cs="Arial"/>
                <w:sz w:val="18"/>
                <w:szCs w:val="18"/>
              </w:rPr>
              <w:t>Desarrollo de 268 piezas gráficas para fortalecimiento institucional.</w:t>
            </w:r>
          </w:p>
        </w:tc>
      </w:tr>
    </w:tbl>
    <w:p w:rsidRPr="00C140A0" w:rsidR="00350C38" w:rsidP="180099B3" w:rsidRDefault="562929F4" w14:paraId="56B18004" w14:textId="77777777">
      <w:pPr>
        <w:spacing w:after="0" w:line="360" w:lineRule="auto"/>
        <w:jc w:val="center"/>
        <w:rPr>
          <w:rFonts w:ascii="Verdana" w:hAnsi="Verdana"/>
          <w:sz w:val="18"/>
          <w:szCs w:val="18"/>
        </w:rPr>
      </w:pPr>
      <w:r w:rsidRPr="180099B3">
        <w:rPr>
          <w:rFonts w:ascii="Verdana" w:hAnsi="Verdana"/>
          <w:sz w:val="18"/>
          <w:szCs w:val="18"/>
        </w:rPr>
        <w:t>Fuente: Grupo de comunicaciones - MME</w:t>
      </w:r>
    </w:p>
    <w:p w:rsidRPr="00C140A0" w:rsidR="00350C38" w:rsidP="005358E1" w:rsidRDefault="00350C38" w14:paraId="728907AB" w14:textId="77777777">
      <w:pPr>
        <w:spacing w:after="0" w:line="360" w:lineRule="auto"/>
        <w:jc w:val="both"/>
        <w:rPr>
          <w:rFonts w:ascii="Verdana" w:hAnsi="Verdana" w:cs="Arial"/>
          <w:sz w:val="24"/>
          <w:szCs w:val="24"/>
        </w:rPr>
      </w:pPr>
    </w:p>
    <w:p w:rsidRPr="00C140A0" w:rsidR="00350C38" w:rsidP="005358E1" w:rsidRDefault="00350C38" w14:paraId="0DF832BF" w14:textId="77777777">
      <w:pPr>
        <w:spacing w:after="0" w:line="360" w:lineRule="auto"/>
        <w:jc w:val="both"/>
        <w:rPr>
          <w:rFonts w:ascii="Verdana" w:hAnsi="Verdana" w:cs="Arial"/>
          <w:sz w:val="24"/>
          <w:szCs w:val="24"/>
        </w:rPr>
      </w:pPr>
      <w:r w:rsidRPr="00C140A0">
        <w:rPr>
          <w:rFonts w:ascii="Verdana" w:hAnsi="Verdana" w:cs="Arial"/>
          <w:sz w:val="24"/>
          <w:szCs w:val="24"/>
        </w:rPr>
        <w:t>La gestión desarrollada permitió:</w:t>
      </w:r>
    </w:p>
    <w:p w:rsidRPr="00C140A0" w:rsidR="00350C38" w:rsidRDefault="00350C38" w14:paraId="05BF742D" w14:textId="77777777">
      <w:pPr>
        <w:pStyle w:val="Prrafodelista"/>
        <w:numPr>
          <w:ilvl w:val="0"/>
          <w:numId w:val="46"/>
        </w:numPr>
        <w:spacing w:after="0" w:line="360" w:lineRule="auto"/>
        <w:jc w:val="both"/>
        <w:rPr>
          <w:rFonts w:ascii="Verdana" w:hAnsi="Verdana" w:cs="Arial"/>
          <w:sz w:val="24"/>
          <w:szCs w:val="24"/>
        </w:rPr>
      </w:pPr>
      <w:r w:rsidRPr="00C140A0">
        <w:rPr>
          <w:rFonts w:ascii="Verdana" w:hAnsi="Verdana" w:cs="Arial"/>
          <w:sz w:val="24"/>
          <w:szCs w:val="24"/>
        </w:rPr>
        <w:t xml:space="preserve">Posicionar al Ministerio de Minas y Energía como referente en la comunicación pública del sector minero-energético. </w:t>
      </w:r>
    </w:p>
    <w:p w:rsidRPr="00C140A0" w:rsidR="00350C38" w:rsidRDefault="00350C38" w14:paraId="1CD88AF6" w14:textId="77777777">
      <w:pPr>
        <w:pStyle w:val="Prrafodelista"/>
        <w:numPr>
          <w:ilvl w:val="0"/>
          <w:numId w:val="46"/>
        </w:numPr>
        <w:spacing w:after="0" w:line="360" w:lineRule="auto"/>
        <w:jc w:val="both"/>
        <w:rPr>
          <w:rFonts w:ascii="Verdana" w:hAnsi="Verdana" w:cs="Arial"/>
          <w:sz w:val="24"/>
          <w:szCs w:val="24"/>
        </w:rPr>
      </w:pPr>
      <w:r w:rsidRPr="00C140A0">
        <w:rPr>
          <w:rFonts w:ascii="Verdana" w:hAnsi="Verdana" w:cs="Arial"/>
          <w:sz w:val="24"/>
          <w:szCs w:val="24"/>
        </w:rPr>
        <w:t xml:space="preserve">Incrementar la presencia institucional en medios nacionales, regionales e internacionales. </w:t>
      </w:r>
    </w:p>
    <w:p w:rsidRPr="00C140A0" w:rsidR="00350C38" w:rsidRDefault="00350C38" w14:paraId="3A57C414" w14:textId="77777777">
      <w:pPr>
        <w:pStyle w:val="Prrafodelista"/>
        <w:numPr>
          <w:ilvl w:val="0"/>
          <w:numId w:val="46"/>
        </w:numPr>
        <w:spacing w:after="0" w:line="360" w:lineRule="auto"/>
        <w:jc w:val="both"/>
        <w:rPr>
          <w:rFonts w:ascii="Verdana" w:hAnsi="Verdana" w:cs="Arial"/>
          <w:sz w:val="24"/>
          <w:szCs w:val="24"/>
        </w:rPr>
      </w:pPr>
      <w:r w:rsidRPr="00C140A0">
        <w:rPr>
          <w:rFonts w:ascii="Verdana" w:hAnsi="Verdana" w:cs="Arial"/>
          <w:sz w:val="24"/>
          <w:szCs w:val="24"/>
        </w:rPr>
        <w:t xml:space="preserve">Consolidar una estrategia digital con altos niveles de alcance e interacción. </w:t>
      </w:r>
    </w:p>
    <w:p w:rsidRPr="00C140A0" w:rsidR="00350C38" w:rsidRDefault="00350C38" w14:paraId="5409FC65" w14:textId="77777777">
      <w:pPr>
        <w:pStyle w:val="Prrafodelista"/>
        <w:numPr>
          <w:ilvl w:val="0"/>
          <w:numId w:val="46"/>
        </w:numPr>
        <w:spacing w:after="0" w:line="360" w:lineRule="auto"/>
        <w:jc w:val="both"/>
        <w:rPr>
          <w:rFonts w:ascii="Verdana" w:hAnsi="Verdana" w:cs="Arial"/>
          <w:sz w:val="24"/>
          <w:szCs w:val="24"/>
        </w:rPr>
      </w:pPr>
      <w:r w:rsidRPr="00C140A0">
        <w:rPr>
          <w:rFonts w:ascii="Verdana" w:hAnsi="Verdana" w:cs="Arial"/>
          <w:sz w:val="24"/>
          <w:szCs w:val="24"/>
        </w:rPr>
        <w:t xml:space="preserve">Fortalecer la transparencia y la apropiación ciudadana de la Transición Energética Justa. </w:t>
      </w:r>
    </w:p>
    <w:p w:rsidRPr="00C140A0" w:rsidR="00350C38" w:rsidRDefault="00350C38" w14:paraId="1E249353" w14:textId="77777777">
      <w:pPr>
        <w:pStyle w:val="Prrafodelista"/>
        <w:numPr>
          <w:ilvl w:val="0"/>
          <w:numId w:val="46"/>
        </w:numPr>
        <w:spacing w:after="0" w:line="360" w:lineRule="auto"/>
        <w:jc w:val="both"/>
        <w:rPr>
          <w:rFonts w:ascii="Verdana" w:hAnsi="Verdana" w:cs="Arial"/>
          <w:sz w:val="24"/>
          <w:szCs w:val="24"/>
        </w:rPr>
      </w:pPr>
      <w:r w:rsidRPr="00C140A0">
        <w:rPr>
          <w:rFonts w:ascii="Verdana" w:hAnsi="Verdana" w:cs="Arial"/>
          <w:sz w:val="24"/>
          <w:szCs w:val="24"/>
        </w:rPr>
        <w:t xml:space="preserve">Mejorar la comunicación interna y el sentido de pertenencia institucional. </w:t>
      </w:r>
    </w:p>
    <w:p w:rsidR="00350C38" w:rsidRDefault="00350C38" w14:paraId="7C348874" w14:textId="77777777">
      <w:pPr>
        <w:pStyle w:val="Prrafodelista"/>
        <w:numPr>
          <w:ilvl w:val="0"/>
          <w:numId w:val="46"/>
        </w:numPr>
        <w:spacing w:after="0" w:line="360" w:lineRule="auto"/>
        <w:jc w:val="both"/>
        <w:rPr>
          <w:rFonts w:ascii="Verdana" w:hAnsi="Verdana" w:cs="Arial"/>
          <w:sz w:val="24"/>
          <w:szCs w:val="24"/>
        </w:rPr>
      </w:pPr>
      <w:r w:rsidRPr="00C140A0">
        <w:rPr>
          <w:rFonts w:ascii="Verdana" w:hAnsi="Verdana" w:cs="Arial"/>
          <w:sz w:val="24"/>
          <w:szCs w:val="24"/>
        </w:rPr>
        <w:t xml:space="preserve">Superar consistentemente las metas establecidas en los indicadores de gestión. </w:t>
      </w:r>
    </w:p>
    <w:p w:rsidRPr="00C140A0" w:rsidR="00C04ED5" w:rsidP="005358E1" w:rsidRDefault="00C04ED5" w14:paraId="0663B7EA" w14:textId="77777777">
      <w:pPr>
        <w:spacing w:after="0" w:line="360" w:lineRule="auto"/>
        <w:rPr>
          <w:rFonts w:ascii="Verdana" w:hAnsi="Verdana"/>
          <w:sz w:val="24"/>
          <w:szCs w:val="24"/>
        </w:rPr>
      </w:pPr>
    </w:p>
    <w:p w:rsidRPr="00C140A0" w:rsidR="00C04ED5" w:rsidRDefault="00A82055" w14:paraId="3A934388" w14:textId="77777777">
      <w:pPr>
        <w:pStyle w:val="Prrafodelista"/>
        <w:numPr>
          <w:ilvl w:val="0"/>
          <w:numId w:val="95"/>
        </w:numPr>
        <w:spacing w:after="0" w:line="360" w:lineRule="auto"/>
        <w:outlineLvl w:val="0"/>
        <w:rPr>
          <w:rFonts w:ascii="Verdana" w:hAnsi="Verdana"/>
          <w:b/>
          <w:bCs/>
          <w:sz w:val="24"/>
          <w:szCs w:val="24"/>
        </w:rPr>
      </w:pPr>
      <w:bookmarkStart w:name="_Toc233996770" w:id="53"/>
      <w:r w:rsidRPr="00C140A0">
        <w:rPr>
          <w:rFonts w:ascii="Verdana" w:hAnsi="Verdana"/>
          <w:b/>
          <w:bCs/>
          <w:sz w:val="24"/>
          <w:szCs w:val="24"/>
        </w:rPr>
        <w:t>Control y evaluación para el mejoramiento de la gestión</w:t>
      </w:r>
      <w:bookmarkEnd w:id="53"/>
    </w:p>
    <w:p w:rsidRPr="00C140A0" w:rsidR="00C04ED5" w:rsidP="005358E1" w:rsidRDefault="00C04ED5" w14:paraId="3E9282BC" w14:textId="77777777">
      <w:pPr>
        <w:spacing w:after="0" w:line="360" w:lineRule="auto"/>
        <w:jc w:val="both"/>
        <w:rPr>
          <w:rFonts w:ascii="Verdana" w:hAnsi="Verdana"/>
          <w:sz w:val="24"/>
          <w:szCs w:val="24"/>
        </w:rPr>
      </w:pPr>
    </w:p>
    <w:p w:rsidR="00C04ED5" w:rsidP="005358E1" w:rsidRDefault="00C04ED5" w14:paraId="15AE4755" w14:textId="77777777">
      <w:pPr>
        <w:spacing w:after="0" w:line="360" w:lineRule="auto"/>
        <w:jc w:val="both"/>
        <w:rPr>
          <w:rFonts w:ascii="Verdana" w:hAnsi="Verdana"/>
          <w:sz w:val="24"/>
          <w:szCs w:val="24"/>
        </w:rPr>
      </w:pPr>
      <w:r w:rsidRPr="00C140A0">
        <w:rPr>
          <w:rFonts w:ascii="Verdana" w:hAnsi="Verdana"/>
          <w:sz w:val="24"/>
          <w:szCs w:val="24"/>
        </w:rPr>
        <w:t xml:space="preserve">Durante el periodo comprendido entre agosto de 2022 y marzo de 2026, la Oficina de Control Interno desarrolló una gestión orientada al </w:t>
      </w:r>
      <w:r w:rsidRPr="00C140A0">
        <w:rPr>
          <w:rFonts w:ascii="Verdana" w:hAnsi="Verdana"/>
          <w:sz w:val="24"/>
          <w:szCs w:val="24"/>
        </w:rPr>
        <w:t>fortalecimiento del Sistema de Control Interno, el Modelo Integrado de Planeación y Gestión (MIPG) y el Modelo Estándar de Control Interno (MECI), contribuyendo a la mejora continua de los procesos institucionales, la gestión integral de los riesgos y el fortalecimiento de la cultura del control del Ministerio.</w:t>
      </w:r>
    </w:p>
    <w:p w:rsidRPr="00C140A0" w:rsidR="00D62FF4" w:rsidP="005358E1" w:rsidRDefault="00D62FF4" w14:paraId="59F343F8" w14:textId="77777777">
      <w:pPr>
        <w:spacing w:after="0" w:line="360" w:lineRule="auto"/>
        <w:jc w:val="both"/>
        <w:rPr>
          <w:rFonts w:ascii="Verdana" w:hAnsi="Verdana"/>
          <w:sz w:val="24"/>
          <w:szCs w:val="24"/>
        </w:rPr>
      </w:pPr>
    </w:p>
    <w:p w:rsidRPr="00C140A0" w:rsidR="00C04ED5" w:rsidP="005358E1" w:rsidRDefault="00C04ED5" w14:paraId="648374DB" w14:textId="77777777">
      <w:pPr>
        <w:spacing w:after="0" w:line="360" w:lineRule="auto"/>
        <w:jc w:val="both"/>
        <w:rPr>
          <w:rFonts w:ascii="Verdana" w:hAnsi="Verdana"/>
          <w:sz w:val="24"/>
          <w:szCs w:val="24"/>
        </w:rPr>
      </w:pPr>
      <w:r w:rsidRPr="00C140A0">
        <w:rPr>
          <w:rFonts w:ascii="Verdana" w:hAnsi="Verdana"/>
          <w:sz w:val="24"/>
          <w:szCs w:val="24"/>
        </w:rPr>
        <w:t>Lo anterior en cumplimiento de los roles definidos para las Oficinas de Control Interno, que son: liderazgo estratégico, enfoque hacia la prevención, evaluación de la gestión del riesgo, evaluación y seguimiento, y relación con entes externos de control.</w:t>
      </w:r>
    </w:p>
    <w:p w:rsidRPr="00C140A0" w:rsidR="00C04ED5" w:rsidP="005358E1" w:rsidRDefault="00C04ED5" w14:paraId="499583B2" w14:textId="77777777">
      <w:pPr>
        <w:spacing w:after="0" w:line="360" w:lineRule="auto"/>
        <w:outlineLvl w:val="0"/>
        <w:rPr>
          <w:rFonts w:ascii="Verdana" w:hAnsi="Verdana"/>
          <w:b/>
          <w:bCs/>
          <w:sz w:val="24"/>
          <w:szCs w:val="24"/>
        </w:rPr>
      </w:pPr>
    </w:p>
    <w:p w:rsidRPr="00C140A0" w:rsidR="003C4398" w:rsidRDefault="003C4398" w14:paraId="07EA206E" w14:textId="77777777">
      <w:pPr>
        <w:pStyle w:val="Ttulo2"/>
        <w:numPr>
          <w:ilvl w:val="1"/>
          <w:numId w:val="95"/>
        </w:numPr>
        <w:spacing w:before="0" w:after="0" w:line="360" w:lineRule="auto"/>
        <w:rPr>
          <w:rFonts w:ascii="Verdana" w:hAnsi="Verdana"/>
          <w:b/>
          <w:bCs/>
          <w:color w:val="auto"/>
          <w:sz w:val="24"/>
          <w:szCs w:val="24"/>
        </w:rPr>
      </w:pPr>
      <w:bookmarkStart w:name="_Toc233996771" w:id="54"/>
      <w:r w:rsidRPr="00C140A0">
        <w:rPr>
          <w:rFonts w:ascii="Verdana" w:hAnsi="Verdana"/>
          <w:b/>
          <w:bCs/>
          <w:color w:val="auto"/>
          <w:sz w:val="24"/>
          <w:szCs w:val="24"/>
        </w:rPr>
        <w:t xml:space="preserve">Principales resultados derivadas de las </w:t>
      </w:r>
      <w:r w:rsidRPr="00C140A0" w:rsidR="00B643BF">
        <w:rPr>
          <w:rFonts w:ascii="Verdana" w:hAnsi="Verdana"/>
          <w:b/>
          <w:bCs/>
          <w:color w:val="auto"/>
          <w:sz w:val="24"/>
          <w:szCs w:val="24"/>
        </w:rPr>
        <w:t>auditorías</w:t>
      </w:r>
      <w:r w:rsidRPr="00C140A0">
        <w:rPr>
          <w:rFonts w:ascii="Verdana" w:hAnsi="Verdana"/>
          <w:b/>
          <w:bCs/>
          <w:color w:val="auto"/>
          <w:sz w:val="24"/>
          <w:szCs w:val="24"/>
        </w:rPr>
        <w:t xml:space="preserve"> internas independientes</w:t>
      </w:r>
      <w:bookmarkEnd w:id="54"/>
    </w:p>
    <w:p w:rsidRPr="00C140A0" w:rsidR="00C04ED5" w:rsidP="005358E1" w:rsidRDefault="00C04ED5" w14:paraId="3BEACA7E" w14:textId="77777777">
      <w:pPr>
        <w:spacing w:after="0" w:line="360" w:lineRule="auto"/>
        <w:rPr>
          <w:rFonts w:ascii="Verdana" w:hAnsi="Verdana"/>
          <w:sz w:val="24"/>
          <w:szCs w:val="24"/>
        </w:rPr>
      </w:pPr>
    </w:p>
    <w:p w:rsidR="00C04ED5" w:rsidP="005358E1" w:rsidRDefault="00C04ED5" w14:paraId="396715E5" w14:textId="77777777">
      <w:pPr>
        <w:spacing w:after="0" w:line="360" w:lineRule="auto"/>
        <w:jc w:val="both"/>
        <w:rPr>
          <w:rFonts w:ascii="Verdana" w:hAnsi="Verdana"/>
          <w:sz w:val="24"/>
          <w:szCs w:val="24"/>
        </w:rPr>
      </w:pPr>
      <w:r w:rsidRPr="00C140A0">
        <w:rPr>
          <w:rFonts w:ascii="Verdana" w:hAnsi="Verdana"/>
          <w:sz w:val="24"/>
          <w:szCs w:val="24"/>
        </w:rPr>
        <w:t xml:space="preserve">La Oficina de Control Interno en el periodo agosto 2022 a marzo de 2026, en cumplimiento del rol de evaluación y seguimiento, realizó 395 informes discriminados en auditorías, seguimientos, evaluaciones e informes consolidados. </w:t>
      </w:r>
    </w:p>
    <w:p w:rsidRPr="00C140A0" w:rsidR="00D62FF4" w:rsidP="005358E1" w:rsidRDefault="00D62FF4" w14:paraId="42BFCF07" w14:textId="77777777">
      <w:pPr>
        <w:spacing w:after="0" w:line="360" w:lineRule="auto"/>
        <w:jc w:val="both"/>
        <w:rPr>
          <w:rFonts w:ascii="Verdana" w:hAnsi="Verdana"/>
          <w:sz w:val="24"/>
          <w:szCs w:val="24"/>
        </w:rPr>
      </w:pPr>
    </w:p>
    <w:p w:rsidRPr="00C140A0" w:rsidR="00C04ED5" w:rsidP="005358E1" w:rsidRDefault="00C04ED5" w14:paraId="53761B67" w14:textId="77777777">
      <w:pPr>
        <w:spacing w:after="0" w:line="360" w:lineRule="auto"/>
        <w:jc w:val="both"/>
        <w:rPr>
          <w:rFonts w:ascii="Verdana" w:hAnsi="Verdana"/>
          <w:sz w:val="24"/>
          <w:szCs w:val="24"/>
        </w:rPr>
      </w:pPr>
      <w:r w:rsidRPr="00C140A0">
        <w:rPr>
          <w:rFonts w:ascii="Verdana" w:hAnsi="Verdana"/>
          <w:sz w:val="24"/>
          <w:szCs w:val="24"/>
        </w:rPr>
        <w:t>Como resultado de estas actividades se evidenciaron situaciones susceptibles de mejora relacionadas, entre otros, con los siguientes aspectos:</w:t>
      </w:r>
    </w:p>
    <w:p w:rsidRPr="00C140A0" w:rsidR="00C04ED5" w:rsidRDefault="00C04ED5" w14:paraId="750632C7" w14:textId="77777777">
      <w:pPr>
        <w:pStyle w:val="Prrafodelista"/>
        <w:numPr>
          <w:ilvl w:val="0"/>
          <w:numId w:val="43"/>
        </w:numPr>
        <w:spacing w:after="0" w:line="360" w:lineRule="auto"/>
        <w:ind w:left="709" w:hanging="283"/>
        <w:jc w:val="both"/>
        <w:rPr>
          <w:rFonts w:ascii="Verdana" w:hAnsi="Verdana"/>
          <w:sz w:val="24"/>
          <w:szCs w:val="24"/>
        </w:rPr>
      </w:pPr>
      <w:r w:rsidRPr="00C140A0">
        <w:rPr>
          <w:rFonts w:ascii="Verdana" w:hAnsi="Verdana"/>
          <w:sz w:val="24"/>
          <w:szCs w:val="24"/>
        </w:rPr>
        <w:t>Atención a las PQRSD, por extemporaneidad en la atención, tipificación de las peticiones y gestión en los traslados por competencia.</w:t>
      </w:r>
    </w:p>
    <w:p w:rsidRPr="00C140A0" w:rsidR="00C04ED5" w:rsidRDefault="00C04ED5" w14:paraId="09D6FFDF" w14:textId="77777777">
      <w:pPr>
        <w:pStyle w:val="Prrafodelista"/>
        <w:numPr>
          <w:ilvl w:val="0"/>
          <w:numId w:val="43"/>
        </w:numPr>
        <w:spacing w:after="0" w:line="360" w:lineRule="auto"/>
        <w:ind w:left="709" w:hanging="283"/>
        <w:jc w:val="both"/>
        <w:rPr>
          <w:rFonts w:ascii="Verdana" w:hAnsi="Verdana"/>
          <w:sz w:val="24"/>
          <w:szCs w:val="24"/>
        </w:rPr>
      </w:pPr>
      <w:r w:rsidRPr="00C140A0">
        <w:rPr>
          <w:rFonts w:ascii="Verdana" w:hAnsi="Verdana"/>
          <w:sz w:val="24"/>
          <w:szCs w:val="24"/>
        </w:rPr>
        <w:t>Publicación de la información precontractual, contractual y post-contractual en SECOP y seguimiento de estas etapas por parte de los supervisores de los contratos.</w:t>
      </w:r>
    </w:p>
    <w:p w:rsidRPr="00C140A0" w:rsidR="00C04ED5" w:rsidRDefault="00C04ED5" w14:paraId="1822BFFE" w14:textId="77777777">
      <w:pPr>
        <w:pStyle w:val="Prrafodelista"/>
        <w:numPr>
          <w:ilvl w:val="0"/>
          <w:numId w:val="43"/>
        </w:numPr>
        <w:spacing w:after="0" w:line="360" w:lineRule="auto"/>
        <w:ind w:left="709" w:hanging="283"/>
        <w:jc w:val="both"/>
        <w:rPr>
          <w:rFonts w:ascii="Verdana" w:hAnsi="Verdana"/>
          <w:sz w:val="24"/>
          <w:szCs w:val="24"/>
        </w:rPr>
      </w:pPr>
      <w:r w:rsidRPr="00C140A0">
        <w:rPr>
          <w:rFonts w:ascii="Verdana" w:hAnsi="Verdana"/>
          <w:sz w:val="24"/>
          <w:szCs w:val="24"/>
        </w:rPr>
        <w:t>Monitoreo y seguimiento de los riesgos de los proyectos de inversión y de los identificados en la matriz de riesgos del Ministerio de Minas y Energía.</w:t>
      </w:r>
    </w:p>
    <w:p w:rsidRPr="00C140A0" w:rsidR="00C04ED5" w:rsidRDefault="00C04ED5" w14:paraId="082C2CAC" w14:textId="77777777">
      <w:pPr>
        <w:pStyle w:val="Prrafodelista"/>
        <w:numPr>
          <w:ilvl w:val="0"/>
          <w:numId w:val="43"/>
        </w:numPr>
        <w:spacing w:after="0" w:line="360" w:lineRule="auto"/>
        <w:ind w:left="709" w:hanging="283"/>
        <w:jc w:val="both"/>
        <w:rPr>
          <w:rFonts w:ascii="Verdana" w:hAnsi="Verdana"/>
          <w:sz w:val="24"/>
          <w:szCs w:val="24"/>
        </w:rPr>
      </w:pPr>
      <w:r w:rsidRPr="00C140A0">
        <w:rPr>
          <w:rFonts w:ascii="Verdana" w:hAnsi="Verdana"/>
          <w:sz w:val="24"/>
          <w:szCs w:val="24"/>
        </w:rPr>
        <w:t>Liquidación de los contratos y convenios por fuera de los términos establecidos por ley.</w:t>
      </w:r>
    </w:p>
    <w:p w:rsidRPr="00C140A0" w:rsidR="00C04ED5" w:rsidRDefault="00C04ED5" w14:paraId="21BA7B35" w14:textId="77777777">
      <w:pPr>
        <w:pStyle w:val="Prrafodelista"/>
        <w:numPr>
          <w:ilvl w:val="0"/>
          <w:numId w:val="43"/>
        </w:numPr>
        <w:spacing w:after="0" w:line="360" w:lineRule="auto"/>
        <w:ind w:left="709" w:hanging="283"/>
        <w:jc w:val="both"/>
        <w:rPr>
          <w:rFonts w:ascii="Verdana" w:hAnsi="Verdana"/>
          <w:sz w:val="24"/>
          <w:szCs w:val="24"/>
        </w:rPr>
      </w:pPr>
      <w:r w:rsidRPr="00C140A0">
        <w:rPr>
          <w:rFonts w:ascii="Verdana" w:hAnsi="Verdana"/>
          <w:sz w:val="24"/>
          <w:szCs w:val="24"/>
        </w:rPr>
        <w:t>Actualización y ejecución del Programa de Gestión Documental (PGD)de acuerdo con los lineamientos establecidos por el Archivo General de la Nación (AGN).</w:t>
      </w:r>
    </w:p>
    <w:p w:rsidRPr="00C140A0" w:rsidR="00C04ED5" w:rsidRDefault="00C04ED5" w14:paraId="0A1566FD" w14:textId="77777777">
      <w:pPr>
        <w:pStyle w:val="Prrafodelista"/>
        <w:numPr>
          <w:ilvl w:val="0"/>
          <w:numId w:val="43"/>
        </w:numPr>
        <w:spacing w:after="0" w:line="360" w:lineRule="auto"/>
        <w:ind w:left="709" w:hanging="283"/>
        <w:jc w:val="both"/>
        <w:rPr>
          <w:rFonts w:ascii="Verdana" w:hAnsi="Verdana"/>
          <w:sz w:val="24"/>
          <w:szCs w:val="24"/>
        </w:rPr>
      </w:pPr>
      <w:r w:rsidRPr="00C140A0">
        <w:rPr>
          <w:rFonts w:ascii="Verdana" w:hAnsi="Verdana"/>
          <w:sz w:val="24"/>
          <w:szCs w:val="24"/>
        </w:rPr>
        <w:t>Cumplimiento de las políticas de operación en la formulación de indicadores y productos del Plan de Acción Institucional.</w:t>
      </w:r>
    </w:p>
    <w:p w:rsidRPr="00C140A0" w:rsidR="00C04ED5" w:rsidRDefault="23EABE12" w14:paraId="721CBD5E" w14:textId="77777777">
      <w:pPr>
        <w:pStyle w:val="Prrafodelista"/>
        <w:numPr>
          <w:ilvl w:val="0"/>
          <w:numId w:val="43"/>
        </w:numPr>
        <w:spacing w:after="0" w:line="360" w:lineRule="auto"/>
        <w:ind w:left="709" w:hanging="283"/>
        <w:jc w:val="both"/>
        <w:rPr>
          <w:rFonts w:ascii="Verdana" w:hAnsi="Verdana"/>
          <w:sz w:val="24"/>
          <w:szCs w:val="24"/>
        </w:rPr>
      </w:pPr>
      <w:r w:rsidRPr="180099B3">
        <w:rPr>
          <w:rFonts w:ascii="Verdana" w:hAnsi="Verdana"/>
          <w:sz w:val="24"/>
          <w:szCs w:val="24"/>
        </w:rPr>
        <w:t>Diferencias entre lo reportado por las dependencias en su plan de acción institucional y las evidencias verificadas por la Oficina de Control Interno.</w:t>
      </w:r>
    </w:p>
    <w:p w:rsidR="180099B3" w:rsidP="005358E1" w:rsidRDefault="180099B3" w14:paraId="5399A799" w14:textId="77777777">
      <w:pPr>
        <w:spacing w:after="0" w:line="360" w:lineRule="auto"/>
        <w:jc w:val="both"/>
        <w:rPr>
          <w:rFonts w:ascii="Verdana" w:hAnsi="Verdana"/>
          <w:sz w:val="24"/>
          <w:szCs w:val="24"/>
        </w:rPr>
      </w:pPr>
    </w:p>
    <w:p w:rsidRPr="00C140A0" w:rsidR="00C04ED5" w:rsidP="005358E1" w:rsidRDefault="00C04ED5" w14:paraId="48BF7A83" w14:textId="77777777">
      <w:pPr>
        <w:spacing w:after="0" w:line="360" w:lineRule="auto"/>
        <w:jc w:val="both"/>
        <w:rPr>
          <w:rFonts w:ascii="Verdana" w:hAnsi="Verdana"/>
          <w:sz w:val="24"/>
          <w:szCs w:val="24"/>
        </w:rPr>
      </w:pPr>
      <w:r w:rsidRPr="00C140A0">
        <w:rPr>
          <w:rFonts w:ascii="Verdana" w:hAnsi="Verdana"/>
          <w:sz w:val="24"/>
          <w:szCs w:val="24"/>
        </w:rPr>
        <w:t>Como resultados de lo anterior, se identificaron 74 hallazgos y 105 oportunidades de mejora, para lo cual, las dependencias responsables han formulado 53 planes de mejora, con el fin de eliminar las causas que dieron origen a las situaciones identificadas por esta Oficina.</w:t>
      </w:r>
    </w:p>
    <w:p w:rsidR="00D62FF4" w:rsidP="005358E1" w:rsidRDefault="00D62FF4" w14:paraId="74CBDCF0" w14:textId="77777777">
      <w:pPr>
        <w:spacing w:after="0" w:line="360" w:lineRule="auto"/>
        <w:jc w:val="both"/>
        <w:rPr>
          <w:rFonts w:ascii="Verdana" w:hAnsi="Verdana"/>
          <w:sz w:val="24"/>
          <w:szCs w:val="24"/>
        </w:rPr>
      </w:pPr>
    </w:p>
    <w:p w:rsidRPr="00C140A0" w:rsidR="00C04ED5" w:rsidP="005358E1" w:rsidRDefault="00C04ED5" w14:paraId="4BE7CBDD" w14:textId="77777777">
      <w:pPr>
        <w:spacing w:after="0" w:line="360" w:lineRule="auto"/>
        <w:jc w:val="both"/>
        <w:rPr>
          <w:rFonts w:ascii="Verdana" w:hAnsi="Verdana"/>
          <w:sz w:val="24"/>
          <w:szCs w:val="24"/>
        </w:rPr>
      </w:pPr>
      <w:r w:rsidRPr="00C140A0">
        <w:rPr>
          <w:rFonts w:ascii="Verdana" w:hAnsi="Verdana"/>
          <w:sz w:val="24"/>
          <w:szCs w:val="24"/>
        </w:rPr>
        <w:t>Adicionalmente, en el marco de los roles de liderazgo estratégico y enfoque hacia la prevención, se realizaron 170 ejercicios de acompañamiento y   asesoría; así mismo, se participó como invitado permanente con voz y sin voto a los comités de contratación, conciliación, sostenibilidad contable, becas, teletrabajo, entre otros.</w:t>
      </w:r>
    </w:p>
    <w:p w:rsidR="00D62FF4" w:rsidP="005358E1" w:rsidRDefault="00D62FF4" w14:paraId="1684ADB0" w14:textId="77777777">
      <w:pPr>
        <w:spacing w:after="0" w:line="360" w:lineRule="auto"/>
        <w:jc w:val="both"/>
        <w:rPr>
          <w:rFonts w:ascii="Verdana" w:hAnsi="Verdana"/>
          <w:sz w:val="24"/>
          <w:szCs w:val="24"/>
        </w:rPr>
      </w:pPr>
    </w:p>
    <w:p w:rsidRPr="00C140A0" w:rsidR="000A1610" w:rsidP="005358E1" w:rsidRDefault="00C04ED5" w14:paraId="7B07E897" w14:textId="77777777">
      <w:pPr>
        <w:spacing w:after="0" w:line="360" w:lineRule="auto"/>
        <w:jc w:val="both"/>
        <w:rPr>
          <w:rFonts w:ascii="Verdana" w:hAnsi="Verdana"/>
          <w:sz w:val="24"/>
          <w:szCs w:val="24"/>
        </w:rPr>
      </w:pPr>
      <w:r w:rsidRPr="00C140A0">
        <w:rPr>
          <w:rFonts w:ascii="Verdana" w:hAnsi="Verdana"/>
          <w:sz w:val="24"/>
          <w:szCs w:val="24"/>
        </w:rPr>
        <w:t>Los informes de auditoría independiente pueden ser consultados en el portal web institucional:</w:t>
      </w:r>
    </w:p>
    <w:p w:rsidRPr="00C140A0" w:rsidR="00C04ED5" w:rsidP="005358E1" w:rsidRDefault="366B9B18" w14:paraId="7972D6C6" w14:textId="77777777">
      <w:pPr>
        <w:spacing w:after="0" w:line="360" w:lineRule="auto"/>
        <w:jc w:val="both"/>
        <w:rPr>
          <w:rFonts w:ascii="Verdana" w:hAnsi="Verdana"/>
          <w:sz w:val="18"/>
          <w:szCs w:val="18"/>
        </w:rPr>
      </w:pPr>
      <w:hyperlink r:id="rId79">
        <w:r w:rsidRPr="180099B3">
          <w:rPr>
            <w:rStyle w:val="Hipervnculo"/>
            <w:rFonts w:ascii="Verdana" w:hAnsi="Verdana"/>
            <w:sz w:val="24"/>
            <w:szCs w:val="24"/>
          </w:rPr>
          <w:t>h</w:t>
        </w:r>
        <w:r w:rsidRPr="180099B3">
          <w:rPr>
            <w:rStyle w:val="Hipervnculo"/>
            <w:rFonts w:ascii="Verdana" w:hAnsi="Verdana"/>
            <w:sz w:val="18"/>
            <w:szCs w:val="18"/>
          </w:rPr>
          <w:t>ttps://www.minenergia.gov.co/es/ministerio/gestion/control-interno/</w:t>
        </w:r>
      </w:hyperlink>
    </w:p>
    <w:p w:rsidRPr="00C140A0" w:rsidR="00C04ED5" w:rsidP="005358E1" w:rsidRDefault="00C04ED5" w14:paraId="45A655C0" w14:textId="77777777">
      <w:pPr>
        <w:spacing w:after="0" w:line="360" w:lineRule="auto"/>
        <w:rPr>
          <w:rFonts w:ascii="Verdana" w:hAnsi="Verdana"/>
          <w:sz w:val="24"/>
          <w:szCs w:val="24"/>
        </w:rPr>
      </w:pPr>
    </w:p>
    <w:p w:rsidRPr="00C140A0" w:rsidR="003C4398" w:rsidRDefault="003C4398" w14:paraId="19348F47" w14:textId="77777777">
      <w:pPr>
        <w:pStyle w:val="Ttulo2"/>
        <w:numPr>
          <w:ilvl w:val="1"/>
          <w:numId w:val="95"/>
        </w:numPr>
        <w:spacing w:before="0" w:after="0" w:line="360" w:lineRule="auto"/>
        <w:rPr>
          <w:rFonts w:ascii="Verdana" w:hAnsi="Verdana"/>
          <w:b/>
          <w:bCs/>
          <w:color w:val="auto"/>
          <w:sz w:val="24"/>
          <w:szCs w:val="24"/>
        </w:rPr>
      </w:pPr>
      <w:bookmarkStart w:name="_Toc233996772" w:id="55"/>
      <w:r w:rsidRPr="00C140A0">
        <w:rPr>
          <w:rFonts w:ascii="Verdana" w:hAnsi="Verdana"/>
          <w:b/>
          <w:bCs/>
          <w:color w:val="auto"/>
          <w:sz w:val="24"/>
          <w:szCs w:val="24"/>
        </w:rPr>
        <w:t>Relacionamiento y compromisos con entes de control</w:t>
      </w:r>
      <w:bookmarkEnd w:id="55"/>
    </w:p>
    <w:p w:rsidRPr="00C140A0" w:rsidR="000A1610" w:rsidP="005358E1" w:rsidRDefault="000A1610" w14:paraId="1069592F" w14:textId="77777777">
      <w:pPr>
        <w:spacing w:after="0" w:line="360" w:lineRule="auto"/>
        <w:jc w:val="both"/>
        <w:rPr>
          <w:rFonts w:ascii="Verdana" w:hAnsi="Verdana"/>
          <w:sz w:val="24"/>
          <w:szCs w:val="24"/>
        </w:rPr>
      </w:pPr>
    </w:p>
    <w:p w:rsidRPr="00C140A0" w:rsidR="000A1610" w:rsidP="005358E1" w:rsidRDefault="000A1610" w14:paraId="348F1101" w14:textId="77777777">
      <w:pPr>
        <w:spacing w:after="0" w:line="360" w:lineRule="auto"/>
        <w:jc w:val="both"/>
        <w:rPr>
          <w:rFonts w:ascii="Verdana" w:hAnsi="Verdana"/>
          <w:sz w:val="24"/>
          <w:szCs w:val="24"/>
        </w:rPr>
      </w:pPr>
      <w:r w:rsidRPr="00C140A0">
        <w:rPr>
          <w:rFonts w:ascii="Verdana" w:hAnsi="Verdana"/>
          <w:sz w:val="24"/>
          <w:szCs w:val="24"/>
        </w:rPr>
        <w:t>La Oficina de Control Interno en su rol de relación con entes externos de control, realizó acompañamiento a las áreas de la entidad, en la atención a solicitudes de información de la Procuraduría General de la Nación (PGN), Contraloría General de la República (CGR) y Defensoría del Pueblo, así mismo, atendió las siguientes auditorías realizadas por parte del ente de control fiscal en el periodo agosto 2022 y marzo 2026:</w:t>
      </w:r>
    </w:p>
    <w:p w:rsidRPr="00C140A0" w:rsidR="00744444" w:rsidP="005358E1" w:rsidRDefault="00744444" w14:paraId="6F8C1E4A" w14:textId="77777777">
      <w:pPr>
        <w:spacing w:after="0" w:line="360" w:lineRule="auto"/>
        <w:jc w:val="both"/>
        <w:rPr>
          <w:rFonts w:ascii="Verdana" w:hAnsi="Verdana"/>
          <w:sz w:val="24"/>
          <w:szCs w:val="24"/>
        </w:rPr>
      </w:pPr>
    </w:p>
    <w:p w:rsidR="0D30F734" w:rsidP="180099B3" w:rsidRDefault="0D30F734" w14:paraId="6D72EF4C" w14:textId="11396B2D">
      <w:pPr>
        <w:spacing w:after="0" w:line="240" w:lineRule="auto"/>
        <w:jc w:val="center"/>
        <w:rPr>
          <w:rFonts w:ascii="Verdana" w:hAnsi="Verdana"/>
          <w:sz w:val="18"/>
          <w:szCs w:val="18"/>
        </w:rPr>
      </w:pPr>
      <w:r w:rsidRPr="180099B3">
        <w:rPr>
          <w:rFonts w:ascii="Verdana" w:hAnsi="Verdana"/>
          <w:sz w:val="18"/>
          <w:szCs w:val="18"/>
        </w:rPr>
        <w:t>Tabla No. 7</w:t>
      </w:r>
      <w:r w:rsidR="00D94015">
        <w:rPr>
          <w:rFonts w:ascii="Verdana" w:hAnsi="Verdana"/>
          <w:sz w:val="18"/>
          <w:szCs w:val="18"/>
        </w:rPr>
        <w:t>9</w:t>
      </w:r>
      <w:r w:rsidRPr="180099B3" w:rsidR="14BDE5C8">
        <w:rPr>
          <w:rFonts w:ascii="Verdana" w:hAnsi="Verdana"/>
          <w:sz w:val="18"/>
          <w:szCs w:val="18"/>
        </w:rPr>
        <w:t xml:space="preserve">. </w:t>
      </w:r>
      <w:r w:rsidRPr="180099B3">
        <w:rPr>
          <w:rFonts w:ascii="Verdana" w:hAnsi="Verdana"/>
          <w:sz w:val="18"/>
          <w:szCs w:val="18"/>
        </w:rPr>
        <w:t xml:space="preserve"> </w:t>
      </w:r>
      <w:r w:rsidRPr="180099B3" w:rsidR="1CD68890">
        <w:rPr>
          <w:rFonts w:ascii="Verdana" w:hAnsi="Verdana"/>
          <w:sz w:val="18"/>
          <w:szCs w:val="18"/>
        </w:rPr>
        <w:t>Auditorias 2022-2026</w:t>
      </w:r>
    </w:p>
    <w:tbl>
      <w:tblPr>
        <w:tblStyle w:val="Tablaconcuadrcula"/>
        <w:tblW w:w="8828" w:type="dxa"/>
        <w:jc w:val="center"/>
        <w:tblLook w:val="04A0" w:firstRow="1" w:lastRow="0" w:firstColumn="1" w:lastColumn="0" w:noHBand="0" w:noVBand="1"/>
      </w:tblPr>
      <w:tblGrid>
        <w:gridCol w:w="1440"/>
        <w:gridCol w:w="7388"/>
      </w:tblGrid>
      <w:tr w:rsidRPr="00D62FF4" w:rsidR="000A1610" w:rsidTr="00EB1944" w14:paraId="7FB7018E" w14:textId="77777777">
        <w:trPr>
          <w:trHeight w:val="416"/>
          <w:jc w:val="center"/>
        </w:trPr>
        <w:tc>
          <w:tcPr>
            <w:tcW w:w="1440" w:type="dxa"/>
            <w:shd w:val="clear" w:color="auto" w:fill="A6A6A6" w:themeFill="background1" w:themeFillShade="A6"/>
            <w:vAlign w:val="center"/>
          </w:tcPr>
          <w:p w:rsidRPr="00D62FF4" w:rsidR="000A1610" w:rsidP="00D62FF4" w:rsidRDefault="000A1610" w14:paraId="6D531E88" w14:textId="77777777">
            <w:pPr>
              <w:jc w:val="center"/>
              <w:rPr>
                <w:rFonts w:ascii="Verdana" w:hAnsi="Verdana"/>
                <w:b/>
                <w:bCs/>
                <w:sz w:val="18"/>
                <w:szCs w:val="18"/>
              </w:rPr>
            </w:pPr>
            <w:r w:rsidRPr="00D62FF4">
              <w:rPr>
                <w:rFonts w:ascii="Verdana" w:hAnsi="Verdana"/>
                <w:b/>
                <w:bCs/>
                <w:sz w:val="18"/>
                <w:szCs w:val="18"/>
              </w:rPr>
              <w:t>Vigencia</w:t>
            </w:r>
          </w:p>
        </w:tc>
        <w:tc>
          <w:tcPr>
            <w:tcW w:w="7388" w:type="dxa"/>
            <w:shd w:val="clear" w:color="auto" w:fill="A6A6A6" w:themeFill="background1" w:themeFillShade="A6"/>
            <w:vAlign w:val="center"/>
          </w:tcPr>
          <w:p w:rsidRPr="00D62FF4" w:rsidR="000A1610" w:rsidP="00D62FF4" w:rsidRDefault="000A1610" w14:paraId="28C74536" w14:textId="77777777">
            <w:pPr>
              <w:jc w:val="center"/>
              <w:rPr>
                <w:rFonts w:ascii="Verdana" w:hAnsi="Verdana"/>
                <w:b/>
                <w:bCs/>
                <w:sz w:val="18"/>
                <w:szCs w:val="18"/>
              </w:rPr>
            </w:pPr>
            <w:r w:rsidRPr="00D62FF4">
              <w:rPr>
                <w:rFonts w:ascii="Verdana" w:hAnsi="Verdana"/>
                <w:b/>
                <w:bCs/>
                <w:sz w:val="18"/>
                <w:szCs w:val="18"/>
              </w:rPr>
              <w:t>Nombre de la Auditoría</w:t>
            </w:r>
          </w:p>
        </w:tc>
      </w:tr>
      <w:tr w:rsidRPr="00D62FF4" w:rsidR="000A1610" w:rsidTr="00EB1944" w14:paraId="01EAA4DA" w14:textId="77777777">
        <w:trPr>
          <w:jc w:val="center"/>
        </w:trPr>
        <w:tc>
          <w:tcPr>
            <w:tcW w:w="1440" w:type="dxa"/>
            <w:vAlign w:val="center"/>
          </w:tcPr>
          <w:p w:rsidRPr="00D62FF4" w:rsidR="000A1610" w:rsidP="00D62FF4" w:rsidRDefault="000A1610" w14:paraId="2AC395BB" w14:textId="77777777">
            <w:pPr>
              <w:jc w:val="center"/>
              <w:rPr>
                <w:rFonts w:ascii="Verdana" w:hAnsi="Verdana"/>
                <w:sz w:val="18"/>
                <w:szCs w:val="18"/>
              </w:rPr>
            </w:pPr>
            <w:r w:rsidRPr="00D62FF4">
              <w:rPr>
                <w:rFonts w:ascii="Verdana" w:hAnsi="Verdana"/>
                <w:sz w:val="18"/>
                <w:szCs w:val="18"/>
              </w:rPr>
              <w:t>2022</w:t>
            </w:r>
          </w:p>
        </w:tc>
        <w:tc>
          <w:tcPr>
            <w:tcW w:w="7388" w:type="dxa"/>
            <w:vAlign w:val="center"/>
          </w:tcPr>
          <w:p w:rsidRPr="00D62FF4" w:rsidR="000A1610" w:rsidP="00D62FF4" w:rsidRDefault="000A1610" w14:paraId="2C53E533" w14:textId="77777777">
            <w:pPr>
              <w:pStyle w:val="Prrafodelista"/>
              <w:suppressAutoHyphens/>
              <w:ind w:hanging="360"/>
              <w:jc w:val="both"/>
              <w:rPr>
                <w:rFonts w:ascii="Verdana" w:hAnsi="Verdana"/>
                <w:sz w:val="18"/>
                <w:szCs w:val="18"/>
              </w:rPr>
            </w:pPr>
            <w:r w:rsidRPr="00D62FF4">
              <w:rPr>
                <w:rFonts w:ascii="Verdana" w:hAnsi="Verdana"/>
                <w:sz w:val="18"/>
                <w:szCs w:val="18"/>
              </w:rPr>
              <w:t>Auditoría Especial Subsidios Combustibles Nariño</w:t>
            </w:r>
          </w:p>
          <w:p w:rsidRPr="00D62FF4" w:rsidR="000A1610" w:rsidP="00D62FF4" w:rsidRDefault="000A1610" w14:paraId="298CAD32" w14:textId="77777777">
            <w:pPr>
              <w:pStyle w:val="Prrafodelista"/>
              <w:suppressAutoHyphens/>
              <w:ind w:hanging="360"/>
              <w:jc w:val="both"/>
              <w:rPr>
                <w:rFonts w:ascii="Verdana" w:hAnsi="Verdana"/>
                <w:sz w:val="18"/>
                <w:szCs w:val="18"/>
              </w:rPr>
            </w:pPr>
            <w:r w:rsidRPr="00D62FF4">
              <w:rPr>
                <w:rFonts w:ascii="Verdana" w:hAnsi="Verdana"/>
                <w:sz w:val="18"/>
                <w:szCs w:val="18"/>
              </w:rPr>
              <w:t>Auditoria BID- Municipios PDET</w:t>
            </w:r>
          </w:p>
          <w:p w:rsidRPr="00D62FF4" w:rsidR="000A1610" w:rsidP="00D62FF4" w:rsidRDefault="000A1610" w14:paraId="14DD1E93" w14:textId="77777777">
            <w:pPr>
              <w:pStyle w:val="Prrafodelista"/>
              <w:suppressAutoHyphens/>
              <w:ind w:hanging="360"/>
              <w:jc w:val="both"/>
              <w:rPr>
                <w:rFonts w:ascii="Verdana" w:hAnsi="Verdana"/>
                <w:sz w:val="18"/>
                <w:szCs w:val="18"/>
              </w:rPr>
            </w:pPr>
            <w:r w:rsidRPr="00D62FF4">
              <w:rPr>
                <w:rFonts w:ascii="Verdana" w:hAnsi="Verdana"/>
                <w:sz w:val="18"/>
                <w:szCs w:val="18"/>
              </w:rPr>
              <w:t>Auditoría FENOGE</w:t>
            </w:r>
          </w:p>
        </w:tc>
      </w:tr>
      <w:tr w:rsidRPr="00D62FF4" w:rsidR="000A1610" w:rsidTr="00EB1944" w14:paraId="4F289BA8" w14:textId="77777777">
        <w:trPr>
          <w:trHeight w:val="1050"/>
          <w:jc w:val="center"/>
        </w:trPr>
        <w:tc>
          <w:tcPr>
            <w:tcW w:w="1440" w:type="dxa"/>
            <w:vAlign w:val="center"/>
          </w:tcPr>
          <w:p w:rsidRPr="00D62FF4" w:rsidR="000A1610" w:rsidP="00D62FF4" w:rsidRDefault="000A1610" w14:paraId="21C3028F" w14:textId="77777777">
            <w:pPr>
              <w:jc w:val="center"/>
              <w:rPr>
                <w:rFonts w:ascii="Verdana" w:hAnsi="Verdana"/>
                <w:sz w:val="18"/>
                <w:szCs w:val="18"/>
              </w:rPr>
            </w:pPr>
            <w:r w:rsidRPr="00D62FF4">
              <w:rPr>
                <w:rFonts w:ascii="Verdana" w:hAnsi="Verdana"/>
                <w:sz w:val="18"/>
                <w:szCs w:val="18"/>
              </w:rPr>
              <w:t>2023</w:t>
            </w:r>
          </w:p>
        </w:tc>
        <w:tc>
          <w:tcPr>
            <w:tcW w:w="7388" w:type="dxa"/>
            <w:vAlign w:val="center"/>
          </w:tcPr>
          <w:p w:rsidRPr="00D62FF4" w:rsidR="000A1610" w:rsidP="00D62FF4" w:rsidRDefault="000A1610" w14:paraId="5145E6BE" w14:textId="77777777">
            <w:pPr>
              <w:pStyle w:val="Prrafodelista"/>
              <w:suppressAutoHyphens/>
              <w:ind w:hanging="360"/>
              <w:jc w:val="both"/>
              <w:rPr>
                <w:rFonts w:ascii="Verdana" w:hAnsi="Verdana"/>
                <w:sz w:val="18"/>
                <w:szCs w:val="18"/>
              </w:rPr>
            </w:pPr>
            <w:r w:rsidRPr="00D62FF4">
              <w:rPr>
                <w:rFonts w:ascii="Verdana" w:hAnsi="Verdana"/>
                <w:sz w:val="18"/>
                <w:szCs w:val="18"/>
              </w:rPr>
              <w:t>Auditoría Financiera Vigencia 2022</w:t>
            </w:r>
          </w:p>
          <w:p w:rsidRPr="00D62FF4" w:rsidR="000A1610" w:rsidP="00D62FF4" w:rsidRDefault="000A1610" w14:paraId="01B1D9C0" w14:textId="77777777">
            <w:pPr>
              <w:pStyle w:val="Prrafodelista"/>
              <w:suppressAutoHyphens/>
              <w:ind w:hanging="360"/>
              <w:jc w:val="both"/>
              <w:rPr>
                <w:rFonts w:ascii="Verdana" w:hAnsi="Verdana"/>
                <w:sz w:val="18"/>
                <w:szCs w:val="18"/>
              </w:rPr>
            </w:pPr>
            <w:r w:rsidRPr="00D62FF4">
              <w:rPr>
                <w:rFonts w:ascii="Verdana" w:hAnsi="Verdana"/>
                <w:sz w:val="18"/>
                <w:szCs w:val="18"/>
              </w:rPr>
              <w:t>Auditoría Cumplimiento Fondos FSSRI, PRONE, FAER</w:t>
            </w:r>
          </w:p>
          <w:p w:rsidRPr="00D62FF4" w:rsidR="000A1610" w:rsidP="00D62FF4" w:rsidRDefault="000A1610" w14:paraId="1EFB3C3F" w14:textId="77777777">
            <w:pPr>
              <w:pStyle w:val="Prrafodelista"/>
              <w:suppressAutoHyphens/>
              <w:ind w:hanging="360"/>
              <w:jc w:val="both"/>
              <w:rPr>
                <w:rFonts w:ascii="Verdana" w:hAnsi="Verdana"/>
                <w:sz w:val="18"/>
                <w:szCs w:val="18"/>
              </w:rPr>
            </w:pPr>
            <w:r w:rsidRPr="00D62FF4">
              <w:rPr>
                <w:rFonts w:ascii="Verdana" w:hAnsi="Verdana"/>
                <w:sz w:val="18"/>
                <w:szCs w:val="18"/>
              </w:rPr>
              <w:t>Auditoria Subsidios gas Combustible e infraestructura</w:t>
            </w:r>
          </w:p>
          <w:p w:rsidRPr="00D62FF4" w:rsidR="000A1610" w:rsidP="00D62FF4" w:rsidRDefault="000A1610" w14:paraId="2742F7C9" w14:textId="77777777">
            <w:pPr>
              <w:pStyle w:val="Prrafodelista"/>
              <w:suppressAutoHyphens/>
              <w:ind w:hanging="360"/>
              <w:jc w:val="both"/>
              <w:rPr>
                <w:rFonts w:ascii="Verdana" w:hAnsi="Verdana"/>
                <w:sz w:val="18"/>
                <w:szCs w:val="18"/>
              </w:rPr>
            </w:pPr>
            <w:r w:rsidRPr="00D62FF4">
              <w:rPr>
                <w:rFonts w:ascii="Verdana" w:hAnsi="Verdana"/>
                <w:sz w:val="18"/>
                <w:szCs w:val="18"/>
              </w:rPr>
              <w:t>Auditoría Cumplimiento FAZNI 2021-2022</w:t>
            </w:r>
          </w:p>
        </w:tc>
      </w:tr>
      <w:tr w:rsidRPr="00D62FF4" w:rsidR="000A1610" w:rsidTr="00EB1944" w14:paraId="6F0CE6D6" w14:textId="77777777">
        <w:trPr>
          <w:jc w:val="center"/>
        </w:trPr>
        <w:tc>
          <w:tcPr>
            <w:tcW w:w="1440" w:type="dxa"/>
            <w:vAlign w:val="center"/>
          </w:tcPr>
          <w:p w:rsidRPr="00D62FF4" w:rsidR="000A1610" w:rsidP="00D62FF4" w:rsidRDefault="000A1610" w14:paraId="63E85A5D" w14:textId="77777777">
            <w:pPr>
              <w:jc w:val="center"/>
              <w:rPr>
                <w:rFonts w:ascii="Verdana" w:hAnsi="Verdana"/>
                <w:sz w:val="18"/>
                <w:szCs w:val="18"/>
              </w:rPr>
            </w:pPr>
            <w:r w:rsidRPr="00D62FF4">
              <w:rPr>
                <w:rFonts w:ascii="Verdana" w:hAnsi="Verdana"/>
                <w:sz w:val="18"/>
                <w:szCs w:val="18"/>
              </w:rPr>
              <w:t>2024</w:t>
            </w:r>
          </w:p>
        </w:tc>
        <w:tc>
          <w:tcPr>
            <w:tcW w:w="7388" w:type="dxa"/>
            <w:vAlign w:val="center"/>
          </w:tcPr>
          <w:p w:rsidRPr="00D62FF4" w:rsidR="000A1610" w:rsidP="00D62FF4" w:rsidRDefault="000A1610" w14:paraId="63DF95EC" w14:textId="77777777">
            <w:pPr>
              <w:pStyle w:val="Prrafodelista"/>
              <w:suppressAutoHyphens/>
              <w:ind w:hanging="360"/>
              <w:jc w:val="both"/>
              <w:rPr>
                <w:rFonts w:ascii="Verdana" w:hAnsi="Verdana"/>
                <w:sz w:val="18"/>
                <w:szCs w:val="18"/>
              </w:rPr>
            </w:pPr>
            <w:r w:rsidRPr="00D62FF4">
              <w:rPr>
                <w:rFonts w:ascii="Verdana" w:hAnsi="Verdana"/>
                <w:sz w:val="18"/>
                <w:szCs w:val="18"/>
              </w:rPr>
              <w:t>Auditoría Financiera Vigencia 2023</w:t>
            </w:r>
          </w:p>
          <w:p w:rsidRPr="00D62FF4" w:rsidR="000A1610" w:rsidP="00D62FF4" w:rsidRDefault="000A1610" w14:paraId="13876D68" w14:textId="77777777">
            <w:pPr>
              <w:pStyle w:val="Prrafodelista"/>
              <w:suppressAutoHyphens/>
              <w:ind w:hanging="360"/>
              <w:jc w:val="both"/>
              <w:rPr>
                <w:rFonts w:ascii="Verdana" w:hAnsi="Verdana"/>
                <w:sz w:val="18"/>
                <w:szCs w:val="18"/>
              </w:rPr>
            </w:pPr>
            <w:r w:rsidRPr="00D62FF4">
              <w:rPr>
                <w:rFonts w:ascii="Verdana" w:hAnsi="Verdana"/>
                <w:sz w:val="18"/>
                <w:szCs w:val="18"/>
              </w:rPr>
              <w:t>Auditoría subsidios gas combustible vigencias 2022-2023</w:t>
            </w:r>
          </w:p>
          <w:p w:rsidRPr="00D62FF4" w:rsidR="000A1610" w:rsidP="00D62FF4" w:rsidRDefault="000A1610" w14:paraId="4D7CED1F" w14:textId="77777777">
            <w:pPr>
              <w:pStyle w:val="Prrafodelista"/>
              <w:suppressAutoHyphens/>
              <w:ind w:hanging="360"/>
              <w:jc w:val="both"/>
              <w:rPr>
                <w:rFonts w:ascii="Verdana" w:hAnsi="Verdana"/>
                <w:sz w:val="18"/>
                <w:szCs w:val="18"/>
              </w:rPr>
            </w:pPr>
            <w:r w:rsidRPr="00D62FF4">
              <w:rPr>
                <w:rFonts w:ascii="Verdana" w:hAnsi="Verdana"/>
                <w:sz w:val="18"/>
                <w:szCs w:val="18"/>
              </w:rPr>
              <w:t>Auditoría FECF vigencia 2023</w:t>
            </w:r>
          </w:p>
          <w:p w:rsidRPr="00D62FF4" w:rsidR="000A1610" w:rsidP="00D62FF4" w:rsidRDefault="000A1610" w14:paraId="4CA19CE5" w14:textId="77777777">
            <w:pPr>
              <w:pStyle w:val="Prrafodelista"/>
              <w:suppressAutoHyphens/>
              <w:ind w:hanging="360"/>
              <w:jc w:val="both"/>
              <w:rPr>
                <w:rFonts w:ascii="Verdana" w:hAnsi="Verdana"/>
                <w:sz w:val="18"/>
                <w:szCs w:val="18"/>
              </w:rPr>
            </w:pPr>
            <w:r w:rsidRPr="00D62FF4">
              <w:rPr>
                <w:rFonts w:ascii="Verdana" w:hAnsi="Verdana"/>
                <w:sz w:val="18"/>
                <w:szCs w:val="18"/>
              </w:rPr>
              <w:t>Auditoría Fondos PRONE y FAER vigencia 2023</w:t>
            </w:r>
          </w:p>
        </w:tc>
      </w:tr>
      <w:tr w:rsidRPr="00D62FF4" w:rsidR="000A1610" w:rsidTr="00EB1944" w14:paraId="02ADC024" w14:textId="77777777">
        <w:trPr>
          <w:jc w:val="center"/>
        </w:trPr>
        <w:tc>
          <w:tcPr>
            <w:tcW w:w="1440" w:type="dxa"/>
            <w:vAlign w:val="center"/>
          </w:tcPr>
          <w:p w:rsidRPr="00D62FF4" w:rsidR="000A1610" w:rsidP="00D62FF4" w:rsidRDefault="000A1610" w14:paraId="5D00A44A" w14:textId="77777777">
            <w:pPr>
              <w:jc w:val="center"/>
              <w:rPr>
                <w:rFonts w:ascii="Verdana" w:hAnsi="Verdana"/>
                <w:sz w:val="18"/>
                <w:szCs w:val="18"/>
              </w:rPr>
            </w:pPr>
            <w:r w:rsidRPr="00D62FF4">
              <w:rPr>
                <w:rFonts w:ascii="Verdana" w:hAnsi="Verdana"/>
                <w:sz w:val="18"/>
                <w:szCs w:val="18"/>
              </w:rPr>
              <w:t>2025</w:t>
            </w:r>
          </w:p>
        </w:tc>
        <w:tc>
          <w:tcPr>
            <w:tcW w:w="7388" w:type="dxa"/>
            <w:vAlign w:val="center"/>
          </w:tcPr>
          <w:p w:rsidRPr="00D62FF4" w:rsidR="000A1610" w:rsidP="00D62FF4" w:rsidRDefault="000A1610" w14:paraId="7CAB9128" w14:textId="77777777">
            <w:pPr>
              <w:pStyle w:val="Prrafodelista"/>
              <w:suppressAutoHyphens/>
              <w:ind w:hanging="360"/>
              <w:jc w:val="both"/>
              <w:rPr>
                <w:rFonts w:ascii="Verdana" w:hAnsi="Verdana"/>
                <w:sz w:val="18"/>
                <w:szCs w:val="18"/>
              </w:rPr>
            </w:pPr>
            <w:r w:rsidRPr="00D62FF4">
              <w:rPr>
                <w:rFonts w:ascii="Verdana" w:hAnsi="Verdana"/>
                <w:sz w:val="18"/>
                <w:szCs w:val="18"/>
              </w:rPr>
              <w:t>Auditoría Financiera Vigencia 2024</w:t>
            </w:r>
          </w:p>
          <w:p w:rsidRPr="00D62FF4" w:rsidR="000A1610" w:rsidP="00D62FF4" w:rsidRDefault="000A1610" w14:paraId="5CECA969" w14:textId="77777777">
            <w:pPr>
              <w:pStyle w:val="Prrafodelista"/>
              <w:suppressAutoHyphens/>
              <w:ind w:hanging="360"/>
              <w:jc w:val="both"/>
              <w:rPr>
                <w:rFonts w:ascii="Verdana" w:hAnsi="Verdana"/>
                <w:sz w:val="18"/>
                <w:szCs w:val="18"/>
              </w:rPr>
            </w:pPr>
            <w:r w:rsidRPr="00D62FF4">
              <w:rPr>
                <w:rFonts w:ascii="Verdana" w:hAnsi="Verdana"/>
                <w:sz w:val="18"/>
                <w:szCs w:val="18"/>
              </w:rPr>
              <w:t>Auditoría FSSRI Vigencia 2023-2024</w:t>
            </w:r>
          </w:p>
          <w:p w:rsidRPr="00D62FF4" w:rsidR="000A1610" w:rsidP="00D62FF4" w:rsidRDefault="000A1610" w14:paraId="7E2C00F9" w14:textId="77777777">
            <w:pPr>
              <w:pStyle w:val="Prrafodelista"/>
              <w:suppressAutoHyphens/>
              <w:ind w:hanging="360"/>
              <w:jc w:val="both"/>
              <w:rPr>
                <w:rFonts w:ascii="Verdana" w:hAnsi="Verdana"/>
                <w:sz w:val="18"/>
                <w:szCs w:val="18"/>
              </w:rPr>
            </w:pPr>
            <w:r w:rsidRPr="00D62FF4">
              <w:rPr>
                <w:rFonts w:ascii="Verdana" w:hAnsi="Verdana"/>
                <w:sz w:val="18"/>
                <w:szCs w:val="18"/>
              </w:rPr>
              <w:t>Auditoría PRONE y FECF vigencia 2024</w:t>
            </w:r>
          </w:p>
          <w:p w:rsidRPr="00D62FF4" w:rsidR="000A1610" w:rsidP="00D62FF4" w:rsidRDefault="000A1610" w14:paraId="792E5CDF" w14:textId="77777777">
            <w:pPr>
              <w:pStyle w:val="Prrafodelista"/>
              <w:suppressAutoHyphens/>
              <w:ind w:hanging="360"/>
              <w:jc w:val="both"/>
              <w:rPr>
                <w:rFonts w:ascii="Verdana" w:hAnsi="Verdana"/>
                <w:sz w:val="18"/>
                <w:szCs w:val="18"/>
              </w:rPr>
            </w:pPr>
            <w:r w:rsidRPr="00D62FF4">
              <w:rPr>
                <w:rFonts w:ascii="Verdana" w:hAnsi="Verdana"/>
                <w:sz w:val="18"/>
                <w:szCs w:val="18"/>
              </w:rPr>
              <w:t>Auditoría FENOGE FAZNI vigencia 2024</w:t>
            </w:r>
          </w:p>
        </w:tc>
      </w:tr>
      <w:tr w:rsidRPr="00D62FF4" w:rsidR="000A1610" w:rsidTr="00EB1944" w14:paraId="20806A1E" w14:textId="77777777">
        <w:trPr>
          <w:trHeight w:val="345"/>
          <w:jc w:val="center"/>
        </w:trPr>
        <w:tc>
          <w:tcPr>
            <w:tcW w:w="1440" w:type="dxa"/>
            <w:vAlign w:val="center"/>
          </w:tcPr>
          <w:p w:rsidRPr="00D62FF4" w:rsidR="000A1610" w:rsidP="00D62FF4" w:rsidRDefault="000A1610" w14:paraId="5EB0D28F" w14:textId="77777777">
            <w:pPr>
              <w:jc w:val="center"/>
              <w:rPr>
                <w:rFonts w:ascii="Verdana" w:hAnsi="Verdana"/>
                <w:sz w:val="18"/>
                <w:szCs w:val="18"/>
              </w:rPr>
            </w:pPr>
            <w:r w:rsidRPr="00D62FF4">
              <w:rPr>
                <w:rFonts w:ascii="Verdana" w:hAnsi="Verdana"/>
                <w:sz w:val="18"/>
                <w:szCs w:val="18"/>
              </w:rPr>
              <w:t>2026</w:t>
            </w:r>
          </w:p>
        </w:tc>
        <w:tc>
          <w:tcPr>
            <w:tcW w:w="7388" w:type="dxa"/>
            <w:vAlign w:val="center"/>
          </w:tcPr>
          <w:p w:rsidRPr="00D62FF4" w:rsidR="000A1610" w:rsidP="00D62FF4" w:rsidRDefault="000A1610" w14:paraId="408A9B9B" w14:textId="77777777">
            <w:pPr>
              <w:pStyle w:val="Prrafodelista"/>
              <w:suppressAutoHyphens/>
              <w:ind w:hanging="360"/>
              <w:jc w:val="both"/>
              <w:rPr>
                <w:rFonts w:ascii="Verdana" w:hAnsi="Verdana"/>
                <w:sz w:val="18"/>
                <w:szCs w:val="18"/>
              </w:rPr>
            </w:pPr>
            <w:r w:rsidRPr="00D62FF4">
              <w:rPr>
                <w:rFonts w:ascii="Verdana" w:hAnsi="Verdana"/>
                <w:sz w:val="18"/>
                <w:szCs w:val="18"/>
              </w:rPr>
              <w:t>Auditoría Financiera vigencia 2025</w:t>
            </w:r>
          </w:p>
        </w:tc>
      </w:tr>
    </w:tbl>
    <w:p w:rsidR="00D62FF4" w:rsidP="180099B3" w:rsidRDefault="62747C31" w14:paraId="7973CE72" w14:textId="77777777">
      <w:pPr>
        <w:spacing w:after="0" w:line="360" w:lineRule="auto"/>
        <w:jc w:val="center"/>
        <w:rPr>
          <w:rFonts w:ascii="Verdana" w:hAnsi="Verdana"/>
          <w:sz w:val="18"/>
          <w:szCs w:val="18"/>
        </w:rPr>
      </w:pPr>
      <w:r w:rsidRPr="180099B3">
        <w:rPr>
          <w:rFonts w:ascii="Verdana" w:hAnsi="Verdana"/>
          <w:sz w:val="18"/>
          <w:szCs w:val="18"/>
        </w:rPr>
        <w:t xml:space="preserve">Fuente: </w:t>
      </w:r>
      <w:r w:rsidRPr="180099B3" w:rsidR="557EEC20">
        <w:rPr>
          <w:rFonts w:ascii="Verdana" w:hAnsi="Verdana"/>
          <w:sz w:val="18"/>
          <w:szCs w:val="18"/>
        </w:rPr>
        <w:t>O</w:t>
      </w:r>
      <w:r w:rsidRPr="180099B3">
        <w:rPr>
          <w:rFonts w:ascii="Verdana" w:hAnsi="Verdana"/>
          <w:sz w:val="18"/>
          <w:szCs w:val="18"/>
        </w:rPr>
        <w:t xml:space="preserve">ficina de Control </w:t>
      </w:r>
      <w:r w:rsidRPr="180099B3" w:rsidR="59BFA619">
        <w:rPr>
          <w:rFonts w:ascii="Verdana" w:hAnsi="Verdana"/>
          <w:sz w:val="18"/>
          <w:szCs w:val="18"/>
        </w:rPr>
        <w:t>I</w:t>
      </w:r>
      <w:r w:rsidRPr="180099B3">
        <w:rPr>
          <w:rFonts w:ascii="Verdana" w:hAnsi="Verdana"/>
          <w:sz w:val="18"/>
          <w:szCs w:val="18"/>
        </w:rPr>
        <w:t>nterno - MME</w:t>
      </w:r>
    </w:p>
    <w:p w:rsidRPr="00C140A0" w:rsidR="005358E1" w:rsidP="005358E1" w:rsidRDefault="000A1610" w14:paraId="185AF780" w14:textId="1701689A">
      <w:pPr>
        <w:spacing w:line="360" w:lineRule="auto"/>
        <w:rPr>
          <w:rFonts w:ascii="Verdana" w:hAnsi="Verdana"/>
          <w:sz w:val="24"/>
          <w:szCs w:val="24"/>
        </w:rPr>
      </w:pPr>
      <w:r w:rsidRPr="00C140A0">
        <w:rPr>
          <w:rFonts w:ascii="Verdana" w:hAnsi="Verdana"/>
          <w:sz w:val="24"/>
          <w:szCs w:val="24"/>
        </w:rPr>
        <w:t>Cabe mencionar que durante el cuatrienio la CGR feneció la cuenta del Ministerio de Minas y Energía.</w:t>
      </w:r>
    </w:p>
    <w:p w:rsidRPr="00D62FF4" w:rsidR="000A1610" w:rsidP="00D62FF4" w:rsidRDefault="366B9B18" w14:paraId="413D87C8" w14:textId="26EC3C20">
      <w:pPr>
        <w:spacing w:after="0" w:line="240" w:lineRule="auto"/>
        <w:jc w:val="center"/>
        <w:rPr>
          <w:rFonts w:ascii="Verdana" w:hAnsi="Verdana"/>
          <w:sz w:val="18"/>
          <w:szCs w:val="18"/>
        </w:rPr>
      </w:pPr>
      <w:r w:rsidRPr="180099B3">
        <w:rPr>
          <w:rFonts w:ascii="Verdana" w:hAnsi="Verdana"/>
          <w:sz w:val="18"/>
          <w:szCs w:val="18"/>
        </w:rPr>
        <w:t xml:space="preserve">Tabla </w:t>
      </w:r>
      <w:r w:rsidRPr="180099B3" w:rsidR="730AAD67">
        <w:rPr>
          <w:rFonts w:ascii="Verdana" w:hAnsi="Verdana"/>
          <w:sz w:val="18"/>
          <w:szCs w:val="18"/>
        </w:rPr>
        <w:t xml:space="preserve">No. </w:t>
      </w:r>
      <w:r w:rsidR="00D94015">
        <w:rPr>
          <w:rFonts w:ascii="Verdana" w:hAnsi="Verdana"/>
          <w:sz w:val="18"/>
          <w:szCs w:val="18"/>
        </w:rPr>
        <w:t>80</w:t>
      </w:r>
      <w:r w:rsidRPr="180099B3" w:rsidR="314AF3C6">
        <w:rPr>
          <w:rFonts w:ascii="Verdana" w:hAnsi="Verdana"/>
          <w:sz w:val="18"/>
          <w:szCs w:val="18"/>
        </w:rPr>
        <w:t>.</w:t>
      </w:r>
      <w:r w:rsidRPr="180099B3">
        <w:rPr>
          <w:rFonts w:ascii="Verdana" w:hAnsi="Verdana"/>
          <w:sz w:val="18"/>
          <w:szCs w:val="18"/>
        </w:rPr>
        <w:t xml:space="preserve"> Estado Plan de Mejora suscrito con la CGR</w:t>
      </w:r>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6A0" w:firstRow="1" w:lastRow="0" w:firstColumn="1" w:lastColumn="0" w:noHBand="1" w:noVBand="1"/>
      </w:tblPr>
      <w:tblGrid>
        <w:gridCol w:w="3285"/>
        <w:gridCol w:w="435"/>
        <w:gridCol w:w="1500"/>
        <w:gridCol w:w="1575"/>
        <w:gridCol w:w="1080"/>
      </w:tblGrid>
      <w:tr w:rsidRPr="00D62FF4" w:rsidR="000A1610" w:rsidTr="00B22CBB" w14:paraId="30D1C578" w14:textId="77777777">
        <w:trPr>
          <w:trHeight w:val="330"/>
          <w:jc w:val="center"/>
        </w:trPr>
        <w:tc>
          <w:tcPr>
            <w:tcW w:w="7875" w:type="dxa"/>
            <w:gridSpan w:val="5"/>
            <w:shd w:val="clear" w:color="auto" w:fill="A6A6A6" w:themeFill="background1" w:themeFillShade="A6"/>
            <w:tcMar>
              <w:top w:w="15" w:type="dxa"/>
              <w:left w:w="15" w:type="dxa"/>
              <w:right w:w="15" w:type="dxa"/>
            </w:tcMar>
            <w:vAlign w:val="center"/>
          </w:tcPr>
          <w:p w:rsidRPr="00D62FF4" w:rsidR="000A1610" w:rsidP="00D62FF4" w:rsidRDefault="000A1610" w14:paraId="708EC969" w14:textId="77777777">
            <w:pPr>
              <w:spacing w:after="0" w:line="240" w:lineRule="auto"/>
              <w:jc w:val="center"/>
              <w:rPr>
                <w:rFonts w:ascii="Verdana" w:hAnsi="Verdana"/>
                <w:sz w:val="18"/>
                <w:szCs w:val="18"/>
              </w:rPr>
            </w:pPr>
            <w:r w:rsidRPr="00D62FF4">
              <w:rPr>
                <w:rFonts w:ascii="Verdana" w:hAnsi="Verdana" w:eastAsia="Arial" w:cs="Arial"/>
                <w:b/>
                <w:bCs/>
                <w:sz w:val="18"/>
                <w:szCs w:val="18"/>
              </w:rPr>
              <w:t>Seguimiento a marzo de 2026</w:t>
            </w:r>
          </w:p>
        </w:tc>
      </w:tr>
      <w:tr w:rsidRPr="00D62FF4" w:rsidR="000A1610" w:rsidTr="00B22CBB" w14:paraId="14CE32C7" w14:textId="77777777">
        <w:trPr>
          <w:trHeight w:val="660"/>
          <w:jc w:val="center"/>
        </w:trPr>
        <w:tc>
          <w:tcPr>
            <w:tcW w:w="3285" w:type="dxa"/>
            <w:vMerge w:val="restart"/>
            <w:shd w:val="clear" w:color="auto" w:fill="D9D9D9" w:themeFill="background1" w:themeFillShade="D9"/>
            <w:tcMar>
              <w:top w:w="15" w:type="dxa"/>
              <w:left w:w="15" w:type="dxa"/>
              <w:right w:w="15" w:type="dxa"/>
            </w:tcMar>
            <w:vAlign w:val="center"/>
          </w:tcPr>
          <w:p w:rsidRPr="00D62FF4" w:rsidR="000A1610" w:rsidP="00D62FF4" w:rsidRDefault="000A1610" w14:paraId="7A915E0A" w14:textId="77777777">
            <w:pPr>
              <w:spacing w:after="0" w:line="240" w:lineRule="auto"/>
              <w:jc w:val="center"/>
              <w:rPr>
                <w:rFonts w:ascii="Verdana" w:hAnsi="Verdana"/>
                <w:sz w:val="18"/>
                <w:szCs w:val="18"/>
              </w:rPr>
            </w:pPr>
            <w:r w:rsidRPr="00D62FF4">
              <w:rPr>
                <w:rFonts w:ascii="Verdana" w:hAnsi="Verdana" w:eastAsia="Arial" w:cs="Arial"/>
                <w:b/>
                <w:bCs/>
                <w:sz w:val="18"/>
                <w:szCs w:val="18"/>
              </w:rPr>
              <w:t>ESTADO DE LAS ACTIVIDADES</w:t>
            </w:r>
          </w:p>
        </w:tc>
        <w:tc>
          <w:tcPr>
            <w:tcW w:w="1935" w:type="dxa"/>
            <w:gridSpan w:val="2"/>
            <w:vMerge w:val="restart"/>
            <w:shd w:val="clear" w:color="auto" w:fill="D9D9D9" w:themeFill="background1" w:themeFillShade="D9"/>
            <w:tcMar>
              <w:top w:w="15" w:type="dxa"/>
              <w:left w:w="15" w:type="dxa"/>
              <w:right w:w="15" w:type="dxa"/>
            </w:tcMar>
            <w:vAlign w:val="center"/>
          </w:tcPr>
          <w:p w:rsidRPr="00D62FF4" w:rsidR="000A1610" w:rsidP="00D62FF4" w:rsidRDefault="000A1610" w14:paraId="35D1907B" w14:textId="77777777">
            <w:pPr>
              <w:spacing w:after="0" w:line="240" w:lineRule="auto"/>
              <w:jc w:val="center"/>
              <w:rPr>
                <w:rFonts w:ascii="Verdana" w:hAnsi="Verdana"/>
                <w:sz w:val="18"/>
                <w:szCs w:val="18"/>
              </w:rPr>
            </w:pPr>
            <w:r w:rsidRPr="00D62FF4">
              <w:rPr>
                <w:rFonts w:ascii="Verdana" w:hAnsi="Verdana" w:eastAsia="Arial" w:cs="Arial"/>
                <w:b/>
                <w:bCs/>
                <w:sz w:val="18"/>
                <w:szCs w:val="18"/>
              </w:rPr>
              <w:t>NIVEL DE RIESGO</w:t>
            </w:r>
          </w:p>
        </w:tc>
        <w:tc>
          <w:tcPr>
            <w:tcW w:w="1575" w:type="dxa"/>
            <w:vMerge w:val="restart"/>
            <w:shd w:val="clear" w:color="auto" w:fill="C0C0C0"/>
            <w:tcMar>
              <w:top w:w="15" w:type="dxa"/>
              <w:left w:w="15" w:type="dxa"/>
              <w:right w:w="15" w:type="dxa"/>
            </w:tcMar>
            <w:vAlign w:val="center"/>
          </w:tcPr>
          <w:p w:rsidRPr="00D62FF4" w:rsidR="000A1610" w:rsidP="00D62FF4" w:rsidRDefault="000A1610" w14:paraId="43A0996C" w14:textId="77777777">
            <w:pPr>
              <w:spacing w:after="0" w:line="240" w:lineRule="auto"/>
              <w:jc w:val="center"/>
              <w:rPr>
                <w:rFonts w:ascii="Verdana" w:hAnsi="Verdana"/>
                <w:sz w:val="18"/>
                <w:szCs w:val="18"/>
              </w:rPr>
            </w:pPr>
            <w:r w:rsidRPr="00D62FF4">
              <w:rPr>
                <w:rFonts w:ascii="Verdana" w:hAnsi="Verdana" w:eastAsia="Arial" w:cs="Arial"/>
                <w:b/>
                <w:bCs/>
                <w:sz w:val="18"/>
                <w:szCs w:val="18"/>
              </w:rPr>
              <w:t>NÚMERO DE ACTIVIDADES</w:t>
            </w:r>
          </w:p>
        </w:tc>
        <w:tc>
          <w:tcPr>
            <w:tcW w:w="1080" w:type="dxa"/>
            <w:vMerge w:val="restart"/>
            <w:shd w:val="clear" w:color="auto" w:fill="D9D9D9" w:themeFill="background1" w:themeFillShade="D9"/>
            <w:tcMar>
              <w:top w:w="15" w:type="dxa"/>
              <w:left w:w="15" w:type="dxa"/>
              <w:right w:w="15" w:type="dxa"/>
            </w:tcMar>
            <w:vAlign w:val="center"/>
          </w:tcPr>
          <w:p w:rsidRPr="00D62FF4" w:rsidR="000A1610" w:rsidP="00D62FF4" w:rsidRDefault="000A1610" w14:paraId="032A9CCE" w14:textId="77777777">
            <w:pPr>
              <w:spacing w:after="0" w:line="240" w:lineRule="auto"/>
              <w:jc w:val="center"/>
              <w:rPr>
                <w:rFonts w:ascii="Verdana" w:hAnsi="Verdana"/>
                <w:sz w:val="18"/>
                <w:szCs w:val="18"/>
              </w:rPr>
            </w:pPr>
            <w:r w:rsidRPr="00D62FF4">
              <w:rPr>
                <w:rFonts w:ascii="Verdana" w:hAnsi="Verdana" w:eastAsia="Arial" w:cs="Arial"/>
                <w:b/>
                <w:bCs/>
                <w:sz w:val="18"/>
                <w:szCs w:val="18"/>
              </w:rPr>
              <w:t>%</w:t>
            </w:r>
          </w:p>
        </w:tc>
      </w:tr>
      <w:tr w:rsidRPr="00D62FF4" w:rsidR="000A1610" w:rsidTr="00B22CBB" w14:paraId="276E53BB" w14:textId="77777777">
        <w:trPr>
          <w:trHeight w:val="507"/>
          <w:jc w:val="center"/>
        </w:trPr>
        <w:tc>
          <w:tcPr>
            <w:tcW w:w="3285" w:type="dxa"/>
            <w:vMerge/>
            <w:vAlign w:val="center"/>
          </w:tcPr>
          <w:p w:rsidRPr="00D62FF4" w:rsidR="000A1610" w:rsidP="00D62FF4" w:rsidRDefault="000A1610" w14:paraId="457EA8A7" w14:textId="77777777">
            <w:pPr>
              <w:spacing w:after="0" w:line="240" w:lineRule="auto"/>
              <w:rPr>
                <w:rFonts w:ascii="Verdana" w:hAnsi="Verdana"/>
                <w:sz w:val="18"/>
                <w:szCs w:val="18"/>
              </w:rPr>
            </w:pPr>
          </w:p>
        </w:tc>
        <w:tc>
          <w:tcPr>
            <w:tcW w:w="1935" w:type="dxa"/>
            <w:gridSpan w:val="2"/>
            <w:vMerge/>
            <w:vAlign w:val="center"/>
          </w:tcPr>
          <w:p w:rsidRPr="00D62FF4" w:rsidR="000A1610" w:rsidP="00D62FF4" w:rsidRDefault="000A1610" w14:paraId="2718ED87" w14:textId="77777777">
            <w:pPr>
              <w:spacing w:after="0" w:line="240" w:lineRule="auto"/>
              <w:rPr>
                <w:rFonts w:ascii="Verdana" w:hAnsi="Verdana"/>
                <w:sz w:val="18"/>
                <w:szCs w:val="18"/>
              </w:rPr>
            </w:pPr>
          </w:p>
        </w:tc>
        <w:tc>
          <w:tcPr>
            <w:tcW w:w="1575" w:type="dxa"/>
            <w:vMerge/>
            <w:vAlign w:val="center"/>
          </w:tcPr>
          <w:p w:rsidRPr="00D62FF4" w:rsidR="000A1610" w:rsidP="00D62FF4" w:rsidRDefault="000A1610" w14:paraId="025D2C3D" w14:textId="77777777">
            <w:pPr>
              <w:spacing w:after="0" w:line="240" w:lineRule="auto"/>
              <w:rPr>
                <w:rFonts w:ascii="Verdana" w:hAnsi="Verdana"/>
                <w:sz w:val="18"/>
                <w:szCs w:val="18"/>
              </w:rPr>
            </w:pPr>
          </w:p>
        </w:tc>
        <w:tc>
          <w:tcPr>
            <w:tcW w:w="1080" w:type="dxa"/>
            <w:vMerge/>
            <w:vAlign w:val="center"/>
          </w:tcPr>
          <w:p w:rsidRPr="00D62FF4" w:rsidR="000A1610" w:rsidP="00D62FF4" w:rsidRDefault="000A1610" w14:paraId="4B76CB9E" w14:textId="77777777">
            <w:pPr>
              <w:spacing w:after="0" w:line="240" w:lineRule="auto"/>
              <w:rPr>
                <w:rFonts w:ascii="Verdana" w:hAnsi="Verdana"/>
                <w:sz w:val="18"/>
                <w:szCs w:val="18"/>
              </w:rPr>
            </w:pPr>
          </w:p>
        </w:tc>
      </w:tr>
      <w:tr w:rsidRPr="00D62FF4" w:rsidR="000A1610" w:rsidTr="00B22CBB" w14:paraId="1593CC5C" w14:textId="77777777">
        <w:trPr>
          <w:trHeight w:val="435"/>
          <w:jc w:val="center"/>
        </w:trPr>
        <w:tc>
          <w:tcPr>
            <w:tcW w:w="3285" w:type="dxa"/>
            <w:tcMar>
              <w:top w:w="15" w:type="dxa"/>
              <w:left w:w="15" w:type="dxa"/>
              <w:right w:w="15" w:type="dxa"/>
            </w:tcMar>
            <w:vAlign w:val="center"/>
          </w:tcPr>
          <w:p w:rsidRPr="00D62FF4" w:rsidR="000A1610" w:rsidP="00D62FF4" w:rsidRDefault="000A1610" w14:paraId="4E8EE38E" w14:textId="77777777">
            <w:pPr>
              <w:spacing w:after="0" w:line="240" w:lineRule="auto"/>
              <w:rPr>
                <w:rFonts w:ascii="Verdana" w:hAnsi="Verdana"/>
                <w:sz w:val="18"/>
                <w:szCs w:val="18"/>
              </w:rPr>
            </w:pPr>
            <w:r w:rsidRPr="00D62FF4">
              <w:rPr>
                <w:rFonts w:ascii="Verdana" w:hAnsi="Verdana" w:eastAsia="Arial" w:cs="Arial"/>
                <w:b/>
                <w:bCs/>
                <w:sz w:val="18"/>
                <w:szCs w:val="18"/>
              </w:rPr>
              <w:t>CUMPLIDA</w:t>
            </w:r>
          </w:p>
        </w:tc>
        <w:tc>
          <w:tcPr>
            <w:tcW w:w="435" w:type="dxa"/>
            <w:shd w:val="clear" w:color="auto" w:fill="008000"/>
            <w:tcMar>
              <w:top w:w="15" w:type="dxa"/>
              <w:left w:w="15" w:type="dxa"/>
              <w:right w:w="15" w:type="dxa"/>
            </w:tcMar>
            <w:vAlign w:val="center"/>
          </w:tcPr>
          <w:p w:rsidRPr="00D62FF4" w:rsidR="000A1610" w:rsidP="00D62FF4" w:rsidRDefault="000A1610" w14:paraId="5ABCA862" w14:textId="77777777">
            <w:pPr>
              <w:spacing w:after="0" w:line="240" w:lineRule="auto"/>
              <w:jc w:val="center"/>
              <w:rPr>
                <w:rFonts w:ascii="Verdana" w:hAnsi="Verdana"/>
                <w:sz w:val="18"/>
                <w:szCs w:val="18"/>
              </w:rPr>
            </w:pPr>
            <w:r w:rsidRPr="00D62FF4">
              <w:rPr>
                <w:rFonts w:ascii="Verdana" w:hAnsi="Verdana" w:eastAsia="Arial" w:cs="Arial"/>
                <w:b/>
                <w:bCs/>
                <w:sz w:val="18"/>
                <w:szCs w:val="18"/>
              </w:rPr>
              <w:t xml:space="preserve"> </w:t>
            </w:r>
          </w:p>
        </w:tc>
        <w:tc>
          <w:tcPr>
            <w:tcW w:w="1500" w:type="dxa"/>
            <w:tcMar>
              <w:top w:w="15" w:type="dxa"/>
              <w:left w:w="15" w:type="dxa"/>
              <w:right w:w="15" w:type="dxa"/>
            </w:tcMar>
            <w:vAlign w:val="center"/>
          </w:tcPr>
          <w:p w:rsidRPr="00D62FF4" w:rsidR="000A1610" w:rsidP="00D62FF4" w:rsidRDefault="000A1610" w14:paraId="1294A3BA" w14:textId="77777777">
            <w:pPr>
              <w:spacing w:after="0" w:line="240" w:lineRule="auto"/>
              <w:jc w:val="center"/>
              <w:rPr>
                <w:rFonts w:ascii="Verdana" w:hAnsi="Verdana"/>
                <w:sz w:val="18"/>
                <w:szCs w:val="18"/>
              </w:rPr>
            </w:pPr>
            <w:r w:rsidRPr="00D62FF4">
              <w:rPr>
                <w:rFonts w:ascii="Verdana" w:hAnsi="Verdana" w:eastAsia="Arial" w:cs="Arial"/>
                <w:b/>
                <w:bCs/>
                <w:sz w:val="18"/>
                <w:szCs w:val="18"/>
              </w:rPr>
              <w:t>BAJO</w:t>
            </w:r>
          </w:p>
        </w:tc>
        <w:tc>
          <w:tcPr>
            <w:tcW w:w="1575" w:type="dxa"/>
            <w:tcMar>
              <w:top w:w="15" w:type="dxa"/>
              <w:left w:w="15" w:type="dxa"/>
              <w:right w:w="15" w:type="dxa"/>
            </w:tcMar>
            <w:vAlign w:val="center"/>
          </w:tcPr>
          <w:p w:rsidRPr="00D62FF4" w:rsidR="000A1610" w:rsidP="00D62FF4" w:rsidRDefault="000A1610" w14:paraId="6B59CE2A" w14:textId="77777777">
            <w:pPr>
              <w:spacing w:after="0" w:line="240" w:lineRule="auto"/>
              <w:jc w:val="center"/>
              <w:rPr>
                <w:rFonts w:ascii="Verdana" w:hAnsi="Verdana"/>
                <w:sz w:val="18"/>
                <w:szCs w:val="18"/>
              </w:rPr>
            </w:pPr>
            <w:r w:rsidRPr="00D62FF4">
              <w:rPr>
                <w:rFonts w:ascii="Verdana" w:hAnsi="Verdana" w:eastAsia="Arial" w:cs="Arial"/>
                <w:b/>
                <w:bCs/>
                <w:sz w:val="18"/>
                <w:szCs w:val="18"/>
              </w:rPr>
              <w:t>139</w:t>
            </w:r>
          </w:p>
        </w:tc>
        <w:tc>
          <w:tcPr>
            <w:tcW w:w="1080" w:type="dxa"/>
            <w:shd w:val="clear" w:color="auto" w:fill="FFFFFF" w:themeFill="background1"/>
            <w:tcMar>
              <w:top w:w="15" w:type="dxa"/>
              <w:left w:w="15" w:type="dxa"/>
              <w:right w:w="15" w:type="dxa"/>
            </w:tcMar>
            <w:vAlign w:val="center"/>
          </w:tcPr>
          <w:p w:rsidRPr="00D62FF4" w:rsidR="000A1610" w:rsidP="00D62FF4" w:rsidRDefault="000A1610" w14:paraId="6F4718EA" w14:textId="77777777">
            <w:pPr>
              <w:spacing w:after="0" w:line="240" w:lineRule="auto"/>
              <w:jc w:val="center"/>
              <w:rPr>
                <w:rFonts w:ascii="Verdana" w:hAnsi="Verdana"/>
                <w:sz w:val="18"/>
                <w:szCs w:val="18"/>
              </w:rPr>
            </w:pPr>
            <w:r w:rsidRPr="00D62FF4">
              <w:rPr>
                <w:rFonts w:ascii="Verdana" w:hAnsi="Verdana" w:eastAsia="Arial" w:cs="Arial"/>
                <w:b/>
                <w:bCs/>
                <w:sz w:val="18"/>
                <w:szCs w:val="18"/>
              </w:rPr>
              <w:t>45,6%</w:t>
            </w:r>
          </w:p>
        </w:tc>
      </w:tr>
      <w:tr w:rsidRPr="00D62FF4" w:rsidR="000A1610" w:rsidTr="00B22CBB" w14:paraId="659957E9" w14:textId="77777777">
        <w:trPr>
          <w:trHeight w:val="420"/>
          <w:jc w:val="center"/>
        </w:trPr>
        <w:tc>
          <w:tcPr>
            <w:tcW w:w="3285" w:type="dxa"/>
            <w:shd w:val="clear" w:color="auto" w:fill="FFFFFF" w:themeFill="background1"/>
            <w:tcMar>
              <w:top w:w="15" w:type="dxa"/>
              <w:left w:w="15" w:type="dxa"/>
              <w:right w:w="15" w:type="dxa"/>
            </w:tcMar>
            <w:vAlign w:val="center"/>
          </w:tcPr>
          <w:p w:rsidRPr="00D62FF4" w:rsidR="000A1610" w:rsidP="00D62FF4" w:rsidRDefault="000A1610" w14:paraId="6213A8EE" w14:textId="77777777">
            <w:pPr>
              <w:spacing w:after="0" w:line="240" w:lineRule="auto"/>
              <w:rPr>
                <w:rFonts w:ascii="Verdana" w:hAnsi="Verdana"/>
                <w:sz w:val="18"/>
                <w:szCs w:val="18"/>
              </w:rPr>
            </w:pPr>
            <w:r w:rsidRPr="00D62FF4">
              <w:rPr>
                <w:rFonts w:ascii="Verdana" w:hAnsi="Verdana" w:eastAsia="Arial" w:cs="Arial"/>
                <w:b/>
                <w:bCs/>
                <w:sz w:val="18"/>
                <w:szCs w:val="18"/>
              </w:rPr>
              <w:t>PENDIENTE</w:t>
            </w:r>
          </w:p>
        </w:tc>
        <w:tc>
          <w:tcPr>
            <w:tcW w:w="435" w:type="dxa"/>
            <w:shd w:val="clear" w:color="auto" w:fill="FF0000"/>
            <w:tcMar>
              <w:top w:w="15" w:type="dxa"/>
              <w:left w:w="15" w:type="dxa"/>
              <w:right w:w="15" w:type="dxa"/>
            </w:tcMar>
            <w:vAlign w:val="center"/>
          </w:tcPr>
          <w:p w:rsidRPr="00D62FF4" w:rsidR="000A1610" w:rsidP="00D62FF4" w:rsidRDefault="000A1610" w14:paraId="2744A58D" w14:textId="77777777">
            <w:pPr>
              <w:spacing w:after="0" w:line="240" w:lineRule="auto"/>
              <w:jc w:val="center"/>
              <w:rPr>
                <w:rFonts w:ascii="Verdana" w:hAnsi="Verdana"/>
                <w:sz w:val="18"/>
                <w:szCs w:val="18"/>
              </w:rPr>
            </w:pPr>
            <w:r w:rsidRPr="00D62FF4">
              <w:rPr>
                <w:rFonts w:ascii="Verdana" w:hAnsi="Verdana" w:eastAsia="Arial" w:cs="Arial"/>
                <w:b/>
                <w:bCs/>
                <w:sz w:val="18"/>
                <w:szCs w:val="18"/>
              </w:rPr>
              <w:t xml:space="preserve"> </w:t>
            </w:r>
          </w:p>
        </w:tc>
        <w:tc>
          <w:tcPr>
            <w:tcW w:w="1500" w:type="dxa"/>
            <w:tcMar>
              <w:top w:w="15" w:type="dxa"/>
              <w:left w:w="15" w:type="dxa"/>
              <w:right w:w="15" w:type="dxa"/>
            </w:tcMar>
            <w:vAlign w:val="center"/>
          </w:tcPr>
          <w:p w:rsidRPr="00D62FF4" w:rsidR="000A1610" w:rsidP="00D62FF4" w:rsidRDefault="000A1610" w14:paraId="0F8FEC11" w14:textId="77777777">
            <w:pPr>
              <w:spacing w:after="0" w:line="240" w:lineRule="auto"/>
              <w:jc w:val="center"/>
              <w:rPr>
                <w:rFonts w:ascii="Verdana" w:hAnsi="Verdana"/>
                <w:sz w:val="18"/>
                <w:szCs w:val="18"/>
              </w:rPr>
            </w:pPr>
            <w:r w:rsidRPr="00D62FF4">
              <w:rPr>
                <w:rFonts w:ascii="Verdana" w:hAnsi="Verdana" w:eastAsia="Arial" w:cs="Arial"/>
                <w:b/>
                <w:bCs/>
                <w:sz w:val="18"/>
                <w:szCs w:val="18"/>
              </w:rPr>
              <w:t>ALTO</w:t>
            </w:r>
          </w:p>
        </w:tc>
        <w:tc>
          <w:tcPr>
            <w:tcW w:w="1575" w:type="dxa"/>
            <w:tcMar>
              <w:top w:w="15" w:type="dxa"/>
              <w:left w:w="15" w:type="dxa"/>
              <w:right w:w="15" w:type="dxa"/>
            </w:tcMar>
            <w:vAlign w:val="center"/>
          </w:tcPr>
          <w:p w:rsidRPr="00D62FF4" w:rsidR="000A1610" w:rsidP="00D62FF4" w:rsidRDefault="000A1610" w14:paraId="1F5FF37D" w14:textId="77777777">
            <w:pPr>
              <w:spacing w:after="0" w:line="240" w:lineRule="auto"/>
              <w:jc w:val="center"/>
              <w:rPr>
                <w:rFonts w:ascii="Verdana" w:hAnsi="Verdana"/>
                <w:sz w:val="18"/>
                <w:szCs w:val="18"/>
              </w:rPr>
            </w:pPr>
            <w:r w:rsidRPr="00D62FF4">
              <w:rPr>
                <w:rFonts w:ascii="Verdana" w:hAnsi="Verdana" w:eastAsia="Arial" w:cs="Arial"/>
                <w:b/>
                <w:bCs/>
                <w:sz w:val="18"/>
                <w:szCs w:val="18"/>
              </w:rPr>
              <w:t>28</w:t>
            </w:r>
          </w:p>
        </w:tc>
        <w:tc>
          <w:tcPr>
            <w:tcW w:w="1080" w:type="dxa"/>
            <w:shd w:val="clear" w:color="auto" w:fill="FFFFFF" w:themeFill="background1"/>
            <w:tcMar>
              <w:top w:w="15" w:type="dxa"/>
              <w:left w:w="15" w:type="dxa"/>
              <w:right w:w="15" w:type="dxa"/>
            </w:tcMar>
            <w:vAlign w:val="center"/>
          </w:tcPr>
          <w:p w:rsidRPr="00D62FF4" w:rsidR="000A1610" w:rsidP="00D62FF4" w:rsidRDefault="000A1610" w14:paraId="3F0CB570" w14:textId="77777777">
            <w:pPr>
              <w:spacing w:after="0" w:line="240" w:lineRule="auto"/>
              <w:jc w:val="center"/>
              <w:rPr>
                <w:rFonts w:ascii="Verdana" w:hAnsi="Verdana"/>
                <w:sz w:val="18"/>
                <w:szCs w:val="18"/>
              </w:rPr>
            </w:pPr>
            <w:r w:rsidRPr="00D62FF4">
              <w:rPr>
                <w:rFonts w:ascii="Verdana" w:hAnsi="Verdana" w:eastAsia="Arial" w:cs="Arial"/>
                <w:b/>
                <w:bCs/>
                <w:sz w:val="18"/>
                <w:szCs w:val="18"/>
              </w:rPr>
              <w:t>9,2%</w:t>
            </w:r>
          </w:p>
        </w:tc>
      </w:tr>
      <w:tr w:rsidRPr="00D62FF4" w:rsidR="000A1610" w:rsidTr="00B22CBB" w14:paraId="6A848260" w14:textId="77777777">
        <w:trPr>
          <w:trHeight w:val="315"/>
          <w:jc w:val="center"/>
        </w:trPr>
        <w:tc>
          <w:tcPr>
            <w:tcW w:w="3285" w:type="dxa"/>
            <w:shd w:val="clear" w:color="auto" w:fill="FFFFFF" w:themeFill="background1"/>
            <w:tcMar>
              <w:top w:w="15" w:type="dxa"/>
              <w:left w:w="15" w:type="dxa"/>
              <w:right w:w="15" w:type="dxa"/>
            </w:tcMar>
            <w:vAlign w:val="center"/>
          </w:tcPr>
          <w:p w:rsidRPr="00D62FF4" w:rsidR="000A1610" w:rsidP="00D62FF4" w:rsidRDefault="000A1610" w14:paraId="46CE77C3" w14:textId="77777777">
            <w:pPr>
              <w:spacing w:after="0" w:line="240" w:lineRule="auto"/>
              <w:rPr>
                <w:rFonts w:ascii="Verdana" w:hAnsi="Verdana"/>
                <w:sz w:val="18"/>
                <w:szCs w:val="18"/>
              </w:rPr>
            </w:pPr>
            <w:r w:rsidRPr="00D62FF4">
              <w:rPr>
                <w:rFonts w:ascii="Verdana" w:hAnsi="Verdana" w:eastAsia="Arial" w:cs="Arial"/>
                <w:b/>
                <w:bCs/>
                <w:sz w:val="18"/>
                <w:szCs w:val="18"/>
              </w:rPr>
              <w:t>EN EJECUCIÓN</w:t>
            </w:r>
          </w:p>
        </w:tc>
        <w:tc>
          <w:tcPr>
            <w:tcW w:w="435" w:type="dxa"/>
            <w:tcMar>
              <w:top w:w="15" w:type="dxa"/>
              <w:left w:w="15" w:type="dxa"/>
              <w:right w:w="15" w:type="dxa"/>
            </w:tcMar>
            <w:vAlign w:val="center"/>
          </w:tcPr>
          <w:p w:rsidRPr="00D62FF4" w:rsidR="000A1610" w:rsidP="00D62FF4" w:rsidRDefault="000A1610" w14:paraId="79D53FD0" w14:textId="77777777">
            <w:pPr>
              <w:spacing w:after="0" w:line="240" w:lineRule="auto"/>
              <w:jc w:val="center"/>
              <w:rPr>
                <w:rFonts w:ascii="Verdana" w:hAnsi="Verdana"/>
                <w:sz w:val="18"/>
                <w:szCs w:val="18"/>
              </w:rPr>
            </w:pPr>
            <w:r w:rsidRPr="00D62FF4">
              <w:rPr>
                <w:rFonts w:ascii="Verdana" w:hAnsi="Verdana" w:eastAsia="Arial" w:cs="Arial"/>
                <w:b/>
                <w:bCs/>
                <w:sz w:val="18"/>
                <w:szCs w:val="18"/>
              </w:rPr>
              <w:t xml:space="preserve"> </w:t>
            </w:r>
          </w:p>
        </w:tc>
        <w:tc>
          <w:tcPr>
            <w:tcW w:w="1500" w:type="dxa"/>
            <w:tcMar>
              <w:top w:w="15" w:type="dxa"/>
              <w:left w:w="15" w:type="dxa"/>
              <w:right w:w="15" w:type="dxa"/>
            </w:tcMar>
            <w:vAlign w:val="center"/>
          </w:tcPr>
          <w:p w:rsidRPr="00D62FF4" w:rsidR="000A1610" w:rsidP="00D62FF4" w:rsidRDefault="000A1610" w14:paraId="04FE15D0" w14:textId="77777777">
            <w:pPr>
              <w:spacing w:after="0" w:line="240" w:lineRule="auto"/>
              <w:jc w:val="center"/>
              <w:rPr>
                <w:rFonts w:ascii="Verdana" w:hAnsi="Verdana"/>
                <w:sz w:val="18"/>
                <w:szCs w:val="18"/>
              </w:rPr>
            </w:pPr>
            <w:r w:rsidRPr="00D62FF4">
              <w:rPr>
                <w:rFonts w:ascii="Verdana" w:hAnsi="Verdana" w:eastAsia="Arial" w:cs="Arial"/>
                <w:b/>
                <w:bCs/>
                <w:sz w:val="18"/>
                <w:szCs w:val="18"/>
              </w:rPr>
              <w:t>NINGUNO</w:t>
            </w:r>
          </w:p>
        </w:tc>
        <w:tc>
          <w:tcPr>
            <w:tcW w:w="1575" w:type="dxa"/>
            <w:tcMar>
              <w:top w:w="15" w:type="dxa"/>
              <w:left w:w="15" w:type="dxa"/>
              <w:right w:w="15" w:type="dxa"/>
            </w:tcMar>
            <w:vAlign w:val="center"/>
          </w:tcPr>
          <w:p w:rsidRPr="00D62FF4" w:rsidR="000A1610" w:rsidP="00D62FF4" w:rsidRDefault="000A1610" w14:paraId="22977ACC" w14:textId="77777777">
            <w:pPr>
              <w:spacing w:after="0" w:line="240" w:lineRule="auto"/>
              <w:jc w:val="center"/>
              <w:rPr>
                <w:rFonts w:ascii="Verdana" w:hAnsi="Verdana"/>
                <w:sz w:val="18"/>
                <w:szCs w:val="18"/>
              </w:rPr>
            </w:pPr>
            <w:r w:rsidRPr="00D62FF4">
              <w:rPr>
                <w:rFonts w:ascii="Verdana" w:hAnsi="Verdana" w:eastAsia="Arial" w:cs="Arial"/>
                <w:b/>
                <w:bCs/>
                <w:sz w:val="18"/>
                <w:szCs w:val="18"/>
              </w:rPr>
              <w:t>138</w:t>
            </w:r>
          </w:p>
        </w:tc>
        <w:tc>
          <w:tcPr>
            <w:tcW w:w="1080" w:type="dxa"/>
            <w:shd w:val="clear" w:color="auto" w:fill="FFFFFF" w:themeFill="background1"/>
            <w:tcMar>
              <w:top w:w="15" w:type="dxa"/>
              <w:left w:w="15" w:type="dxa"/>
              <w:right w:w="15" w:type="dxa"/>
            </w:tcMar>
            <w:vAlign w:val="center"/>
          </w:tcPr>
          <w:p w:rsidRPr="00D62FF4" w:rsidR="000A1610" w:rsidP="00D62FF4" w:rsidRDefault="000A1610" w14:paraId="284E9A5C" w14:textId="77777777">
            <w:pPr>
              <w:spacing w:after="0" w:line="240" w:lineRule="auto"/>
              <w:jc w:val="center"/>
              <w:rPr>
                <w:rFonts w:ascii="Verdana" w:hAnsi="Verdana"/>
                <w:sz w:val="18"/>
                <w:szCs w:val="18"/>
              </w:rPr>
            </w:pPr>
            <w:r w:rsidRPr="00D62FF4">
              <w:rPr>
                <w:rFonts w:ascii="Verdana" w:hAnsi="Verdana" w:eastAsia="Arial" w:cs="Arial"/>
                <w:b/>
                <w:bCs/>
                <w:sz w:val="18"/>
                <w:szCs w:val="18"/>
              </w:rPr>
              <w:t>45,2%</w:t>
            </w:r>
          </w:p>
        </w:tc>
      </w:tr>
      <w:tr w:rsidRPr="00D62FF4" w:rsidR="000A1610" w:rsidTr="00B22CBB" w14:paraId="7A2EFE5A" w14:textId="77777777">
        <w:trPr>
          <w:trHeight w:val="360"/>
          <w:jc w:val="center"/>
        </w:trPr>
        <w:tc>
          <w:tcPr>
            <w:tcW w:w="5220" w:type="dxa"/>
            <w:gridSpan w:val="3"/>
            <w:shd w:val="clear" w:color="auto" w:fill="D9D9D9" w:themeFill="background1" w:themeFillShade="D9"/>
            <w:tcMar>
              <w:top w:w="15" w:type="dxa"/>
              <w:left w:w="15" w:type="dxa"/>
              <w:right w:w="15" w:type="dxa"/>
            </w:tcMar>
            <w:vAlign w:val="center"/>
          </w:tcPr>
          <w:p w:rsidRPr="00D62FF4" w:rsidR="000A1610" w:rsidP="00D62FF4" w:rsidRDefault="000A1610" w14:paraId="788A9D99" w14:textId="77777777">
            <w:pPr>
              <w:spacing w:after="0" w:line="240" w:lineRule="auto"/>
              <w:jc w:val="center"/>
              <w:rPr>
                <w:rFonts w:ascii="Verdana" w:hAnsi="Verdana"/>
                <w:sz w:val="18"/>
                <w:szCs w:val="18"/>
              </w:rPr>
            </w:pPr>
            <w:r w:rsidRPr="00D62FF4">
              <w:rPr>
                <w:rFonts w:ascii="Verdana" w:hAnsi="Verdana" w:eastAsia="Arial" w:cs="Arial"/>
                <w:b/>
                <w:bCs/>
                <w:sz w:val="18"/>
                <w:szCs w:val="18"/>
              </w:rPr>
              <w:t>T O T A L</w:t>
            </w:r>
          </w:p>
        </w:tc>
        <w:tc>
          <w:tcPr>
            <w:tcW w:w="1575" w:type="dxa"/>
            <w:shd w:val="clear" w:color="auto" w:fill="C0C0C0"/>
            <w:tcMar>
              <w:top w:w="15" w:type="dxa"/>
              <w:left w:w="15" w:type="dxa"/>
              <w:right w:w="15" w:type="dxa"/>
            </w:tcMar>
            <w:vAlign w:val="center"/>
          </w:tcPr>
          <w:p w:rsidRPr="00D62FF4" w:rsidR="000A1610" w:rsidP="00D62FF4" w:rsidRDefault="000A1610" w14:paraId="78CCF907" w14:textId="77777777">
            <w:pPr>
              <w:spacing w:after="0" w:line="240" w:lineRule="auto"/>
              <w:jc w:val="center"/>
              <w:rPr>
                <w:rFonts w:ascii="Verdana" w:hAnsi="Verdana"/>
                <w:sz w:val="18"/>
                <w:szCs w:val="18"/>
              </w:rPr>
            </w:pPr>
            <w:r w:rsidRPr="00D62FF4">
              <w:rPr>
                <w:rFonts w:ascii="Verdana" w:hAnsi="Verdana" w:eastAsia="Arial" w:cs="Arial"/>
                <w:b/>
                <w:bCs/>
                <w:sz w:val="18"/>
                <w:szCs w:val="18"/>
              </w:rPr>
              <w:t>305</w:t>
            </w:r>
          </w:p>
        </w:tc>
        <w:tc>
          <w:tcPr>
            <w:tcW w:w="1080" w:type="dxa"/>
            <w:shd w:val="clear" w:color="auto" w:fill="C0C0C0"/>
            <w:tcMar>
              <w:top w:w="15" w:type="dxa"/>
              <w:left w:w="15" w:type="dxa"/>
              <w:right w:w="15" w:type="dxa"/>
            </w:tcMar>
            <w:vAlign w:val="center"/>
          </w:tcPr>
          <w:p w:rsidRPr="00D62FF4" w:rsidR="000A1610" w:rsidP="00D62FF4" w:rsidRDefault="000A1610" w14:paraId="6A7A8AE2" w14:textId="77777777">
            <w:pPr>
              <w:spacing w:after="0" w:line="240" w:lineRule="auto"/>
              <w:jc w:val="center"/>
              <w:rPr>
                <w:rFonts w:ascii="Verdana" w:hAnsi="Verdana"/>
                <w:sz w:val="18"/>
                <w:szCs w:val="18"/>
              </w:rPr>
            </w:pPr>
            <w:r w:rsidRPr="00D62FF4">
              <w:rPr>
                <w:rFonts w:ascii="Verdana" w:hAnsi="Verdana" w:eastAsia="Arial" w:cs="Arial"/>
                <w:b/>
                <w:bCs/>
                <w:sz w:val="18"/>
                <w:szCs w:val="18"/>
              </w:rPr>
              <w:t>100%</w:t>
            </w:r>
          </w:p>
        </w:tc>
      </w:tr>
    </w:tbl>
    <w:p w:rsidRPr="00D62FF4" w:rsidR="000A1610" w:rsidP="00D62FF4" w:rsidRDefault="366B9B18" w14:paraId="77E0C55E" w14:textId="77777777">
      <w:pPr>
        <w:spacing w:after="0" w:line="240" w:lineRule="auto"/>
        <w:jc w:val="center"/>
        <w:rPr>
          <w:rFonts w:ascii="Verdana" w:hAnsi="Verdana"/>
          <w:sz w:val="18"/>
          <w:szCs w:val="18"/>
        </w:rPr>
      </w:pPr>
      <w:r w:rsidRPr="180099B3">
        <w:rPr>
          <w:rFonts w:ascii="Verdana" w:hAnsi="Verdana"/>
          <w:sz w:val="18"/>
          <w:szCs w:val="18"/>
        </w:rPr>
        <w:t xml:space="preserve">Fuente: Oficina de Control Interno – </w:t>
      </w:r>
      <w:r w:rsidRPr="180099B3" w:rsidR="3100ABD4">
        <w:rPr>
          <w:rFonts w:ascii="Verdana" w:hAnsi="Verdana"/>
          <w:sz w:val="18"/>
          <w:szCs w:val="18"/>
        </w:rPr>
        <w:t>MME</w:t>
      </w:r>
      <w:r w:rsidRPr="180099B3">
        <w:rPr>
          <w:rFonts w:ascii="Verdana" w:hAnsi="Verdana"/>
          <w:sz w:val="18"/>
          <w:szCs w:val="18"/>
        </w:rPr>
        <w:t xml:space="preserve"> (2026)</w:t>
      </w:r>
    </w:p>
    <w:p w:rsidRPr="00B22CBB" w:rsidR="00B22CBB" w:rsidP="00C64AFF" w:rsidRDefault="00B22CBB" w14:paraId="190498ED" w14:textId="77777777">
      <w:pPr>
        <w:spacing w:after="0" w:line="360" w:lineRule="auto"/>
        <w:jc w:val="both"/>
        <w:rPr>
          <w:rFonts w:ascii="Verdana" w:hAnsi="Verdana"/>
          <w:b/>
          <w:bCs/>
          <w:sz w:val="24"/>
          <w:szCs w:val="24"/>
        </w:rPr>
      </w:pPr>
    </w:p>
    <w:p w:rsidRPr="00B22CBB" w:rsidR="00B22CBB" w:rsidP="00466C3C" w:rsidRDefault="00B22CBB" w14:paraId="3917B2B5" w14:textId="023378F5">
      <w:pPr>
        <w:pStyle w:val="Prrafodelista"/>
        <w:numPr>
          <w:ilvl w:val="1"/>
          <w:numId w:val="95"/>
        </w:numPr>
        <w:spacing w:after="0" w:line="360" w:lineRule="auto"/>
        <w:jc w:val="both"/>
        <w:outlineLvl w:val="1"/>
        <w:rPr>
          <w:rFonts w:ascii="Verdana" w:hAnsi="Verdana"/>
          <w:b/>
          <w:bCs/>
          <w:sz w:val="24"/>
          <w:szCs w:val="24"/>
        </w:rPr>
      </w:pPr>
      <w:bookmarkStart w:name="_Toc233996773" w:id="56"/>
      <w:r w:rsidRPr="00B22CBB">
        <w:rPr>
          <w:rFonts w:ascii="Verdana" w:hAnsi="Verdana"/>
          <w:b/>
          <w:bCs/>
          <w:sz w:val="24"/>
          <w:szCs w:val="24"/>
        </w:rPr>
        <w:t>Gestión Del Control Disciplinario</w:t>
      </w:r>
      <w:r w:rsidRPr="00B22CBB">
        <w:rPr>
          <w:rFonts w:ascii="Verdana" w:hAnsi="Verdana" w:cs="Arial"/>
          <w:b/>
          <w:bCs/>
          <w:sz w:val="24"/>
          <w:szCs w:val="24"/>
        </w:rPr>
        <w:t> </w:t>
      </w:r>
      <w:r w:rsidRPr="00B22CBB">
        <w:rPr>
          <w:rFonts w:ascii="Verdana" w:hAnsi="Verdana"/>
          <w:b/>
          <w:bCs/>
          <w:sz w:val="24"/>
          <w:szCs w:val="24"/>
        </w:rPr>
        <w:t>Interno</w:t>
      </w:r>
      <w:r w:rsidRPr="00B22CBB">
        <w:rPr>
          <w:rFonts w:ascii="Verdana" w:hAnsi="Verdana" w:cs="Arial"/>
          <w:b/>
          <w:bCs/>
          <w:sz w:val="24"/>
          <w:szCs w:val="24"/>
        </w:rPr>
        <w:t> </w:t>
      </w:r>
      <w:bookmarkEnd w:id="56"/>
      <w:r w:rsidRPr="00B22CBB">
        <w:rPr>
          <w:rFonts w:ascii="Verdana" w:hAnsi="Verdana" w:cs="Aptos"/>
          <w:b/>
          <w:bCs/>
          <w:sz w:val="24"/>
          <w:szCs w:val="24"/>
        </w:rPr>
        <w:t> </w:t>
      </w:r>
    </w:p>
    <w:p w:rsidRPr="00B22CBB" w:rsidR="00B22CBB" w:rsidP="00B22CBB" w:rsidRDefault="00B22CBB" w14:paraId="5D2F9FB2" w14:textId="77777777">
      <w:pPr>
        <w:spacing w:after="0" w:line="360" w:lineRule="auto"/>
        <w:jc w:val="both"/>
        <w:rPr>
          <w:rFonts w:ascii="Verdana" w:hAnsi="Verdana"/>
          <w:sz w:val="24"/>
          <w:szCs w:val="24"/>
        </w:rPr>
      </w:pPr>
      <w:r w:rsidRPr="00B22CBB">
        <w:rPr>
          <w:rFonts w:ascii="Verdana" w:hAnsi="Verdana"/>
          <w:sz w:val="24"/>
          <w:szCs w:val="24"/>
        </w:rPr>
        <w:t>  </w:t>
      </w:r>
    </w:p>
    <w:p w:rsidRPr="00B22CBB" w:rsidR="00B22CBB" w:rsidP="00F87AFB" w:rsidRDefault="00B22CBB" w14:paraId="070E569F" w14:textId="77777777">
      <w:pPr>
        <w:spacing w:after="0" w:line="360" w:lineRule="auto"/>
        <w:jc w:val="both"/>
        <w:rPr>
          <w:rFonts w:ascii="Verdana" w:hAnsi="Verdana"/>
          <w:sz w:val="24"/>
          <w:szCs w:val="24"/>
        </w:rPr>
      </w:pPr>
      <w:r w:rsidRPr="00B22CBB">
        <w:rPr>
          <w:rFonts w:ascii="Verdana" w:hAnsi="Verdana"/>
          <w:sz w:val="24"/>
          <w:szCs w:val="24"/>
        </w:rPr>
        <w:t>El presente documento constituye el balance integral de la gestión adelantada por la Oficina de Control Disciplinario Interno (OCDI) durante el cuatrienio 2022-2026. Bajo el Modelo Integrado de Planeación y Gestión (MIPG), la gestión se ha orientado a la protección del deber funcional y la moralidad administrativa, garantizando la transición normativa hacia el Código General Disciplinario - CGD (Leyes 1952 de 2019 y 2094 de 2021).  </w:t>
      </w:r>
    </w:p>
    <w:p w:rsidRPr="00B22CBB" w:rsidR="00B22CBB" w:rsidP="00F87AFB" w:rsidRDefault="00B22CBB" w14:paraId="4C1DB4E7" w14:textId="77777777">
      <w:pPr>
        <w:spacing w:after="0" w:line="360" w:lineRule="auto"/>
        <w:jc w:val="both"/>
        <w:rPr>
          <w:rFonts w:ascii="Verdana" w:hAnsi="Verdana"/>
          <w:sz w:val="24"/>
          <w:szCs w:val="24"/>
        </w:rPr>
      </w:pPr>
      <w:r w:rsidRPr="00B22CBB">
        <w:rPr>
          <w:rFonts w:ascii="Verdana" w:hAnsi="Verdana"/>
          <w:sz w:val="24"/>
          <w:szCs w:val="24"/>
        </w:rPr>
        <w:t> </w:t>
      </w:r>
    </w:p>
    <w:p w:rsidRPr="00B22CBB" w:rsidR="00B22CBB" w:rsidP="00F87AFB" w:rsidRDefault="00B22CBB" w14:paraId="2AB1E307" w14:textId="2A47170F">
      <w:pPr>
        <w:numPr>
          <w:ilvl w:val="0"/>
          <w:numId w:val="186"/>
        </w:numPr>
        <w:spacing w:after="0" w:line="360" w:lineRule="auto"/>
        <w:jc w:val="both"/>
        <w:rPr>
          <w:rFonts w:ascii="Verdana" w:hAnsi="Verdana"/>
          <w:sz w:val="24"/>
          <w:szCs w:val="24"/>
        </w:rPr>
      </w:pPr>
      <w:r w:rsidRPr="00B22CBB">
        <w:rPr>
          <w:rFonts w:ascii="Verdana" w:hAnsi="Verdana"/>
          <w:sz w:val="24"/>
          <w:szCs w:val="24"/>
        </w:rPr>
        <w:t xml:space="preserve">Evolución </w:t>
      </w:r>
      <w:r>
        <w:rPr>
          <w:rFonts w:ascii="Verdana" w:hAnsi="Verdana"/>
          <w:sz w:val="24"/>
          <w:szCs w:val="24"/>
        </w:rPr>
        <w:t>d</w:t>
      </w:r>
      <w:r w:rsidRPr="00B22CBB">
        <w:rPr>
          <w:rFonts w:ascii="Verdana" w:hAnsi="Verdana"/>
          <w:sz w:val="24"/>
          <w:szCs w:val="24"/>
        </w:rPr>
        <w:t xml:space="preserve">e </w:t>
      </w:r>
      <w:r>
        <w:rPr>
          <w:rFonts w:ascii="Verdana" w:hAnsi="Verdana"/>
          <w:sz w:val="24"/>
          <w:szCs w:val="24"/>
        </w:rPr>
        <w:t>l</w:t>
      </w:r>
      <w:r w:rsidRPr="00B22CBB">
        <w:rPr>
          <w:rFonts w:ascii="Verdana" w:hAnsi="Verdana"/>
          <w:sz w:val="24"/>
          <w:szCs w:val="24"/>
        </w:rPr>
        <w:t xml:space="preserve">a Gestión </w:t>
      </w:r>
      <w:r>
        <w:rPr>
          <w:rFonts w:ascii="Verdana" w:hAnsi="Verdana"/>
          <w:sz w:val="24"/>
          <w:szCs w:val="24"/>
        </w:rPr>
        <w:t>p</w:t>
      </w:r>
      <w:r w:rsidRPr="00B22CBB">
        <w:rPr>
          <w:rFonts w:ascii="Verdana" w:hAnsi="Verdana"/>
          <w:sz w:val="24"/>
          <w:szCs w:val="24"/>
        </w:rPr>
        <w:t>or Vigencias  </w:t>
      </w:r>
    </w:p>
    <w:p w:rsidRPr="00B22CBB" w:rsidR="00B22CBB" w:rsidP="00F87AFB" w:rsidRDefault="00B22CBB" w14:paraId="055F469C" w14:textId="77777777">
      <w:pPr>
        <w:spacing w:after="0" w:line="360" w:lineRule="auto"/>
        <w:jc w:val="both"/>
        <w:rPr>
          <w:rFonts w:ascii="Verdana" w:hAnsi="Verdana"/>
          <w:sz w:val="24"/>
          <w:szCs w:val="24"/>
        </w:rPr>
      </w:pPr>
      <w:r w:rsidRPr="00B22CBB">
        <w:rPr>
          <w:rFonts w:ascii="Verdana" w:hAnsi="Verdana"/>
          <w:sz w:val="24"/>
          <w:szCs w:val="24"/>
        </w:rPr>
        <w:t> </w:t>
      </w:r>
    </w:p>
    <w:p w:rsidRPr="00B22CBB" w:rsidR="00B22CBB" w:rsidP="00F87AFB" w:rsidRDefault="00B22CBB" w14:paraId="33247197" w14:textId="77777777">
      <w:pPr>
        <w:spacing w:after="0" w:line="360" w:lineRule="auto"/>
        <w:jc w:val="both"/>
        <w:rPr>
          <w:rFonts w:ascii="Verdana" w:hAnsi="Verdana"/>
          <w:sz w:val="24"/>
          <w:szCs w:val="24"/>
        </w:rPr>
      </w:pPr>
      <w:r w:rsidRPr="00B22CBB">
        <w:rPr>
          <w:rFonts w:ascii="Verdana" w:hAnsi="Verdana"/>
          <w:sz w:val="24"/>
          <w:szCs w:val="24"/>
        </w:rPr>
        <w:t>Desde el año 2022, la gestión disciplinaria en el Ministerio de Minas y Energía ha venido evolucionando de manera progresiva para dar cumplimiento a su propósito legal, en concordancia con lo dispuesto en el Código General Disciplinario. A continuación, se describe de manera puntual la evolución de dicha gestión durante el cuatrienio. </w:t>
      </w:r>
    </w:p>
    <w:p w:rsidR="00B22CBB" w:rsidP="00F87AFB" w:rsidRDefault="00B22CBB" w14:paraId="0169EB57" w14:textId="77777777">
      <w:pPr>
        <w:spacing w:after="0" w:line="360" w:lineRule="auto"/>
        <w:jc w:val="both"/>
        <w:rPr>
          <w:rFonts w:ascii="Verdana" w:hAnsi="Verdana"/>
          <w:sz w:val="24"/>
          <w:szCs w:val="24"/>
        </w:rPr>
      </w:pPr>
    </w:p>
    <w:p w:rsidRPr="00B22CBB" w:rsidR="00B22CBB" w:rsidP="00F87AFB" w:rsidRDefault="00B22CBB" w14:paraId="18267A0F" w14:textId="044C6276">
      <w:pPr>
        <w:spacing w:after="0" w:line="360" w:lineRule="auto"/>
        <w:jc w:val="both"/>
        <w:rPr>
          <w:rFonts w:ascii="Verdana" w:hAnsi="Verdana"/>
          <w:b/>
          <w:bCs/>
          <w:sz w:val="24"/>
          <w:szCs w:val="24"/>
        </w:rPr>
      </w:pPr>
      <w:r w:rsidRPr="00B22CBB">
        <w:rPr>
          <w:rFonts w:ascii="Verdana" w:hAnsi="Verdana"/>
          <w:b/>
          <w:bCs/>
          <w:sz w:val="24"/>
          <w:szCs w:val="24"/>
        </w:rPr>
        <w:t>Vigencia 2022   </w:t>
      </w:r>
    </w:p>
    <w:p w:rsidR="00B22CBB" w:rsidP="00F87AFB" w:rsidRDefault="00B22CBB" w14:paraId="6690C0C9" w14:textId="77777777">
      <w:pPr>
        <w:spacing w:after="0" w:line="360" w:lineRule="auto"/>
        <w:jc w:val="both"/>
        <w:rPr>
          <w:rFonts w:ascii="Verdana" w:hAnsi="Verdana"/>
          <w:sz w:val="24"/>
          <w:szCs w:val="24"/>
        </w:rPr>
      </w:pPr>
    </w:p>
    <w:p w:rsidRPr="00B22CBB" w:rsidR="00B22CBB" w:rsidP="00F87AFB" w:rsidRDefault="00B22CBB" w14:paraId="172560E0" w14:textId="5A40D6C1">
      <w:pPr>
        <w:spacing w:after="0" w:line="360" w:lineRule="auto"/>
        <w:jc w:val="both"/>
        <w:rPr>
          <w:rFonts w:ascii="Verdana" w:hAnsi="Verdana"/>
          <w:sz w:val="24"/>
          <w:szCs w:val="24"/>
        </w:rPr>
      </w:pPr>
      <w:r w:rsidRPr="00B22CBB">
        <w:rPr>
          <w:rFonts w:ascii="Verdana" w:hAnsi="Verdana"/>
          <w:sz w:val="24"/>
          <w:szCs w:val="24"/>
        </w:rPr>
        <w:t>Se desarrolló una transición procedimental para separar las funciones de instrucción y juzgamiento. El enfoque principal fue el diagnóstico del inventario activo, la creación de Oficina de Control Disciplinario Interno para garantizar la independencia de las fases de instrucción y juzgamiento, la doble instancia y el debido proceso, conforme al Decreto 030 de 2022.  </w:t>
      </w:r>
    </w:p>
    <w:p w:rsidR="00B22CBB" w:rsidP="00F87AFB" w:rsidRDefault="00B22CBB" w14:paraId="130327FC" w14:textId="77777777">
      <w:pPr>
        <w:spacing w:after="0" w:line="360" w:lineRule="auto"/>
        <w:jc w:val="both"/>
        <w:rPr>
          <w:rFonts w:ascii="Verdana" w:hAnsi="Verdana"/>
          <w:sz w:val="24"/>
          <w:szCs w:val="24"/>
        </w:rPr>
      </w:pPr>
    </w:p>
    <w:p w:rsidRPr="00B22CBB" w:rsidR="00B22CBB" w:rsidP="00F87AFB" w:rsidRDefault="00B22CBB" w14:paraId="10023989" w14:textId="047B8DFF">
      <w:pPr>
        <w:spacing w:after="0" w:line="360" w:lineRule="auto"/>
        <w:jc w:val="both"/>
        <w:rPr>
          <w:rFonts w:ascii="Verdana" w:hAnsi="Verdana"/>
          <w:b/>
          <w:bCs/>
          <w:sz w:val="24"/>
          <w:szCs w:val="24"/>
        </w:rPr>
      </w:pPr>
      <w:r w:rsidRPr="00B22CBB">
        <w:rPr>
          <w:rFonts w:ascii="Verdana" w:hAnsi="Verdana"/>
          <w:b/>
          <w:bCs/>
          <w:sz w:val="24"/>
          <w:szCs w:val="24"/>
        </w:rPr>
        <w:t>Vigencia 2023   </w:t>
      </w:r>
    </w:p>
    <w:p w:rsidR="00B22CBB" w:rsidP="00F87AFB" w:rsidRDefault="00B22CBB" w14:paraId="57BB6A89" w14:textId="77777777">
      <w:pPr>
        <w:spacing w:after="0" w:line="360" w:lineRule="auto"/>
        <w:jc w:val="both"/>
        <w:rPr>
          <w:rFonts w:ascii="Verdana" w:hAnsi="Verdana"/>
          <w:sz w:val="24"/>
          <w:szCs w:val="24"/>
        </w:rPr>
      </w:pPr>
    </w:p>
    <w:p w:rsidRPr="00B22CBB" w:rsidR="00B22CBB" w:rsidP="00F87AFB" w:rsidRDefault="00B22CBB" w14:paraId="4065ED2C" w14:textId="7B21B8CC">
      <w:pPr>
        <w:spacing w:after="0" w:line="360" w:lineRule="auto"/>
        <w:jc w:val="both"/>
        <w:rPr>
          <w:rFonts w:ascii="Verdana" w:hAnsi="Verdana"/>
          <w:sz w:val="24"/>
          <w:szCs w:val="24"/>
        </w:rPr>
      </w:pPr>
      <w:r w:rsidRPr="00B22CBB">
        <w:rPr>
          <w:rFonts w:ascii="Verdana" w:hAnsi="Verdana"/>
          <w:sz w:val="24"/>
          <w:szCs w:val="24"/>
        </w:rPr>
        <w:t>Se implementó un plan de choque mediante 'Sesiones Mensuales de Impulso Procesal', priorizando expedientes próximos a prescribir para salvaguardar la vigencia de la acción disciplinaria en casos de alto impacto.  </w:t>
      </w:r>
    </w:p>
    <w:p w:rsidR="00B22CBB" w:rsidP="00F87AFB" w:rsidRDefault="00B22CBB" w14:paraId="4201131A" w14:textId="77777777">
      <w:pPr>
        <w:spacing w:after="0" w:line="360" w:lineRule="auto"/>
        <w:jc w:val="both"/>
        <w:rPr>
          <w:rFonts w:ascii="Verdana" w:hAnsi="Verdana"/>
          <w:sz w:val="24"/>
          <w:szCs w:val="24"/>
        </w:rPr>
      </w:pPr>
    </w:p>
    <w:p w:rsidRPr="00B22CBB" w:rsidR="00B22CBB" w:rsidP="00F87AFB" w:rsidRDefault="00B22CBB" w14:paraId="214897DD" w14:textId="4BF2F07F">
      <w:pPr>
        <w:spacing w:after="0" w:line="360" w:lineRule="auto"/>
        <w:jc w:val="both"/>
        <w:rPr>
          <w:rFonts w:ascii="Verdana" w:hAnsi="Verdana"/>
          <w:b/>
          <w:bCs/>
          <w:sz w:val="24"/>
          <w:szCs w:val="24"/>
        </w:rPr>
      </w:pPr>
      <w:r w:rsidRPr="00B22CBB">
        <w:rPr>
          <w:rFonts w:ascii="Verdana" w:hAnsi="Verdana"/>
          <w:b/>
          <w:bCs/>
          <w:sz w:val="24"/>
          <w:szCs w:val="24"/>
        </w:rPr>
        <w:t>Vigencia 2024   </w:t>
      </w:r>
    </w:p>
    <w:p w:rsidR="00B22CBB" w:rsidP="00F87AFB" w:rsidRDefault="00B22CBB" w14:paraId="34977086" w14:textId="77777777">
      <w:pPr>
        <w:spacing w:after="0" w:line="360" w:lineRule="auto"/>
        <w:jc w:val="both"/>
        <w:rPr>
          <w:rFonts w:ascii="Verdana" w:hAnsi="Verdana"/>
          <w:sz w:val="24"/>
          <w:szCs w:val="24"/>
        </w:rPr>
      </w:pPr>
    </w:p>
    <w:p w:rsidRPr="00B22CBB" w:rsidR="00B22CBB" w:rsidP="00F87AFB" w:rsidRDefault="00B22CBB" w14:paraId="78F6BBD1" w14:textId="3E46938D">
      <w:pPr>
        <w:spacing w:after="0" w:line="360" w:lineRule="auto"/>
        <w:jc w:val="both"/>
        <w:rPr>
          <w:rFonts w:ascii="Verdana" w:hAnsi="Verdana"/>
          <w:sz w:val="24"/>
          <w:szCs w:val="24"/>
        </w:rPr>
      </w:pPr>
      <w:r w:rsidRPr="00B22CBB">
        <w:rPr>
          <w:rFonts w:ascii="Verdana" w:hAnsi="Verdana"/>
          <w:sz w:val="24"/>
          <w:szCs w:val="24"/>
        </w:rPr>
        <w:t>Se consolidaron las 'Sesiones Mensuales de Instancia de Impulso Procesal', logrando reducir los asuntos pendientes de resolver de vigencias anteriores, mediante mesas de trabajo técnicas, lo que permitió mitigar riesgos de prescripción y fortalecer la seguridad jurídica en la fase de instrucción.  </w:t>
      </w:r>
    </w:p>
    <w:p w:rsidR="00B22CBB" w:rsidP="00F87AFB" w:rsidRDefault="00B22CBB" w14:paraId="011C3057" w14:textId="77777777">
      <w:pPr>
        <w:spacing w:after="0" w:line="360" w:lineRule="auto"/>
        <w:jc w:val="both"/>
        <w:rPr>
          <w:rFonts w:ascii="Verdana" w:hAnsi="Verdana"/>
          <w:sz w:val="24"/>
          <w:szCs w:val="24"/>
        </w:rPr>
      </w:pPr>
    </w:p>
    <w:p w:rsidRPr="00B22CBB" w:rsidR="00B22CBB" w:rsidP="00F87AFB" w:rsidRDefault="00B22CBB" w14:paraId="2C904C85" w14:textId="30C49887">
      <w:pPr>
        <w:spacing w:after="0" w:line="360" w:lineRule="auto"/>
        <w:jc w:val="both"/>
        <w:rPr>
          <w:rFonts w:ascii="Verdana" w:hAnsi="Verdana"/>
          <w:b/>
          <w:bCs/>
          <w:sz w:val="24"/>
          <w:szCs w:val="24"/>
        </w:rPr>
      </w:pPr>
      <w:r w:rsidRPr="00B22CBB">
        <w:rPr>
          <w:rFonts w:ascii="Verdana" w:hAnsi="Verdana"/>
          <w:b/>
          <w:bCs/>
          <w:sz w:val="24"/>
          <w:szCs w:val="24"/>
        </w:rPr>
        <w:t>Vigencia 2025   </w:t>
      </w:r>
    </w:p>
    <w:p w:rsidRPr="00B22CBB" w:rsidR="00B22CBB" w:rsidP="00F87AFB" w:rsidRDefault="00B22CBB" w14:paraId="36D44D14" w14:textId="77777777">
      <w:pPr>
        <w:spacing w:after="0" w:line="360" w:lineRule="auto"/>
        <w:jc w:val="both"/>
        <w:rPr>
          <w:rFonts w:ascii="Verdana" w:hAnsi="Verdana"/>
          <w:sz w:val="24"/>
          <w:szCs w:val="24"/>
        </w:rPr>
      </w:pPr>
      <w:r w:rsidRPr="00B22CBB">
        <w:rPr>
          <w:rFonts w:ascii="Verdana" w:hAnsi="Verdana"/>
          <w:sz w:val="24"/>
          <w:szCs w:val="24"/>
        </w:rPr>
        <w:t>  </w:t>
      </w:r>
    </w:p>
    <w:p w:rsidRPr="00B22CBB" w:rsidR="00B22CBB" w:rsidP="00F87AFB" w:rsidRDefault="00B22CBB" w14:paraId="099DCC0A" w14:textId="41A22BFA">
      <w:pPr>
        <w:spacing w:after="0" w:line="360" w:lineRule="auto"/>
        <w:jc w:val="both"/>
        <w:rPr>
          <w:rFonts w:ascii="Verdana" w:hAnsi="Verdana"/>
          <w:sz w:val="24"/>
          <w:szCs w:val="24"/>
        </w:rPr>
      </w:pPr>
      <w:r w:rsidRPr="00B22CBB">
        <w:rPr>
          <w:rFonts w:ascii="Verdana" w:hAnsi="Verdana"/>
          <w:sz w:val="24"/>
          <w:szCs w:val="24"/>
        </w:rPr>
        <w:t>Se asumió un incremento sustancial en la recepción de noticias disciplinarias derivadas especialmente de informes del grupo de Relacionamiento con el Ciudadano y Gestión de Información, por vencimientos de PQRS (177 indagaciones previas). Se optimizó la capacidad de respuesta alcanzando picos históricos de depuración (40 archivos y 57 inhibitorios) y se adoptó el procedimiento actualizado en el Sistema Integrado de Gestión.   </w:t>
      </w:r>
    </w:p>
    <w:p w:rsidR="00B22CBB" w:rsidP="00F87AFB" w:rsidRDefault="00B22CBB" w14:paraId="4CF6B5CE" w14:textId="77777777">
      <w:pPr>
        <w:spacing w:after="0" w:line="360" w:lineRule="auto"/>
        <w:jc w:val="both"/>
        <w:rPr>
          <w:rFonts w:ascii="Verdana" w:hAnsi="Verdana"/>
          <w:sz w:val="24"/>
          <w:szCs w:val="24"/>
        </w:rPr>
      </w:pPr>
    </w:p>
    <w:p w:rsidRPr="00B22CBB" w:rsidR="00B22CBB" w:rsidP="00F87AFB" w:rsidRDefault="00B22CBB" w14:paraId="05A951F6" w14:textId="057DFA44">
      <w:pPr>
        <w:spacing w:after="0" w:line="360" w:lineRule="auto"/>
        <w:jc w:val="both"/>
        <w:rPr>
          <w:rFonts w:ascii="Verdana" w:hAnsi="Verdana"/>
          <w:b/>
          <w:bCs/>
          <w:sz w:val="24"/>
          <w:szCs w:val="24"/>
        </w:rPr>
      </w:pPr>
      <w:r w:rsidRPr="00B22CBB">
        <w:rPr>
          <w:rFonts w:ascii="Verdana" w:hAnsi="Verdana"/>
          <w:b/>
          <w:bCs/>
          <w:sz w:val="24"/>
          <w:szCs w:val="24"/>
        </w:rPr>
        <w:t>Vigencia 2026   </w:t>
      </w:r>
    </w:p>
    <w:p w:rsidR="00B22CBB" w:rsidP="00F87AFB" w:rsidRDefault="00B22CBB" w14:paraId="12FB7B8A" w14:textId="77777777">
      <w:pPr>
        <w:spacing w:after="0" w:line="360" w:lineRule="auto"/>
        <w:jc w:val="both"/>
        <w:rPr>
          <w:rFonts w:ascii="Verdana" w:hAnsi="Verdana"/>
          <w:sz w:val="24"/>
          <w:szCs w:val="24"/>
        </w:rPr>
      </w:pPr>
    </w:p>
    <w:p w:rsidRPr="00B22CBB" w:rsidR="00B22CBB" w:rsidP="00F87AFB" w:rsidRDefault="00B22CBB" w14:paraId="4BB9F1EE" w14:textId="44A75768">
      <w:pPr>
        <w:spacing w:after="0" w:line="360" w:lineRule="auto"/>
        <w:jc w:val="both"/>
        <w:rPr>
          <w:rFonts w:ascii="Verdana" w:hAnsi="Verdana"/>
          <w:sz w:val="24"/>
          <w:szCs w:val="24"/>
        </w:rPr>
      </w:pPr>
      <w:r w:rsidRPr="00B22CBB">
        <w:rPr>
          <w:rFonts w:ascii="Verdana" w:hAnsi="Verdana"/>
          <w:sz w:val="24"/>
          <w:szCs w:val="24"/>
        </w:rPr>
        <w:t xml:space="preserve">Se adoptó junto con el equipo de trabajo, una metodología de priorización tipo semáforo, orientada a evacuar en primer lugar los expedientes y quejas correspondientes a las vigencias anteriores, por ser </w:t>
      </w:r>
      <w:r w:rsidRPr="00B22CBB">
        <w:rPr>
          <w:rFonts w:ascii="Verdana" w:hAnsi="Verdana"/>
          <w:sz w:val="24"/>
          <w:szCs w:val="24"/>
        </w:rPr>
        <w:t>esenciales para el cumplimiento de las metas institucionales. Así mismo se vienen desarrollando acciones preventivas al interior del Ministerio,  conforme a nuestra competencia.   </w:t>
      </w:r>
    </w:p>
    <w:p w:rsidRPr="00B22CBB" w:rsidR="00B22CBB" w:rsidP="00F87AFB" w:rsidRDefault="00B22CBB" w14:paraId="37830DB4" w14:textId="77777777">
      <w:pPr>
        <w:spacing w:after="0" w:line="240" w:lineRule="auto"/>
        <w:jc w:val="both"/>
        <w:rPr>
          <w:rFonts w:ascii="Verdana" w:hAnsi="Verdana"/>
          <w:sz w:val="24"/>
          <w:szCs w:val="24"/>
        </w:rPr>
      </w:pPr>
      <w:r w:rsidRPr="00B22CBB">
        <w:rPr>
          <w:rFonts w:ascii="Verdana" w:hAnsi="Verdana"/>
          <w:sz w:val="24"/>
          <w:szCs w:val="24"/>
        </w:rPr>
        <w:t> </w:t>
      </w:r>
    </w:p>
    <w:p w:rsidRPr="00B22CBB" w:rsidR="00B22CBB" w:rsidP="00F87AFB" w:rsidRDefault="00B22CBB" w14:paraId="39B18EDA" w14:textId="15C35207">
      <w:pPr>
        <w:spacing w:after="0" w:line="240" w:lineRule="auto"/>
        <w:jc w:val="center"/>
        <w:rPr>
          <w:rFonts w:ascii="Verdana" w:hAnsi="Verdana"/>
          <w:sz w:val="18"/>
          <w:szCs w:val="18"/>
        </w:rPr>
      </w:pPr>
      <w:r>
        <w:rPr>
          <w:rFonts w:ascii="Verdana" w:hAnsi="Verdana"/>
          <w:sz w:val="18"/>
          <w:szCs w:val="18"/>
        </w:rPr>
        <w:t xml:space="preserve">Tabla No. 81. </w:t>
      </w:r>
      <w:r w:rsidRPr="00B22CBB">
        <w:rPr>
          <w:rFonts w:ascii="Verdana" w:hAnsi="Verdana"/>
          <w:sz w:val="18"/>
          <w:szCs w:val="18"/>
        </w:rPr>
        <w:t>Comparativo de la gestión en el cuatrienio  </w:t>
      </w:r>
    </w:p>
    <w:tbl>
      <w:tblPr>
        <w:tblStyle w:val="Tablaconcuadrcula"/>
        <w:tblW w:w="0" w:type="dxa"/>
        <w:tblLook w:val="04A0" w:firstRow="1" w:lastRow="0" w:firstColumn="1" w:lastColumn="0" w:noHBand="0" w:noVBand="1"/>
      </w:tblPr>
      <w:tblGrid>
        <w:gridCol w:w="2325"/>
        <w:gridCol w:w="960"/>
        <w:gridCol w:w="960"/>
        <w:gridCol w:w="960"/>
        <w:gridCol w:w="960"/>
        <w:gridCol w:w="1005"/>
        <w:gridCol w:w="960"/>
      </w:tblGrid>
      <w:tr w:rsidRPr="00B22CBB" w:rsidR="00B22CBB" w:rsidTr="00B22CBB" w14:paraId="45D4C8DC" w14:textId="77777777">
        <w:trPr>
          <w:trHeight w:val="255"/>
        </w:trPr>
        <w:tc>
          <w:tcPr>
            <w:tcW w:w="2325" w:type="dxa"/>
            <w:shd w:val="clear" w:color="auto" w:fill="A6A6A6" w:themeFill="background1" w:themeFillShade="A6"/>
            <w:vAlign w:val="center"/>
            <w:hideMark/>
          </w:tcPr>
          <w:p w:rsidRPr="00B22CBB" w:rsidR="00B22CBB" w:rsidP="00F87AFB" w:rsidRDefault="00B22CBB" w14:paraId="6BC22094" w14:textId="6610F0BF">
            <w:pPr>
              <w:jc w:val="center"/>
              <w:rPr>
                <w:rFonts w:ascii="Verdana" w:hAnsi="Verdana"/>
                <w:b/>
                <w:bCs/>
                <w:sz w:val="18"/>
                <w:szCs w:val="18"/>
              </w:rPr>
            </w:pPr>
            <w:r w:rsidRPr="00B22CBB">
              <w:rPr>
                <w:rFonts w:ascii="Verdana" w:hAnsi="Verdana"/>
                <w:b/>
                <w:bCs/>
                <w:sz w:val="18"/>
                <w:szCs w:val="18"/>
                <w:lang w:val="es-ES"/>
              </w:rPr>
              <w:t> </w:t>
            </w:r>
            <w:r w:rsidRPr="00B22CBB">
              <w:rPr>
                <w:rFonts w:ascii="Verdana" w:hAnsi="Verdana"/>
                <w:b/>
                <w:bCs/>
                <w:sz w:val="18"/>
                <w:szCs w:val="18"/>
              </w:rPr>
              <w:t>Etapa </w:t>
            </w:r>
          </w:p>
        </w:tc>
        <w:tc>
          <w:tcPr>
            <w:tcW w:w="960" w:type="dxa"/>
            <w:shd w:val="clear" w:color="auto" w:fill="A6A6A6" w:themeFill="background1" w:themeFillShade="A6"/>
            <w:vAlign w:val="center"/>
            <w:hideMark/>
          </w:tcPr>
          <w:p w:rsidRPr="00B22CBB" w:rsidR="00B22CBB" w:rsidP="00F87AFB" w:rsidRDefault="00B22CBB" w14:paraId="1168B060" w14:textId="32F0BB49">
            <w:pPr>
              <w:jc w:val="center"/>
              <w:rPr>
                <w:rFonts w:ascii="Verdana" w:hAnsi="Verdana"/>
                <w:b/>
                <w:bCs/>
                <w:sz w:val="18"/>
                <w:szCs w:val="18"/>
              </w:rPr>
            </w:pPr>
            <w:r w:rsidRPr="00B22CBB">
              <w:rPr>
                <w:rFonts w:ascii="Verdana" w:hAnsi="Verdana"/>
                <w:b/>
                <w:bCs/>
                <w:sz w:val="18"/>
                <w:szCs w:val="18"/>
              </w:rPr>
              <w:t>2022 </w:t>
            </w:r>
          </w:p>
        </w:tc>
        <w:tc>
          <w:tcPr>
            <w:tcW w:w="960" w:type="dxa"/>
            <w:shd w:val="clear" w:color="auto" w:fill="A6A6A6" w:themeFill="background1" w:themeFillShade="A6"/>
            <w:vAlign w:val="center"/>
            <w:hideMark/>
          </w:tcPr>
          <w:p w:rsidRPr="00B22CBB" w:rsidR="00B22CBB" w:rsidP="00F87AFB" w:rsidRDefault="00B22CBB" w14:paraId="784307D9" w14:textId="584DA893">
            <w:pPr>
              <w:jc w:val="center"/>
              <w:rPr>
                <w:rFonts w:ascii="Verdana" w:hAnsi="Verdana"/>
                <w:b/>
                <w:bCs/>
                <w:sz w:val="18"/>
                <w:szCs w:val="18"/>
              </w:rPr>
            </w:pPr>
            <w:r w:rsidRPr="00B22CBB">
              <w:rPr>
                <w:rFonts w:ascii="Verdana" w:hAnsi="Verdana"/>
                <w:b/>
                <w:bCs/>
                <w:sz w:val="18"/>
                <w:szCs w:val="18"/>
              </w:rPr>
              <w:t>2023 </w:t>
            </w:r>
          </w:p>
        </w:tc>
        <w:tc>
          <w:tcPr>
            <w:tcW w:w="960" w:type="dxa"/>
            <w:shd w:val="clear" w:color="auto" w:fill="A6A6A6" w:themeFill="background1" w:themeFillShade="A6"/>
            <w:vAlign w:val="center"/>
            <w:hideMark/>
          </w:tcPr>
          <w:p w:rsidRPr="00B22CBB" w:rsidR="00B22CBB" w:rsidP="00F87AFB" w:rsidRDefault="00B22CBB" w14:paraId="3E90F9C8" w14:textId="3648ED10">
            <w:pPr>
              <w:jc w:val="center"/>
              <w:rPr>
                <w:rFonts w:ascii="Verdana" w:hAnsi="Verdana"/>
                <w:b/>
                <w:bCs/>
                <w:sz w:val="18"/>
                <w:szCs w:val="18"/>
              </w:rPr>
            </w:pPr>
            <w:r w:rsidRPr="00B22CBB">
              <w:rPr>
                <w:rFonts w:ascii="Verdana" w:hAnsi="Verdana"/>
                <w:b/>
                <w:bCs/>
                <w:sz w:val="18"/>
                <w:szCs w:val="18"/>
              </w:rPr>
              <w:t>2024 </w:t>
            </w:r>
          </w:p>
        </w:tc>
        <w:tc>
          <w:tcPr>
            <w:tcW w:w="960" w:type="dxa"/>
            <w:shd w:val="clear" w:color="auto" w:fill="A6A6A6" w:themeFill="background1" w:themeFillShade="A6"/>
            <w:vAlign w:val="center"/>
            <w:hideMark/>
          </w:tcPr>
          <w:p w:rsidRPr="00B22CBB" w:rsidR="00B22CBB" w:rsidP="00F87AFB" w:rsidRDefault="00B22CBB" w14:paraId="5ACB4180" w14:textId="26BB5A9A">
            <w:pPr>
              <w:jc w:val="center"/>
              <w:rPr>
                <w:rFonts w:ascii="Verdana" w:hAnsi="Verdana"/>
                <w:b/>
                <w:bCs/>
                <w:sz w:val="18"/>
                <w:szCs w:val="18"/>
              </w:rPr>
            </w:pPr>
            <w:r w:rsidRPr="00B22CBB">
              <w:rPr>
                <w:rFonts w:ascii="Verdana" w:hAnsi="Verdana"/>
                <w:b/>
                <w:bCs/>
                <w:sz w:val="18"/>
                <w:szCs w:val="18"/>
              </w:rPr>
              <w:t>2025 </w:t>
            </w:r>
          </w:p>
        </w:tc>
        <w:tc>
          <w:tcPr>
            <w:tcW w:w="1005" w:type="dxa"/>
            <w:shd w:val="clear" w:color="auto" w:fill="A6A6A6" w:themeFill="background1" w:themeFillShade="A6"/>
            <w:vAlign w:val="center"/>
            <w:hideMark/>
          </w:tcPr>
          <w:p w:rsidRPr="00B22CBB" w:rsidR="00B22CBB" w:rsidP="00F87AFB" w:rsidRDefault="00B22CBB" w14:paraId="429CAF28" w14:textId="7C8F8CF9">
            <w:pPr>
              <w:jc w:val="center"/>
              <w:rPr>
                <w:rFonts w:ascii="Verdana" w:hAnsi="Verdana"/>
                <w:b/>
                <w:bCs/>
                <w:sz w:val="18"/>
                <w:szCs w:val="18"/>
              </w:rPr>
            </w:pPr>
            <w:r w:rsidRPr="00B22CBB">
              <w:rPr>
                <w:rFonts w:ascii="Verdana" w:hAnsi="Verdana"/>
                <w:b/>
                <w:bCs/>
                <w:sz w:val="18"/>
                <w:szCs w:val="18"/>
              </w:rPr>
              <w:t>2026* </w:t>
            </w:r>
          </w:p>
        </w:tc>
        <w:tc>
          <w:tcPr>
            <w:tcW w:w="960" w:type="dxa"/>
            <w:shd w:val="clear" w:color="auto" w:fill="A6A6A6" w:themeFill="background1" w:themeFillShade="A6"/>
            <w:vAlign w:val="center"/>
            <w:hideMark/>
          </w:tcPr>
          <w:p w:rsidRPr="00B22CBB" w:rsidR="00B22CBB" w:rsidP="00F87AFB" w:rsidRDefault="00B22CBB" w14:paraId="0FF85B57" w14:textId="2A203427">
            <w:pPr>
              <w:jc w:val="center"/>
              <w:rPr>
                <w:rFonts w:ascii="Verdana" w:hAnsi="Verdana"/>
                <w:b/>
                <w:bCs/>
                <w:sz w:val="18"/>
                <w:szCs w:val="18"/>
              </w:rPr>
            </w:pPr>
            <w:r w:rsidRPr="00B22CBB">
              <w:rPr>
                <w:rFonts w:ascii="Verdana" w:hAnsi="Verdana"/>
                <w:b/>
                <w:bCs/>
                <w:sz w:val="18"/>
                <w:szCs w:val="18"/>
              </w:rPr>
              <w:t>Total </w:t>
            </w:r>
          </w:p>
        </w:tc>
      </w:tr>
      <w:tr w:rsidRPr="00B22CBB" w:rsidR="00B22CBB" w:rsidTr="00B22CBB" w14:paraId="526413B1" w14:textId="77777777">
        <w:trPr>
          <w:trHeight w:val="255"/>
        </w:trPr>
        <w:tc>
          <w:tcPr>
            <w:tcW w:w="2325" w:type="dxa"/>
            <w:vAlign w:val="center"/>
            <w:hideMark/>
          </w:tcPr>
          <w:p w:rsidRPr="00B22CBB" w:rsidR="00B22CBB" w:rsidP="00F87AFB" w:rsidRDefault="00B22CBB" w14:paraId="0F2A78DD" w14:textId="307D9436">
            <w:pPr>
              <w:jc w:val="center"/>
              <w:rPr>
                <w:rFonts w:ascii="Verdana" w:hAnsi="Verdana"/>
                <w:b/>
                <w:bCs/>
                <w:sz w:val="18"/>
                <w:szCs w:val="18"/>
              </w:rPr>
            </w:pPr>
            <w:r w:rsidRPr="00B22CBB">
              <w:rPr>
                <w:rFonts w:ascii="Verdana" w:hAnsi="Verdana"/>
                <w:b/>
                <w:bCs/>
                <w:sz w:val="18"/>
                <w:szCs w:val="18"/>
              </w:rPr>
              <w:t>Indagación Previa </w:t>
            </w:r>
          </w:p>
        </w:tc>
        <w:tc>
          <w:tcPr>
            <w:tcW w:w="960" w:type="dxa"/>
            <w:vAlign w:val="center"/>
            <w:hideMark/>
          </w:tcPr>
          <w:p w:rsidRPr="00B22CBB" w:rsidR="00B22CBB" w:rsidP="00F87AFB" w:rsidRDefault="00B22CBB" w14:paraId="6B6B8110" w14:textId="5CAB9F80">
            <w:pPr>
              <w:jc w:val="center"/>
              <w:rPr>
                <w:rFonts w:ascii="Verdana" w:hAnsi="Verdana"/>
                <w:sz w:val="18"/>
                <w:szCs w:val="18"/>
              </w:rPr>
            </w:pPr>
            <w:r w:rsidRPr="00B22CBB">
              <w:rPr>
                <w:rFonts w:ascii="Verdana" w:hAnsi="Verdana"/>
                <w:sz w:val="18"/>
                <w:szCs w:val="18"/>
              </w:rPr>
              <w:t>0 </w:t>
            </w:r>
          </w:p>
        </w:tc>
        <w:tc>
          <w:tcPr>
            <w:tcW w:w="960" w:type="dxa"/>
            <w:vAlign w:val="center"/>
            <w:hideMark/>
          </w:tcPr>
          <w:p w:rsidRPr="00B22CBB" w:rsidR="00B22CBB" w:rsidP="00F87AFB" w:rsidRDefault="00B22CBB" w14:paraId="1643274B" w14:textId="3F12E112">
            <w:pPr>
              <w:jc w:val="center"/>
              <w:rPr>
                <w:rFonts w:ascii="Verdana" w:hAnsi="Verdana"/>
                <w:sz w:val="18"/>
                <w:szCs w:val="18"/>
              </w:rPr>
            </w:pPr>
            <w:r w:rsidRPr="00B22CBB">
              <w:rPr>
                <w:rFonts w:ascii="Verdana" w:hAnsi="Verdana"/>
                <w:sz w:val="18"/>
                <w:szCs w:val="18"/>
              </w:rPr>
              <w:t>23 </w:t>
            </w:r>
          </w:p>
        </w:tc>
        <w:tc>
          <w:tcPr>
            <w:tcW w:w="960" w:type="dxa"/>
            <w:vAlign w:val="center"/>
            <w:hideMark/>
          </w:tcPr>
          <w:p w:rsidRPr="00B22CBB" w:rsidR="00B22CBB" w:rsidP="00F87AFB" w:rsidRDefault="00B22CBB" w14:paraId="2947320D" w14:textId="525134C6">
            <w:pPr>
              <w:jc w:val="center"/>
              <w:rPr>
                <w:rFonts w:ascii="Verdana" w:hAnsi="Verdana"/>
                <w:sz w:val="18"/>
                <w:szCs w:val="18"/>
              </w:rPr>
            </w:pPr>
            <w:r w:rsidRPr="00B22CBB">
              <w:rPr>
                <w:rFonts w:ascii="Verdana" w:hAnsi="Verdana"/>
                <w:sz w:val="18"/>
                <w:szCs w:val="18"/>
              </w:rPr>
              <w:t>16 </w:t>
            </w:r>
          </w:p>
        </w:tc>
        <w:tc>
          <w:tcPr>
            <w:tcW w:w="960" w:type="dxa"/>
            <w:vAlign w:val="center"/>
            <w:hideMark/>
          </w:tcPr>
          <w:p w:rsidRPr="00B22CBB" w:rsidR="00B22CBB" w:rsidP="00F87AFB" w:rsidRDefault="00B22CBB" w14:paraId="2B57F357" w14:textId="1062637A">
            <w:pPr>
              <w:jc w:val="center"/>
              <w:rPr>
                <w:rFonts w:ascii="Verdana" w:hAnsi="Verdana"/>
                <w:sz w:val="18"/>
                <w:szCs w:val="18"/>
              </w:rPr>
            </w:pPr>
            <w:r w:rsidRPr="00B22CBB">
              <w:rPr>
                <w:rFonts w:ascii="Verdana" w:hAnsi="Verdana"/>
                <w:sz w:val="18"/>
                <w:szCs w:val="18"/>
              </w:rPr>
              <w:t>177 </w:t>
            </w:r>
          </w:p>
        </w:tc>
        <w:tc>
          <w:tcPr>
            <w:tcW w:w="1005" w:type="dxa"/>
            <w:vAlign w:val="center"/>
            <w:hideMark/>
          </w:tcPr>
          <w:p w:rsidRPr="00B22CBB" w:rsidR="00B22CBB" w:rsidP="00F87AFB" w:rsidRDefault="00B22CBB" w14:paraId="681F298B" w14:textId="298F071A">
            <w:pPr>
              <w:jc w:val="center"/>
              <w:rPr>
                <w:rFonts w:ascii="Verdana" w:hAnsi="Verdana"/>
                <w:sz w:val="18"/>
                <w:szCs w:val="18"/>
              </w:rPr>
            </w:pPr>
            <w:r w:rsidRPr="00B22CBB">
              <w:rPr>
                <w:rFonts w:ascii="Verdana" w:hAnsi="Verdana"/>
                <w:sz w:val="18"/>
                <w:szCs w:val="18"/>
              </w:rPr>
              <w:t>56 </w:t>
            </w:r>
          </w:p>
        </w:tc>
        <w:tc>
          <w:tcPr>
            <w:tcW w:w="960" w:type="dxa"/>
            <w:vAlign w:val="center"/>
            <w:hideMark/>
          </w:tcPr>
          <w:p w:rsidRPr="00B22CBB" w:rsidR="00B22CBB" w:rsidP="00F87AFB" w:rsidRDefault="00B22CBB" w14:paraId="0E89AAA4" w14:textId="6F104ABB">
            <w:pPr>
              <w:jc w:val="center"/>
              <w:rPr>
                <w:rFonts w:ascii="Verdana" w:hAnsi="Verdana"/>
                <w:sz w:val="18"/>
                <w:szCs w:val="18"/>
              </w:rPr>
            </w:pPr>
            <w:r w:rsidRPr="00B22CBB">
              <w:rPr>
                <w:rFonts w:ascii="Verdana" w:hAnsi="Verdana"/>
                <w:sz w:val="18"/>
                <w:szCs w:val="18"/>
              </w:rPr>
              <w:t>272 </w:t>
            </w:r>
          </w:p>
        </w:tc>
      </w:tr>
      <w:tr w:rsidRPr="00B22CBB" w:rsidR="00B22CBB" w:rsidTr="00B22CBB" w14:paraId="02009D65" w14:textId="77777777">
        <w:trPr>
          <w:trHeight w:val="255"/>
        </w:trPr>
        <w:tc>
          <w:tcPr>
            <w:tcW w:w="2325" w:type="dxa"/>
            <w:vAlign w:val="center"/>
            <w:hideMark/>
          </w:tcPr>
          <w:p w:rsidRPr="00B22CBB" w:rsidR="00B22CBB" w:rsidP="00F87AFB" w:rsidRDefault="00B22CBB" w14:paraId="64545D64" w14:textId="5F0FE36A">
            <w:pPr>
              <w:jc w:val="center"/>
              <w:rPr>
                <w:rFonts w:ascii="Verdana" w:hAnsi="Verdana"/>
                <w:b/>
                <w:bCs/>
                <w:sz w:val="18"/>
                <w:szCs w:val="18"/>
              </w:rPr>
            </w:pPr>
            <w:r w:rsidRPr="00B22CBB">
              <w:rPr>
                <w:rFonts w:ascii="Verdana" w:hAnsi="Verdana"/>
                <w:b/>
                <w:bCs/>
                <w:sz w:val="18"/>
                <w:szCs w:val="18"/>
              </w:rPr>
              <w:t>Apertura Invest. </w:t>
            </w:r>
          </w:p>
        </w:tc>
        <w:tc>
          <w:tcPr>
            <w:tcW w:w="960" w:type="dxa"/>
            <w:vAlign w:val="center"/>
            <w:hideMark/>
          </w:tcPr>
          <w:p w:rsidRPr="00B22CBB" w:rsidR="00B22CBB" w:rsidP="00F87AFB" w:rsidRDefault="00B22CBB" w14:paraId="138FBB58" w14:textId="7F944088">
            <w:pPr>
              <w:jc w:val="center"/>
              <w:rPr>
                <w:rFonts w:ascii="Verdana" w:hAnsi="Verdana"/>
                <w:sz w:val="18"/>
                <w:szCs w:val="18"/>
              </w:rPr>
            </w:pPr>
            <w:r w:rsidRPr="00B22CBB">
              <w:rPr>
                <w:rFonts w:ascii="Verdana" w:hAnsi="Verdana"/>
                <w:sz w:val="18"/>
                <w:szCs w:val="18"/>
              </w:rPr>
              <w:t>2 </w:t>
            </w:r>
          </w:p>
        </w:tc>
        <w:tc>
          <w:tcPr>
            <w:tcW w:w="960" w:type="dxa"/>
            <w:vAlign w:val="center"/>
            <w:hideMark/>
          </w:tcPr>
          <w:p w:rsidRPr="00B22CBB" w:rsidR="00B22CBB" w:rsidP="00F87AFB" w:rsidRDefault="00B22CBB" w14:paraId="0C12D5AB" w14:textId="757C983D">
            <w:pPr>
              <w:jc w:val="center"/>
              <w:rPr>
                <w:rFonts w:ascii="Verdana" w:hAnsi="Verdana"/>
                <w:sz w:val="18"/>
                <w:szCs w:val="18"/>
              </w:rPr>
            </w:pPr>
            <w:r w:rsidRPr="00B22CBB">
              <w:rPr>
                <w:rFonts w:ascii="Verdana" w:hAnsi="Verdana"/>
                <w:sz w:val="18"/>
                <w:szCs w:val="18"/>
              </w:rPr>
              <w:t>4 </w:t>
            </w:r>
          </w:p>
        </w:tc>
        <w:tc>
          <w:tcPr>
            <w:tcW w:w="960" w:type="dxa"/>
            <w:vAlign w:val="center"/>
            <w:hideMark/>
          </w:tcPr>
          <w:p w:rsidRPr="00B22CBB" w:rsidR="00B22CBB" w:rsidP="00F87AFB" w:rsidRDefault="00B22CBB" w14:paraId="499BCB86" w14:textId="47E95FA9">
            <w:pPr>
              <w:jc w:val="center"/>
              <w:rPr>
                <w:rFonts w:ascii="Verdana" w:hAnsi="Verdana"/>
                <w:sz w:val="18"/>
                <w:szCs w:val="18"/>
              </w:rPr>
            </w:pPr>
            <w:r w:rsidRPr="00B22CBB">
              <w:rPr>
                <w:rFonts w:ascii="Verdana" w:hAnsi="Verdana"/>
                <w:sz w:val="18"/>
                <w:szCs w:val="18"/>
              </w:rPr>
              <w:t>5 </w:t>
            </w:r>
          </w:p>
        </w:tc>
        <w:tc>
          <w:tcPr>
            <w:tcW w:w="960" w:type="dxa"/>
            <w:vAlign w:val="center"/>
            <w:hideMark/>
          </w:tcPr>
          <w:p w:rsidRPr="00B22CBB" w:rsidR="00B22CBB" w:rsidP="00F87AFB" w:rsidRDefault="00B22CBB" w14:paraId="78DBBBAD" w14:textId="5F07A7D7">
            <w:pPr>
              <w:jc w:val="center"/>
              <w:rPr>
                <w:rFonts w:ascii="Verdana" w:hAnsi="Verdana"/>
                <w:sz w:val="18"/>
                <w:szCs w:val="18"/>
              </w:rPr>
            </w:pPr>
            <w:r w:rsidRPr="00B22CBB">
              <w:rPr>
                <w:rFonts w:ascii="Verdana" w:hAnsi="Verdana"/>
                <w:sz w:val="18"/>
                <w:szCs w:val="18"/>
              </w:rPr>
              <w:t>4 </w:t>
            </w:r>
          </w:p>
        </w:tc>
        <w:tc>
          <w:tcPr>
            <w:tcW w:w="1005" w:type="dxa"/>
            <w:vAlign w:val="center"/>
            <w:hideMark/>
          </w:tcPr>
          <w:p w:rsidRPr="00B22CBB" w:rsidR="00B22CBB" w:rsidP="00F87AFB" w:rsidRDefault="00B22CBB" w14:paraId="20BBE08C" w14:textId="43BECDF4">
            <w:pPr>
              <w:jc w:val="center"/>
              <w:rPr>
                <w:rFonts w:ascii="Verdana" w:hAnsi="Verdana"/>
                <w:sz w:val="18"/>
                <w:szCs w:val="18"/>
              </w:rPr>
            </w:pPr>
            <w:r w:rsidRPr="00B22CBB">
              <w:rPr>
                <w:rFonts w:ascii="Verdana" w:hAnsi="Verdana"/>
                <w:sz w:val="18"/>
                <w:szCs w:val="18"/>
              </w:rPr>
              <w:t>5 </w:t>
            </w:r>
          </w:p>
        </w:tc>
        <w:tc>
          <w:tcPr>
            <w:tcW w:w="960" w:type="dxa"/>
            <w:vAlign w:val="center"/>
            <w:hideMark/>
          </w:tcPr>
          <w:p w:rsidRPr="00B22CBB" w:rsidR="00B22CBB" w:rsidP="00F87AFB" w:rsidRDefault="00B22CBB" w14:paraId="62A228B5" w14:textId="09EFE43C">
            <w:pPr>
              <w:jc w:val="center"/>
              <w:rPr>
                <w:rFonts w:ascii="Verdana" w:hAnsi="Verdana"/>
                <w:sz w:val="18"/>
                <w:szCs w:val="18"/>
              </w:rPr>
            </w:pPr>
            <w:r w:rsidRPr="00B22CBB">
              <w:rPr>
                <w:rFonts w:ascii="Verdana" w:hAnsi="Verdana"/>
                <w:sz w:val="18"/>
                <w:szCs w:val="18"/>
              </w:rPr>
              <w:t>20 </w:t>
            </w:r>
          </w:p>
        </w:tc>
      </w:tr>
      <w:tr w:rsidRPr="00B22CBB" w:rsidR="00B22CBB" w:rsidTr="00B22CBB" w14:paraId="03CEAB9B" w14:textId="77777777">
        <w:trPr>
          <w:trHeight w:val="255"/>
        </w:trPr>
        <w:tc>
          <w:tcPr>
            <w:tcW w:w="2325" w:type="dxa"/>
            <w:vAlign w:val="center"/>
            <w:hideMark/>
          </w:tcPr>
          <w:p w:rsidRPr="00B22CBB" w:rsidR="00B22CBB" w:rsidP="00F87AFB" w:rsidRDefault="00B22CBB" w14:paraId="6CA2E5E9" w14:textId="53137610">
            <w:pPr>
              <w:jc w:val="center"/>
              <w:rPr>
                <w:rFonts w:ascii="Verdana" w:hAnsi="Verdana"/>
                <w:b/>
                <w:bCs/>
                <w:sz w:val="18"/>
                <w:szCs w:val="18"/>
              </w:rPr>
            </w:pPr>
            <w:r w:rsidRPr="00B22CBB">
              <w:rPr>
                <w:rFonts w:ascii="Verdana" w:hAnsi="Verdana"/>
                <w:b/>
                <w:bCs/>
                <w:sz w:val="18"/>
                <w:szCs w:val="18"/>
              </w:rPr>
              <w:t>Autos Inhibitorios </w:t>
            </w:r>
          </w:p>
        </w:tc>
        <w:tc>
          <w:tcPr>
            <w:tcW w:w="960" w:type="dxa"/>
            <w:vAlign w:val="center"/>
            <w:hideMark/>
          </w:tcPr>
          <w:p w:rsidRPr="00B22CBB" w:rsidR="00B22CBB" w:rsidP="00F87AFB" w:rsidRDefault="00B22CBB" w14:paraId="405AFAA8" w14:textId="2CA51A5B">
            <w:pPr>
              <w:jc w:val="center"/>
              <w:rPr>
                <w:rFonts w:ascii="Verdana" w:hAnsi="Verdana"/>
                <w:sz w:val="18"/>
                <w:szCs w:val="18"/>
              </w:rPr>
            </w:pPr>
            <w:r w:rsidRPr="00B22CBB">
              <w:rPr>
                <w:rFonts w:ascii="Verdana" w:hAnsi="Verdana"/>
                <w:sz w:val="18"/>
                <w:szCs w:val="18"/>
              </w:rPr>
              <w:t>0 </w:t>
            </w:r>
          </w:p>
        </w:tc>
        <w:tc>
          <w:tcPr>
            <w:tcW w:w="960" w:type="dxa"/>
            <w:vAlign w:val="center"/>
            <w:hideMark/>
          </w:tcPr>
          <w:p w:rsidRPr="00B22CBB" w:rsidR="00B22CBB" w:rsidP="00F87AFB" w:rsidRDefault="00B22CBB" w14:paraId="7D4ED5DF" w14:textId="54F0E707">
            <w:pPr>
              <w:jc w:val="center"/>
              <w:rPr>
                <w:rFonts w:ascii="Verdana" w:hAnsi="Verdana"/>
                <w:sz w:val="18"/>
                <w:szCs w:val="18"/>
              </w:rPr>
            </w:pPr>
            <w:r w:rsidRPr="00B22CBB">
              <w:rPr>
                <w:rFonts w:ascii="Verdana" w:hAnsi="Verdana"/>
                <w:sz w:val="18"/>
                <w:szCs w:val="18"/>
              </w:rPr>
              <w:t>16 </w:t>
            </w:r>
          </w:p>
        </w:tc>
        <w:tc>
          <w:tcPr>
            <w:tcW w:w="960" w:type="dxa"/>
            <w:vAlign w:val="center"/>
            <w:hideMark/>
          </w:tcPr>
          <w:p w:rsidRPr="00B22CBB" w:rsidR="00B22CBB" w:rsidP="00F87AFB" w:rsidRDefault="00B22CBB" w14:paraId="546FB9DB" w14:textId="38DBECCE">
            <w:pPr>
              <w:jc w:val="center"/>
              <w:rPr>
                <w:rFonts w:ascii="Verdana" w:hAnsi="Verdana"/>
                <w:sz w:val="18"/>
                <w:szCs w:val="18"/>
              </w:rPr>
            </w:pPr>
            <w:r w:rsidRPr="00B22CBB">
              <w:rPr>
                <w:rFonts w:ascii="Verdana" w:hAnsi="Verdana"/>
                <w:sz w:val="18"/>
                <w:szCs w:val="18"/>
              </w:rPr>
              <w:t>27 </w:t>
            </w:r>
          </w:p>
        </w:tc>
        <w:tc>
          <w:tcPr>
            <w:tcW w:w="960" w:type="dxa"/>
            <w:vAlign w:val="center"/>
            <w:hideMark/>
          </w:tcPr>
          <w:p w:rsidRPr="00B22CBB" w:rsidR="00B22CBB" w:rsidP="00F87AFB" w:rsidRDefault="00B22CBB" w14:paraId="5D39EB7C" w14:textId="68187EF0">
            <w:pPr>
              <w:jc w:val="center"/>
              <w:rPr>
                <w:rFonts w:ascii="Verdana" w:hAnsi="Verdana"/>
                <w:sz w:val="18"/>
                <w:szCs w:val="18"/>
              </w:rPr>
            </w:pPr>
            <w:r w:rsidRPr="00B22CBB">
              <w:rPr>
                <w:rFonts w:ascii="Verdana" w:hAnsi="Verdana"/>
                <w:sz w:val="18"/>
                <w:szCs w:val="18"/>
              </w:rPr>
              <w:t>57 </w:t>
            </w:r>
          </w:p>
        </w:tc>
        <w:tc>
          <w:tcPr>
            <w:tcW w:w="1005" w:type="dxa"/>
            <w:vAlign w:val="center"/>
            <w:hideMark/>
          </w:tcPr>
          <w:p w:rsidRPr="00B22CBB" w:rsidR="00B22CBB" w:rsidP="00F87AFB" w:rsidRDefault="00B22CBB" w14:paraId="120BE797" w14:textId="0ECAB0CE">
            <w:pPr>
              <w:jc w:val="center"/>
              <w:rPr>
                <w:rFonts w:ascii="Verdana" w:hAnsi="Verdana"/>
                <w:sz w:val="18"/>
                <w:szCs w:val="18"/>
              </w:rPr>
            </w:pPr>
            <w:r w:rsidRPr="00B22CBB">
              <w:rPr>
                <w:rFonts w:ascii="Verdana" w:hAnsi="Verdana"/>
                <w:sz w:val="18"/>
                <w:szCs w:val="18"/>
              </w:rPr>
              <w:t>44 </w:t>
            </w:r>
          </w:p>
        </w:tc>
        <w:tc>
          <w:tcPr>
            <w:tcW w:w="960" w:type="dxa"/>
            <w:vAlign w:val="center"/>
            <w:hideMark/>
          </w:tcPr>
          <w:p w:rsidRPr="00B22CBB" w:rsidR="00B22CBB" w:rsidP="00F87AFB" w:rsidRDefault="00B22CBB" w14:paraId="6DC042C7" w14:textId="10ED8CBB">
            <w:pPr>
              <w:jc w:val="center"/>
              <w:rPr>
                <w:rFonts w:ascii="Verdana" w:hAnsi="Verdana"/>
                <w:sz w:val="18"/>
                <w:szCs w:val="18"/>
              </w:rPr>
            </w:pPr>
            <w:r w:rsidRPr="00B22CBB">
              <w:rPr>
                <w:rFonts w:ascii="Verdana" w:hAnsi="Verdana"/>
                <w:sz w:val="18"/>
                <w:szCs w:val="18"/>
              </w:rPr>
              <w:t>144 </w:t>
            </w:r>
          </w:p>
        </w:tc>
      </w:tr>
      <w:tr w:rsidRPr="00B22CBB" w:rsidR="00B22CBB" w:rsidTr="00B22CBB" w14:paraId="081E4E6C" w14:textId="77777777">
        <w:trPr>
          <w:trHeight w:val="255"/>
        </w:trPr>
        <w:tc>
          <w:tcPr>
            <w:tcW w:w="2325" w:type="dxa"/>
            <w:vAlign w:val="center"/>
            <w:hideMark/>
          </w:tcPr>
          <w:p w:rsidRPr="00B22CBB" w:rsidR="00B22CBB" w:rsidP="00F87AFB" w:rsidRDefault="00B22CBB" w14:paraId="2A9A0E96" w14:textId="043C96C3">
            <w:pPr>
              <w:jc w:val="center"/>
              <w:rPr>
                <w:rFonts w:ascii="Verdana" w:hAnsi="Verdana"/>
                <w:b/>
                <w:bCs/>
                <w:sz w:val="18"/>
                <w:szCs w:val="18"/>
              </w:rPr>
            </w:pPr>
            <w:r w:rsidRPr="00B22CBB">
              <w:rPr>
                <w:rFonts w:ascii="Verdana" w:hAnsi="Verdana"/>
                <w:b/>
                <w:bCs/>
                <w:sz w:val="18"/>
                <w:szCs w:val="18"/>
              </w:rPr>
              <w:t>Archivos Def. </w:t>
            </w:r>
          </w:p>
        </w:tc>
        <w:tc>
          <w:tcPr>
            <w:tcW w:w="960" w:type="dxa"/>
            <w:vAlign w:val="center"/>
            <w:hideMark/>
          </w:tcPr>
          <w:p w:rsidRPr="00B22CBB" w:rsidR="00B22CBB" w:rsidP="00F87AFB" w:rsidRDefault="00B22CBB" w14:paraId="732E4996" w14:textId="23706C7E">
            <w:pPr>
              <w:jc w:val="center"/>
              <w:rPr>
                <w:rFonts w:ascii="Verdana" w:hAnsi="Verdana"/>
                <w:sz w:val="18"/>
                <w:szCs w:val="18"/>
              </w:rPr>
            </w:pPr>
            <w:r w:rsidRPr="00B22CBB">
              <w:rPr>
                <w:rFonts w:ascii="Verdana" w:hAnsi="Verdana"/>
                <w:sz w:val="18"/>
                <w:szCs w:val="18"/>
              </w:rPr>
              <w:t>2 </w:t>
            </w:r>
          </w:p>
        </w:tc>
        <w:tc>
          <w:tcPr>
            <w:tcW w:w="960" w:type="dxa"/>
            <w:vAlign w:val="center"/>
            <w:hideMark/>
          </w:tcPr>
          <w:p w:rsidRPr="00B22CBB" w:rsidR="00B22CBB" w:rsidP="00F87AFB" w:rsidRDefault="00B22CBB" w14:paraId="51C9E911" w14:textId="2AFED359">
            <w:pPr>
              <w:jc w:val="center"/>
              <w:rPr>
                <w:rFonts w:ascii="Verdana" w:hAnsi="Verdana"/>
                <w:sz w:val="18"/>
                <w:szCs w:val="18"/>
              </w:rPr>
            </w:pPr>
            <w:r w:rsidRPr="00B22CBB">
              <w:rPr>
                <w:rFonts w:ascii="Verdana" w:hAnsi="Verdana"/>
                <w:sz w:val="18"/>
                <w:szCs w:val="18"/>
              </w:rPr>
              <w:t>14 </w:t>
            </w:r>
          </w:p>
        </w:tc>
        <w:tc>
          <w:tcPr>
            <w:tcW w:w="960" w:type="dxa"/>
            <w:vAlign w:val="center"/>
            <w:hideMark/>
          </w:tcPr>
          <w:p w:rsidRPr="00B22CBB" w:rsidR="00B22CBB" w:rsidP="00F87AFB" w:rsidRDefault="00B22CBB" w14:paraId="49FF0878" w14:textId="0CFED24E">
            <w:pPr>
              <w:jc w:val="center"/>
              <w:rPr>
                <w:rFonts w:ascii="Verdana" w:hAnsi="Verdana"/>
                <w:sz w:val="18"/>
                <w:szCs w:val="18"/>
              </w:rPr>
            </w:pPr>
            <w:r w:rsidRPr="00B22CBB">
              <w:rPr>
                <w:rFonts w:ascii="Verdana" w:hAnsi="Verdana"/>
                <w:sz w:val="18"/>
                <w:szCs w:val="18"/>
              </w:rPr>
              <w:t>9 </w:t>
            </w:r>
          </w:p>
        </w:tc>
        <w:tc>
          <w:tcPr>
            <w:tcW w:w="960" w:type="dxa"/>
            <w:vAlign w:val="center"/>
            <w:hideMark/>
          </w:tcPr>
          <w:p w:rsidRPr="00B22CBB" w:rsidR="00B22CBB" w:rsidP="00F87AFB" w:rsidRDefault="00B22CBB" w14:paraId="57F4AE85" w14:textId="26D6AD10">
            <w:pPr>
              <w:jc w:val="center"/>
              <w:rPr>
                <w:rFonts w:ascii="Verdana" w:hAnsi="Verdana"/>
                <w:sz w:val="18"/>
                <w:szCs w:val="18"/>
              </w:rPr>
            </w:pPr>
            <w:r w:rsidRPr="00B22CBB">
              <w:rPr>
                <w:rFonts w:ascii="Verdana" w:hAnsi="Verdana"/>
                <w:sz w:val="18"/>
                <w:szCs w:val="18"/>
              </w:rPr>
              <w:t>40 </w:t>
            </w:r>
          </w:p>
        </w:tc>
        <w:tc>
          <w:tcPr>
            <w:tcW w:w="1005" w:type="dxa"/>
            <w:vAlign w:val="center"/>
            <w:hideMark/>
          </w:tcPr>
          <w:p w:rsidRPr="00B22CBB" w:rsidR="00B22CBB" w:rsidP="00F87AFB" w:rsidRDefault="00B22CBB" w14:paraId="60D816BB" w14:textId="14BA1788">
            <w:pPr>
              <w:jc w:val="center"/>
              <w:rPr>
                <w:rFonts w:ascii="Verdana" w:hAnsi="Verdana"/>
                <w:sz w:val="18"/>
                <w:szCs w:val="18"/>
              </w:rPr>
            </w:pPr>
            <w:r w:rsidRPr="00B22CBB">
              <w:rPr>
                <w:rFonts w:ascii="Verdana" w:hAnsi="Verdana"/>
                <w:sz w:val="18"/>
                <w:szCs w:val="18"/>
              </w:rPr>
              <w:t>4 </w:t>
            </w:r>
          </w:p>
        </w:tc>
        <w:tc>
          <w:tcPr>
            <w:tcW w:w="960" w:type="dxa"/>
            <w:vAlign w:val="center"/>
            <w:hideMark/>
          </w:tcPr>
          <w:p w:rsidRPr="00B22CBB" w:rsidR="00B22CBB" w:rsidP="00F87AFB" w:rsidRDefault="00B22CBB" w14:paraId="5CECEBC8" w14:textId="42257248">
            <w:pPr>
              <w:jc w:val="center"/>
              <w:rPr>
                <w:rFonts w:ascii="Verdana" w:hAnsi="Verdana"/>
                <w:sz w:val="18"/>
                <w:szCs w:val="18"/>
              </w:rPr>
            </w:pPr>
            <w:r w:rsidRPr="00B22CBB">
              <w:rPr>
                <w:rFonts w:ascii="Verdana" w:hAnsi="Verdana"/>
                <w:sz w:val="18"/>
                <w:szCs w:val="18"/>
              </w:rPr>
              <w:t>69 </w:t>
            </w:r>
          </w:p>
        </w:tc>
      </w:tr>
      <w:tr w:rsidRPr="00B22CBB" w:rsidR="00B22CBB" w:rsidTr="00B22CBB" w14:paraId="55048B68" w14:textId="77777777">
        <w:trPr>
          <w:trHeight w:val="255"/>
        </w:trPr>
        <w:tc>
          <w:tcPr>
            <w:tcW w:w="2325" w:type="dxa"/>
            <w:vAlign w:val="center"/>
            <w:hideMark/>
          </w:tcPr>
          <w:p w:rsidRPr="00B22CBB" w:rsidR="00B22CBB" w:rsidP="00F87AFB" w:rsidRDefault="00B22CBB" w14:paraId="0DB334E4" w14:textId="319DFEA3">
            <w:pPr>
              <w:jc w:val="center"/>
              <w:rPr>
                <w:rFonts w:ascii="Verdana" w:hAnsi="Verdana"/>
                <w:b/>
                <w:bCs/>
                <w:sz w:val="18"/>
                <w:szCs w:val="18"/>
              </w:rPr>
            </w:pPr>
            <w:r w:rsidRPr="00B22CBB">
              <w:rPr>
                <w:rFonts w:ascii="Verdana" w:hAnsi="Verdana"/>
                <w:b/>
                <w:bCs/>
                <w:sz w:val="18"/>
                <w:szCs w:val="18"/>
              </w:rPr>
              <w:t>Traslado Comp. </w:t>
            </w:r>
          </w:p>
        </w:tc>
        <w:tc>
          <w:tcPr>
            <w:tcW w:w="960" w:type="dxa"/>
            <w:vAlign w:val="center"/>
            <w:hideMark/>
          </w:tcPr>
          <w:p w:rsidRPr="00B22CBB" w:rsidR="00B22CBB" w:rsidP="00F87AFB" w:rsidRDefault="00B22CBB" w14:paraId="2F00D663" w14:textId="153E7BD3">
            <w:pPr>
              <w:jc w:val="center"/>
              <w:rPr>
                <w:rFonts w:ascii="Verdana" w:hAnsi="Verdana"/>
                <w:sz w:val="18"/>
                <w:szCs w:val="18"/>
              </w:rPr>
            </w:pPr>
            <w:r w:rsidRPr="00B22CBB">
              <w:rPr>
                <w:rFonts w:ascii="Verdana" w:hAnsi="Verdana"/>
                <w:sz w:val="18"/>
                <w:szCs w:val="18"/>
              </w:rPr>
              <w:t>0 </w:t>
            </w:r>
          </w:p>
        </w:tc>
        <w:tc>
          <w:tcPr>
            <w:tcW w:w="960" w:type="dxa"/>
            <w:vAlign w:val="center"/>
            <w:hideMark/>
          </w:tcPr>
          <w:p w:rsidRPr="00B22CBB" w:rsidR="00B22CBB" w:rsidP="00F87AFB" w:rsidRDefault="00B22CBB" w14:paraId="4E2D5959" w14:textId="19210181">
            <w:pPr>
              <w:jc w:val="center"/>
              <w:rPr>
                <w:rFonts w:ascii="Verdana" w:hAnsi="Verdana"/>
                <w:sz w:val="18"/>
                <w:szCs w:val="18"/>
              </w:rPr>
            </w:pPr>
            <w:r w:rsidRPr="00B22CBB">
              <w:rPr>
                <w:rFonts w:ascii="Verdana" w:hAnsi="Verdana"/>
                <w:sz w:val="18"/>
                <w:szCs w:val="18"/>
              </w:rPr>
              <w:t>8 </w:t>
            </w:r>
          </w:p>
        </w:tc>
        <w:tc>
          <w:tcPr>
            <w:tcW w:w="960" w:type="dxa"/>
            <w:vAlign w:val="center"/>
            <w:hideMark/>
          </w:tcPr>
          <w:p w:rsidRPr="00B22CBB" w:rsidR="00B22CBB" w:rsidP="00F87AFB" w:rsidRDefault="00B22CBB" w14:paraId="3CC98CD0" w14:textId="22438004">
            <w:pPr>
              <w:jc w:val="center"/>
              <w:rPr>
                <w:rFonts w:ascii="Verdana" w:hAnsi="Verdana"/>
                <w:sz w:val="18"/>
                <w:szCs w:val="18"/>
              </w:rPr>
            </w:pPr>
            <w:r w:rsidRPr="00B22CBB">
              <w:rPr>
                <w:rFonts w:ascii="Verdana" w:hAnsi="Verdana"/>
                <w:sz w:val="18"/>
                <w:szCs w:val="18"/>
              </w:rPr>
              <w:t>20 </w:t>
            </w:r>
          </w:p>
        </w:tc>
        <w:tc>
          <w:tcPr>
            <w:tcW w:w="960" w:type="dxa"/>
            <w:vAlign w:val="center"/>
            <w:hideMark/>
          </w:tcPr>
          <w:p w:rsidRPr="00B22CBB" w:rsidR="00B22CBB" w:rsidP="00F87AFB" w:rsidRDefault="00B22CBB" w14:paraId="1B2BED78" w14:textId="1292DE3E">
            <w:pPr>
              <w:jc w:val="center"/>
              <w:rPr>
                <w:rFonts w:ascii="Verdana" w:hAnsi="Verdana"/>
                <w:sz w:val="18"/>
                <w:szCs w:val="18"/>
              </w:rPr>
            </w:pPr>
            <w:r w:rsidRPr="00B22CBB">
              <w:rPr>
                <w:rFonts w:ascii="Verdana" w:hAnsi="Verdana"/>
                <w:sz w:val="18"/>
                <w:szCs w:val="18"/>
              </w:rPr>
              <w:t>26 </w:t>
            </w:r>
          </w:p>
        </w:tc>
        <w:tc>
          <w:tcPr>
            <w:tcW w:w="1005" w:type="dxa"/>
            <w:vAlign w:val="center"/>
            <w:hideMark/>
          </w:tcPr>
          <w:p w:rsidRPr="00B22CBB" w:rsidR="00B22CBB" w:rsidP="00F87AFB" w:rsidRDefault="00B22CBB" w14:paraId="7F41C944" w14:textId="27649A43">
            <w:pPr>
              <w:jc w:val="center"/>
              <w:rPr>
                <w:rFonts w:ascii="Verdana" w:hAnsi="Verdana"/>
                <w:sz w:val="18"/>
                <w:szCs w:val="18"/>
              </w:rPr>
            </w:pPr>
            <w:r w:rsidRPr="00B22CBB">
              <w:rPr>
                <w:rFonts w:ascii="Verdana" w:hAnsi="Verdana"/>
                <w:sz w:val="18"/>
                <w:szCs w:val="18"/>
              </w:rPr>
              <w:t>0 </w:t>
            </w:r>
          </w:p>
        </w:tc>
        <w:tc>
          <w:tcPr>
            <w:tcW w:w="960" w:type="dxa"/>
            <w:vAlign w:val="center"/>
            <w:hideMark/>
          </w:tcPr>
          <w:p w:rsidRPr="00B22CBB" w:rsidR="00B22CBB" w:rsidP="00F87AFB" w:rsidRDefault="00B22CBB" w14:paraId="19D32A25" w14:textId="597EB67C">
            <w:pPr>
              <w:jc w:val="center"/>
              <w:rPr>
                <w:rFonts w:ascii="Verdana" w:hAnsi="Verdana"/>
                <w:sz w:val="18"/>
                <w:szCs w:val="18"/>
              </w:rPr>
            </w:pPr>
            <w:r w:rsidRPr="00B22CBB">
              <w:rPr>
                <w:rFonts w:ascii="Verdana" w:hAnsi="Verdana"/>
                <w:sz w:val="18"/>
                <w:szCs w:val="18"/>
              </w:rPr>
              <w:t>54 </w:t>
            </w:r>
          </w:p>
        </w:tc>
      </w:tr>
      <w:tr w:rsidRPr="00B22CBB" w:rsidR="00B22CBB" w:rsidTr="00B22CBB" w14:paraId="4C26CBEA" w14:textId="77777777">
        <w:trPr>
          <w:trHeight w:val="255"/>
        </w:trPr>
        <w:tc>
          <w:tcPr>
            <w:tcW w:w="2325" w:type="dxa"/>
            <w:vAlign w:val="center"/>
            <w:hideMark/>
          </w:tcPr>
          <w:p w:rsidRPr="00B22CBB" w:rsidR="00B22CBB" w:rsidP="00F87AFB" w:rsidRDefault="00B22CBB" w14:paraId="2A64F6F0" w14:textId="6D2B8B16">
            <w:pPr>
              <w:jc w:val="center"/>
              <w:rPr>
                <w:rFonts w:ascii="Verdana" w:hAnsi="Verdana"/>
                <w:b/>
                <w:bCs/>
                <w:sz w:val="18"/>
                <w:szCs w:val="18"/>
              </w:rPr>
            </w:pPr>
            <w:r w:rsidRPr="00B22CBB">
              <w:rPr>
                <w:rFonts w:ascii="Verdana" w:hAnsi="Verdana"/>
                <w:b/>
                <w:bCs/>
                <w:sz w:val="18"/>
                <w:szCs w:val="18"/>
              </w:rPr>
              <w:t>Pliego de Cargos </w:t>
            </w:r>
          </w:p>
        </w:tc>
        <w:tc>
          <w:tcPr>
            <w:tcW w:w="960" w:type="dxa"/>
            <w:vAlign w:val="center"/>
            <w:hideMark/>
          </w:tcPr>
          <w:p w:rsidRPr="00B22CBB" w:rsidR="00B22CBB" w:rsidP="00F87AFB" w:rsidRDefault="00B22CBB" w14:paraId="7E622D13" w14:textId="3A83B53E">
            <w:pPr>
              <w:jc w:val="center"/>
              <w:rPr>
                <w:rFonts w:ascii="Verdana" w:hAnsi="Verdana"/>
                <w:sz w:val="18"/>
                <w:szCs w:val="18"/>
              </w:rPr>
            </w:pPr>
            <w:r w:rsidRPr="00B22CBB">
              <w:rPr>
                <w:rFonts w:ascii="Verdana" w:hAnsi="Verdana"/>
                <w:sz w:val="18"/>
                <w:szCs w:val="18"/>
              </w:rPr>
              <w:t>0 </w:t>
            </w:r>
          </w:p>
        </w:tc>
        <w:tc>
          <w:tcPr>
            <w:tcW w:w="960" w:type="dxa"/>
            <w:vAlign w:val="center"/>
            <w:hideMark/>
          </w:tcPr>
          <w:p w:rsidRPr="00B22CBB" w:rsidR="00B22CBB" w:rsidP="00F87AFB" w:rsidRDefault="00B22CBB" w14:paraId="17683495" w14:textId="69CCD4E0">
            <w:pPr>
              <w:jc w:val="center"/>
              <w:rPr>
                <w:rFonts w:ascii="Verdana" w:hAnsi="Verdana"/>
                <w:sz w:val="18"/>
                <w:szCs w:val="18"/>
              </w:rPr>
            </w:pPr>
            <w:r w:rsidRPr="00B22CBB">
              <w:rPr>
                <w:rFonts w:ascii="Verdana" w:hAnsi="Verdana"/>
                <w:sz w:val="18"/>
                <w:szCs w:val="18"/>
              </w:rPr>
              <w:t>2 </w:t>
            </w:r>
          </w:p>
        </w:tc>
        <w:tc>
          <w:tcPr>
            <w:tcW w:w="960" w:type="dxa"/>
            <w:vAlign w:val="center"/>
            <w:hideMark/>
          </w:tcPr>
          <w:p w:rsidRPr="00B22CBB" w:rsidR="00B22CBB" w:rsidP="00F87AFB" w:rsidRDefault="00B22CBB" w14:paraId="13B5E337" w14:textId="720F8EE8">
            <w:pPr>
              <w:jc w:val="center"/>
              <w:rPr>
                <w:rFonts w:ascii="Verdana" w:hAnsi="Verdana"/>
                <w:sz w:val="18"/>
                <w:szCs w:val="18"/>
              </w:rPr>
            </w:pPr>
            <w:r w:rsidRPr="00B22CBB">
              <w:rPr>
                <w:rFonts w:ascii="Verdana" w:hAnsi="Verdana"/>
                <w:sz w:val="18"/>
                <w:szCs w:val="18"/>
              </w:rPr>
              <w:t>2 </w:t>
            </w:r>
          </w:p>
        </w:tc>
        <w:tc>
          <w:tcPr>
            <w:tcW w:w="960" w:type="dxa"/>
            <w:vAlign w:val="center"/>
            <w:hideMark/>
          </w:tcPr>
          <w:p w:rsidRPr="00B22CBB" w:rsidR="00B22CBB" w:rsidP="00F87AFB" w:rsidRDefault="00B22CBB" w14:paraId="43DA7977" w14:textId="59EA4BF2">
            <w:pPr>
              <w:jc w:val="center"/>
              <w:rPr>
                <w:rFonts w:ascii="Verdana" w:hAnsi="Verdana"/>
                <w:sz w:val="18"/>
                <w:szCs w:val="18"/>
              </w:rPr>
            </w:pPr>
            <w:r w:rsidRPr="00B22CBB">
              <w:rPr>
                <w:rFonts w:ascii="Verdana" w:hAnsi="Verdana"/>
                <w:sz w:val="18"/>
                <w:szCs w:val="18"/>
              </w:rPr>
              <w:t>0 </w:t>
            </w:r>
          </w:p>
        </w:tc>
        <w:tc>
          <w:tcPr>
            <w:tcW w:w="1005" w:type="dxa"/>
            <w:vAlign w:val="center"/>
            <w:hideMark/>
          </w:tcPr>
          <w:p w:rsidRPr="00B22CBB" w:rsidR="00B22CBB" w:rsidP="00F87AFB" w:rsidRDefault="00B22CBB" w14:paraId="2F72A4D2" w14:textId="0C7071E3">
            <w:pPr>
              <w:jc w:val="center"/>
              <w:rPr>
                <w:rFonts w:ascii="Verdana" w:hAnsi="Verdana"/>
                <w:sz w:val="18"/>
                <w:szCs w:val="18"/>
              </w:rPr>
            </w:pPr>
            <w:r w:rsidRPr="00B22CBB">
              <w:rPr>
                <w:rFonts w:ascii="Verdana" w:hAnsi="Verdana"/>
                <w:sz w:val="18"/>
                <w:szCs w:val="18"/>
              </w:rPr>
              <w:t>0 </w:t>
            </w:r>
          </w:p>
        </w:tc>
        <w:tc>
          <w:tcPr>
            <w:tcW w:w="960" w:type="dxa"/>
            <w:vAlign w:val="center"/>
            <w:hideMark/>
          </w:tcPr>
          <w:p w:rsidRPr="00B22CBB" w:rsidR="00B22CBB" w:rsidP="00F87AFB" w:rsidRDefault="00B22CBB" w14:paraId="5C29D6EB" w14:textId="50CDC551">
            <w:pPr>
              <w:jc w:val="center"/>
              <w:rPr>
                <w:rFonts w:ascii="Verdana" w:hAnsi="Verdana"/>
                <w:sz w:val="18"/>
                <w:szCs w:val="18"/>
              </w:rPr>
            </w:pPr>
            <w:r w:rsidRPr="00B22CBB">
              <w:rPr>
                <w:rFonts w:ascii="Verdana" w:hAnsi="Verdana"/>
                <w:sz w:val="18"/>
                <w:szCs w:val="18"/>
              </w:rPr>
              <w:t>4 </w:t>
            </w:r>
          </w:p>
        </w:tc>
      </w:tr>
    </w:tbl>
    <w:p w:rsidR="00B22CBB" w:rsidP="00F87AFB" w:rsidRDefault="00B22CBB" w14:paraId="0769A1FC" w14:textId="01178295">
      <w:pPr>
        <w:spacing w:after="0" w:line="240" w:lineRule="auto"/>
        <w:jc w:val="center"/>
        <w:rPr>
          <w:rFonts w:ascii="Verdana" w:hAnsi="Verdana"/>
          <w:sz w:val="18"/>
          <w:szCs w:val="18"/>
          <w:lang w:val="es-ES"/>
        </w:rPr>
      </w:pPr>
      <w:r w:rsidRPr="00B22CBB">
        <w:rPr>
          <w:rFonts w:ascii="Verdana" w:hAnsi="Verdana"/>
          <w:sz w:val="18"/>
          <w:szCs w:val="18"/>
          <w:lang w:val="es-ES"/>
        </w:rPr>
        <w:t> </w:t>
      </w:r>
      <w:r w:rsidRPr="00B22CBB">
        <w:rPr>
          <w:rFonts w:ascii="Verdana" w:hAnsi="Verdana"/>
          <w:sz w:val="18"/>
          <w:szCs w:val="18"/>
        </w:rPr>
        <w:t>Fuente: Propia: Cuadro de reparto en Excel, carpeta Sharepoint OCDI.</w:t>
      </w:r>
      <w:r w:rsidRPr="00B22CBB">
        <w:rPr>
          <w:rFonts w:ascii="Verdana" w:hAnsi="Verdana"/>
          <w:sz w:val="18"/>
          <w:szCs w:val="18"/>
          <w:lang w:val="es-ES"/>
        </w:rPr>
        <w:t> </w:t>
      </w:r>
    </w:p>
    <w:p w:rsidRPr="00F87AFB" w:rsidR="00B22CBB" w:rsidP="00F87AFB" w:rsidRDefault="00B22CBB" w14:paraId="5D716B15" w14:textId="77777777">
      <w:pPr>
        <w:spacing w:after="0" w:line="360" w:lineRule="auto"/>
        <w:jc w:val="center"/>
        <w:rPr>
          <w:rFonts w:ascii="Verdana" w:hAnsi="Verdana"/>
          <w:sz w:val="24"/>
          <w:szCs w:val="24"/>
        </w:rPr>
      </w:pPr>
    </w:p>
    <w:p w:rsidRPr="00F87AFB" w:rsidR="00F87AFB" w:rsidP="00F87AFB" w:rsidRDefault="00F87AFB" w14:paraId="386B1BAB" w14:textId="106A62C6">
      <w:pPr>
        <w:spacing w:after="0" w:line="240" w:lineRule="auto"/>
        <w:jc w:val="center"/>
        <w:rPr>
          <w:rFonts w:ascii="Verdana" w:hAnsi="Verdana"/>
          <w:sz w:val="18"/>
          <w:szCs w:val="18"/>
        </w:rPr>
      </w:pPr>
      <w:r>
        <w:rPr>
          <w:rFonts w:ascii="Verdana" w:hAnsi="Verdana"/>
          <w:sz w:val="18"/>
          <w:szCs w:val="18"/>
        </w:rPr>
        <w:t>Grafica No. 16</w:t>
      </w:r>
      <w:r w:rsidRPr="00F87AFB">
        <w:rPr>
          <w:rFonts w:ascii="Verdana" w:hAnsi="Verdana"/>
          <w:sz w:val="18"/>
          <w:szCs w:val="18"/>
        </w:rPr>
        <w:t>. Tendencia de la actividad procesal OCDI (2022-2026)  </w:t>
      </w:r>
    </w:p>
    <w:p w:rsidRPr="00B22CBB" w:rsidR="00B22CBB" w:rsidP="00F87AFB" w:rsidRDefault="00B22CBB" w14:paraId="7A77E914" w14:textId="5C5BF55C">
      <w:pPr>
        <w:spacing w:after="0" w:line="240" w:lineRule="auto"/>
        <w:jc w:val="center"/>
        <w:rPr>
          <w:rFonts w:ascii="Verdana" w:hAnsi="Verdana"/>
          <w:sz w:val="24"/>
          <w:szCs w:val="24"/>
        </w:rPr>
      </w:pPr>
      <w:r w:rsidRPr="00B22CBB">
        <w:rPr>
          <w:rFonts w:ascii="Verdana" w:hAnsi="Verdana"/>
          <w:noProof/>
          <w:sz w:val="24"/>
          <w:szCs w:val="24"/>
        </w:rPr>
        <w:drawing>
          <wp:inline distT="0" distB="0" distL="0" distR="0" wp14:anchorId="070DD7AD" wp14:editId="4D1DDA0A">
            <wp:extent cx="4591050" cy="2743200"/>
            <wp:effectExtent l="0" t="0" r="0" b="0"/>
            <wp:docPr id="896118810"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591050" cy="2743200"/>
                    </a:xfrm>
                    <a:prstGeom prst="rect">
                      <a:avLst/>
                    </a:prstGeom>
                    <a:noFill/>
                    <a:ln>
                      <a:noFill/>
                    </a:ln>
                  </pic:spPr>
                </pic:pic>
              </a:graphicData>
            </a:graphic>
          </wp:inline>
        </w:drawing>
      </w:r>
    </w:p>
    <w:p w:rsidRPr="00B22CBB" w:rsidR="00B22CBB" w:rsidP="00F87AFB" w:rsidRDefault="00F87AFB" w14:paraId="577D2F8C" w14:textId="76CDA7E7">
      <w:pPr>
        <w:spacing w:after="0" w:line="240" w:lineRule="auto"/>
        <w:jc w:val="center"/>
        <w:rPr>
          <w:rFonts w:ascii="Verdana" w:hAnsi="Verdana"/>
          <w:sz w:val="24"/>
          <w:szCs w:val="24"/>
        </w:rPr>
      </w:pPr>
      <w:r w:rsidRPr="00B22CBB">
        <w:rPr>
          <w:rFonts w:ascii="Verdana" w:hAnsi="Verdana"/>
          <w:sz w:val="18"/>
          <w:szCs w:val="18"/>
          <w:lang w:val="es-ES"/>
        </w:rPr>
        <w:t> </w:t>
      </w:r>
      <w:r w:rsidRPr="00B22CBB">
        <w:rPr>
          <w:rFonts w:ascii="Verdana" w:hAnsi="Verdana"/>
          <w:sz w:val="18"/>
          <w:szCs w:val="18"/>
        </w:rPr>
        <w:t>Fuente: </w:t>
      </w:r>
      <w:r>
        <w:rPr>
          <w:rFonts w:ascii="Verdana" w:hAnsi="Verdana"/>
          <w:sz w:val="18"/>
          <w:szCs w:val="18"/>
        </w:rPr>
        <w:t xml:space="preserve">Elaboración </w:t>
      </w:r>
      <w:r w:rsidRPr="00B22CBB">
        <w:rPr>
          <w:rFonts w:ascii="Verdana" w:hAnsi="Verdana"/>
          <w:sz w:val="18"/>
          <w:szCs w:val="18"/>
        </w:rPr>
        <w:t>Propia</w:t>
      </w:r>
      <w:r>
        <w:rPr>
          <w:rFonts w:ascii="Verdana" w:hAnsi="Verdana"/>
          <w:sz w:val="18"/>
          <w:szCs w:val="18"/>
        </w:rPr>
        <w:t xml:space="preserve"> </w:t>
      </w:r>
      <w:r w:rsidRPr="00B22CBB">
        <w:rPr>
          <w:rFonts w:ascii="Verdana" w:hAnsi="Verdana"/>
          <w:sz w:val="18"/>
          <w:szCs w:val="18"/>
        </w:rPr>
        <w:t>OCDI.</w:t>
      </w:r>
    </w:p>
    <w:p w:rsidR="00F87AFB" w:rsidP="00B22CBB" w:rsidRDefault="00F87AFB" w14:paraId="3DC0C82F" w14:textId="77777777">
      <w:pPr>
        <w:spacing w:after="0" w:line="360" w:lineRule="auto"/>
        <w:jc w:val="both"/>
        <w:rPr>
          <w:rFonts w:ascii="Verdana" w:hAnsi="Verdana"/>
          <w:sz w:val="24"/>
          <w:szCs w:val="24"/>
        </w:rPr>
      </w:pPr>
    </w:p>
    <w:p w:rsidRPr="00B22CBB" w:rsidR="00B22CBB" w:rsidP="00B22CBB" w:rsidRDefault="00B22CBB" w14:paraId="7895F21C" w14:textId="4AAF2F92">
      <w:pPr>
        <w:spacing w:after="0" w:line="360" w:lineRule="auto"/>
        <w:jc w:val="both"/>
        <w:rPr>
          <w:rFonts w:ascii="Verdana" w:hAnsi="Verdana"/>
          <w:sz w:val="24"/>
          <w:szCs w:val="24"/>
        </w:rPr>
      </w:pPr>
      <w:r w:rsidRPr="00B22CBB">
        <w:rPr>
          <w:rFonts w:ascii="Verdana" w:hAnsi="Verdana"/>
          <w:sz w:val="24"/>
          <w:szCs w:val="24"/>
        </w:rPr>
        <w:t xml:space="preserve">En los documentos anexos se refleja el trabajo desarrollado durante el cuatrienio, así como el estado actual de la gestión de la Oficina. En el Anexo 1 se presenta la evolución de los expedientes recibidos por esta administración en agosto de 2022; en el Anexo 2, las noticias disciplinarias pendientes de evaluación; y en el Anexo 3, los expedientes activos. Para los tres anexos, la fecha de corte es el 31 de marzo de 2026, y la fuente de información corresponde a la base de datos en Excel </w:t>
      </w:r>
      <w:r w:rsidRPr="00B22CBB">
        <w:rPr>
          <w:rFonts w:ascii="Verdana" w:hAnsi="Verdana"/>
          <w:sz w:val="24"/>
          <w:szCs w:val="24"/>
        </w:rPr>
        <w:t>utilizada por la Oficina para el seguimiento de las actuaciones disciplinarias. </w:t>
      </w:r>
      <w:r w:rsidRPr="00B22CBB">
        <w:rPr>
          <w:rFonts w:ascii="Verdana" w:hAnsi="Verdana"/>
          <w:sz w:val="24"/>
          <w:szCs w:val="24"/>
          <w:lang w:val="es-ES"/>
        </w:rPr>
        <w:t> </w:t>
      </w:r>
      <w:r w:rsidRPr="00B22CBB">
        <w:rPr>
          <w:rFonts w:ascii="Verdana" w:hAnsi="Verdana"/>
          <w:sz w:val="24"/>
          <w:szCs w:val="24"/>
        </w:rPr>
        <w:t> </w:t>
      </w:r>
    </w:p>
    <w:p w:rsidRPr="00B22CBB" w:rsidR="00B22CBB" w:rsidP="00B22CBB" w:rsidRDefault="00B22CBB" w14:paraId="2B761DB9" w14:textId="77777777">
      <w:pPr>
        <w:spacing w:after="0" w:line="360" w:lineRule="auto"/>
        <w:jc w:val="both"/>
        <w:rPr>
          <w:rFonts w:ascii="Verdana" w:hAnsi="Verdana"/>
          <w:sz w:val="24"/>
          <w:szCs w:val="24"/>
        </w:rPr>
      </w:pPr>
      <w:r w:rsidRPr="00B22CBB">
        <w:rPr>
          <w:rFonts w:ascii="Verdana" w:hAnsi="Verdana"/>
          <w:sz w:val="24"/>
          <w:szCs w:val="24"/>
          <w:lang w:val="es-ES"/>
        </w:rPr>
        <w:t> </w:t>
      </w:r>
      <w:r w:rsidRPr="00B22CBB">
        <w:rPr>
          <w:rFonts w:ascii="Verdana" w:hAnsi="Verdana"/>
          <w:sz w:val="24"/>
          <w:szCs w:val="24"/>
        </w:rPr>
        <w:t> </w:t>
      </w:r>
    </w:p>
    <w:p w:rsidRPr="00F87AFB" w:rsidR="00B22CBB" w:rsidP="00B22CBB" w:rsidRDefault="00F87AFB" w14:paraId="6D5F1E4B" w14:textId="02C1D20C">
      <w:pPr>
        <w:numPr>
          <w:ilvl w:val="0"/>
          <w:numId w:val="187"/>
        </w:numPr>
        <w:spacing w:after="0" w:line="360" w:lineRule="auto"/>
        <w:jc w:val="both"/>
        <w:rPr>
          <w:rFonts w:ascii="Verdana" w:hAnsi="Verdana"/>
          <w:b/>
          <w:bCs/>
          <w:sz w:val="24"/>
          <w:szCs w:val="24"/>
        </w:rPr>
      </w:pPr>
      <w:r w:rsidRPr="00F87AFB">
        <w:rPr>
          <w:rFonts w:ascii="Verdana" w:hAnsi="Verdana"/>
          <w:b/>
          <w:bCs/>
          <w:sz w:val="24"/>
          <w:szCs w:val="24"/>
        </w:rPr>
        <w:t>Transparencia y Acceso a la Información  </w:t>
      </w:r>
    </w:p>
    <w:p w:rsidRPr="00B22CBB" w:rsidR="00B22CBB" w:rsidP="00B22CBB" w:rsidRDefault="00B22CBB" w14:paraId="751A0626" w14:textId="77777777">
      <w:pPr>
        <w:spacing w:after="0" w:line="360" w:lineRule="auto"/>
        <w:jc w:val="both"/>
        <w:rPr>
          <w:rFonts w:ascii="Verdana" w:hAnsi="Verdana"/>
          <w:sz w:val="24"/>
          <w:szCs w:val="24"/>
        </w:rPr>
      </w:pPr>
      <w:r w:rsidRPr="00B22CBB">
        <w:rPr>
          <w:rFonts w:ascii="Verdana" w:hAnsi="Verdana"/>
          <w:sz w:val="24"/>
          <w:szCs w:val="24"/>
        </w:rPr>
        <w:t>  </w:t>
      </w:r>
    </w:p>
    <w:p w:rsidRPr="00B22CBB" w:rsidR="00B22CBB" w:rsidP="00B22CBB" w:rsidRDefault="00B22CBB" w14:paraId="026AD705" w14:textId="77777777">
      <w:pPr>
        <w:spacing w:after="0" w:line="360" w:lineRule="auto"/>
        <w:jc w:val="both"/>
        <w:rPr>
          <w:rFonts w:ascii="Verdana" w:hAnsi="Verdana"/>
          <w:sz w:val="24"/>
          <w:szCs w:val="24"/>
        </w:rPr>
      </w:pPr>
      <w:r w:rsidRPr="00B22CBB">
        <w:rPr>
          <w:rFonts w:ascii="Verdana" w:hAnsi="Verdana"/>
          <w:sz w:val="24"/>
          <w:szCs w:val="24"/>
        </w:rPr>
        <w:t>Buzón de Transparencia e Integridad: En el año 2024 se apoyó la generación de un aplicativo propio para la recepción y gestión de denuncias sectoriales. Es imperativo resaltar que, para garantizar la independencia funcional y legal del órgano disciplinario, se ajustó el modelo de administración a cargo del grupo de Relacionamiento con el Ciudadano, dado que la OCDI no puede asumir labores administrativas y operativas, puesto que su función es únicamente disciplinaria. Mantener esta separación es vital para evitar afectaciones a la autonomía e independencia que legalmente ostenta la OCDI (Concepto 055171 de 2020 DAFP; numeral 33 artículo 38 de la Ley 1952 de 2019).  </w:t>
      </w:r>
    </w:p>
    <w:p w:rsidR="00B22CBB" w:rsidP="00B22CBB" w:rsidRDefault="00B22CBB" w14:paraId="5E4DC52E" w14:textId="77777777">
      <w:pPr>
        <w:spacing w:after="0" w:line="360" w:lineRule="auto"/>
        <w:jc w:val="both"/>
        <w:rPr>
          <w:rFonts w:ascii="Verdana" w:hAnsi="Verdana"/>
          <w:sz w:val="24"/>
          <w:szCs w:val="24"/>
        </w:rPr>
      </w:pPr>
    </w:p>
    <w:p w:rsidRPr="00B22CBB" w:rsidR="00B22CBB" w:rsidP="00B22CBB" w:rsidRDefault="00B22CBB" w14:paraId="57C78DFE" w14:textId="6D407ECF">
      <w:pPr>
        <w:spacing w:after="0" w:line="360" w:lineRule="auto"/>
        <w:jc w:val="both"/>
        <w:rPr>
          <w:rFonts w:ascii="Verdana" w:hAnsi="Verdana"/>
          <w:sz w:val="24"/>
          <w:szCs w:val="24"/>
        </w:rPr>
      </w:pPr>
      <w:r w:rsidRPr="00B22CBB">
        <w:rPr>
          <w:rFonts w:ascii="Verdana" w:hAnsi="Verdana"/>
          <w:sz w:val="24"/>
          <w:szCs w:val="24"/>
        </w:rPr>
        <w:t>Gestión del Micrositio Institucional: Se ha solicitado al grupo de Prensa y Comunicaciones, la asignación de un espacio de divulgación centralizada de estadística de gestión y normativa disciplinaria, dentro de la página web institucional, como herramienta de publicidad, integridad y transparencia institucional tanto para la ciudadanía como para los colaboradores del Ministerio.    </w:t>
      </w:r>
    </w:p>
    <w:p w:rsidRPr="005D5149" w:rsidR="00B22CBB" w:rsidP="00C64AFF" w:rsidRDefault="00B22CBB" w14:paraId="20BE1CAC" w14:textId="77777777">
      <w:pPr>
        <w:spacing w:after="0" w:line="360" w:lineRule="auto"/>
        <w:jc w:val="both"/>
        <w:rPr>
          <w:rFonts w:ascii="Verdana" w:hAnsi="Verdana"/>
          <w:sz w:val="24"/>
          <w:szCs w:val="24"/>
          <w:highlight w:val="yellow"/>
        </w:rPr>
      </w:pPr>
    </w:p>
    <w:p w:rsidR="00D277B1" w:rsidP="00D277B1" w:rsidRDefault="00A82055" w14:paraId="4797D9D3" w14:textId="521F35E2">
      <w:pPr>
        <w:pStyle w:val="Prrafodelista"/>
        <w:numPr>
          <w:ilvl w:val="0"/>
          <w:numId w:val="95"/>
        </w:numPr>
        <w:spacing w:after="0" w:line="360" w:lineRule="auto"/>
        <w:jc w:val="both"/>
        <w:outlineLvl w:val="0"/>
        <w:rPr>
          <w:rFonts w:ascii="Verdana" w:hAnsi="Verdana"/>
          <w:b/>
          <w:bCs/>
          <w:sz w:val="24"/>
          <w:szCs w:val="24"/>
        </w:rPr>
      </w:pPr>
      <w:bookmarkStart w:name="_Toc233996774" w:id="57"/>
      <w:r w:rsidRPr="005358E1">
        <w:rPr>
          <w:rFonts w:ascii="Verdana" w:hAnsi="Verdana"/>
          <w:b/>
          <w:bCs/>
          <w:sz w:val="24"/>
          <w:szCs w:val="24"/>
        </w:rPr>
        <w:t>Retos y Recomendaciones</w:t>
      </w:r>
      <w:bookmarkEnd w:id="57"/>
    </w:p>
    <w:p w:rsidRPr="00D277B1" w:rsidR="00D277B1" w:rsidP="00D277B1" w:rsidRDefault="00D277B1" w14:paraId="7A14B42F" w14:textId="77777777">
      <w:pPr>
        <w:pStyle w:val="Prrafodelista"/>
        <w:spacing w:after="0" w:line="360" w:lineRule="auto"/>
        <w:ind w:left="480"/>
        <w:jc w:val="both"/>
        <w:outlineLvl w:val="0"/>
        <w:rPr>
          <w:rFonts w:ascii="Verdana" w:hAnsi="Verdana"/>
          <w:b/>
          <w:bCs/>
          <w:sz w:val="24"/>
          <w:szCs w:val="24"/>
        </w:rPr>
      </w:pPr>
    </w:p>
    <w:p w:rsidR="005358E1" w:rsidRDefault="003C4398" w14:paraId="450A70ED" w14:textId="52FE3602">
      <w:pPr>
        <w:pStyle w:val="Ttulo2"/>
        <w:numPr>
          <w:ilvl w:val="1"/>
          <w:numId w:val="95"/>
        </w:numPr>
        <w:spacing w:before="0" w:after="0" w:line="360" w:lineRule="auto"/>
        <w:jc w:val="both"/>
        <w:rPr>
          <w:rFonts w:ascii="Verdana" w:hAnsi="Verdana"/>
          <w:b/>
          <w:bCs/>
          <w:color w:val="auto"/>
          <w:sz w:val="24"/>
          <w:szCs w:val="24"/>
        </w:rPr>
      </w:pPr>
      <w:bookmarkStart w:name="_Toc233996775" w:id="58"/>
      <w:r w:rsidRPr="005358E1">
        <w:rPr>
          <w:rFonts w:ascii="Verdana" w:hAnsi="Verdana"/>
          <w:b/>
          <w:bCs/>
          <w:color w:val="auto"/>
          <w:sz w:val="24"/>
          <w:szCs w:val="24"/>
        </w:rPr>
        <w:t>Estratégicos: Recomendaciones (en materia de resultados)</w:t>
      </w:r>
      <w:bookmarkEnd w:id="58"/>
    </w:p>
    <w:p w:rsidRPr="005358E1" w:rsidR="005358E1" w:rsidP="005358E1" w:rsidRDefault="005358E1" w14:paraId="1BE9E627" w14:textId="77777777">
      <w:pPr>
        <w:spacing w:after="0" w:line="360" w:lineRule="auto"/>
        <w:jc w:val="both"/>
        <w:rPr>
          <w:rFonts w:ascii="Verdana" w:hAnsi="Verdana"/>
          <w:sz w:val="24"/>
          <w:szCs w:val="24"/>
        </w:rPr>
      </w:pPr>
    </w:p>
    <w:p w:rsidRPr="005358E1" w:rsidR="005358E1" w:rsidP="005358E1" w:rsidRDefault="005358E1" w14:paraId="4B6E1F42" w14:textId="77777777">
      <w:pPr>
        <w:spacing w:after="0" w:line="360" w:lineRule="auto"/>
        <w:jc w:val="both"/>
        <w:rPr>
          <w:rFonts w:ascii="Verdana" w:hAnsi="Verdana"/>
          <w:sz w:val="24"/>
          <w:szCs w:val="24"/>
        </w:rPr>
      </w:pPr>
      <w:r w:rsidRPr="005358E1">
        <w:rPr>
          <w:rFonts w:ascii="Verdana" w:hAnsi="Verdana"/>
          <w:sz w:val="24"/>
          <w:szCs w:val="24"/>
        </w:rPr>
        <w:t>Recomendaciones orientadas a resultados y política sectorial. </w:t>
      </w:r>
    </w:p>
    <w:p w:rsidR="005358E1" w:rsidP="005358E1" w:rsidRDefault="005358E1" w14:paraId="2FE43B21" w14:textId="77777777">
      <w:pPr>
        <w:spacing w:after="0" w:line="360" w:lineRule="auto"/>
        <w:jc w:val="both"/>
        <w:rPr>
          <w:rFonts w:ascii="Verdana" w:hAnsi="Verdana"/>
          <w:sz w:val="24"/>
          <w:szCs w:val="24"/>
        </w:rPr>
      </w:pPr>
    </w:p>
    <w:p w:rsidR="005358E1" w:rsidP="005358E1" w:rsidRDefault="005358E1" w14:paraId="2F8196FD" w14:textId="77777777">
      <w:pPr>
        <w:spacing w:after="0" w:line="360" w:lineRule="auto"/>
        <w:jc w:val="both"/>
        <w:rPr>
          <w:rFonts w:ascii="Verdana" w:hAnsi="Verdana"/>
          <w:sz w:val="24"/>
          <w:szCs w:val="24"/>
        </w:rPr>
      </w:pPr>
      <w:r w:rsidRPr="005358E1">
        <w:rPr>
          <w:rFonts w:ascii="Verdana" w:hAnsi="Verdana"/>
          <w:sz w:val="24"/>
          <w:szCs w:val="24"/>
        </w:rPr>
        <w:t>Fortalecer los mecanismos de identificación, legalización, registro y control de los activos derivados de los proyectos sectoriales, garantizando su incorporación oportuna en los sistemas financieros e inventarios institucionales, así como la definición clara de responsabilidades sobre su administración, operación y sostenibilidad. </w:t>
      </w:r>
    </w:p>
    <w:p w:rsidRPr="005358E1" w:rsidR="005358E1" w:rsidP="005358E1" w:rsidRDefault="005358E1" w14:paraId="5AB21498" w14:textId="198A2C79">
      <w:pPr>
        <w:spacing w:after="0" w:line="360" w:lineRule="auto"/>
        <w:jc w:val="both"/>
        <w:rPr>
          <w:rFonts w:ascii="Verdana" w:hAnsi="Verdana"/>
          <w:sz w:val="24"/>
          <w:szCs w:val="24"/>
        </w:rPr>
      </w:pPr>
      <w:r w:rsidRPr="005358E1">
        <w:rPr>
          <w:rFonts w:ascii="Verdana" w:hAnsi="Verdana"/>
          <w:sz w:val="24"/>
          <w:szCs w:val="24"/>
        </w:rPr>
        <w:t> </w:t>
      </w:r>
    </w:p>
    <w:p w:rsidR="005358E1" w:rsidP="005358E1" w:rsidRDefault="005358E1" w14:paraId="7CCD0174" w14:textId="77777777">
      <w:pPr>
        <w:spacing w:after="0" w:line="360" w:lineRule="auto"/>
        <w:jc w:val="both"/>
        <w:rPr>
          <w:rFonts w:ascii="Verdana" w:hAnsi="Verdana"/>
          <w:sz w:val="24"/>
          <w:szCs w:val="24"/>
        </w:rPr>
      </w:pPr>
      <w:r w:rsidRPr="005358E1">
        <w:rPr>
          <w:rFonts w:ascii="Verdana" w:hAnsi="Verdana"/>
          <w:sz w:val="24"/>
          <w:szCs w:val="24"/>
        </w:rPr>
        <w:t>Consolidar la gobernanza tecnológica institucional mediante el fortalecimiento de la estructura TIC, asegurando la implementación del PETI, la financiación de los proyectos estratégicos y el cumplimiento de las metas de transformación digital del sector. </w:t>
      </w:r>
    </w:p>
    <w:p w:rsidRPr="005358E1" w:rsidR="005358E1" w:rsidP="005358E1" w:rsidRDefault="005358E1" w14:paraId="6E0F73AC" w14:textId="77777777">
      <w:pPr>
        <w:spacing w:after="0" w:line="360" w:lineRule="auto"/>
        <w:jc w:val="both"/>
        <w:rPr>
          <w:rFonts w:ascii="Verdana" w:hAnsi="Verdana"/>
          <w:sz w:val="24"/>
          <w:szCs w:val="24"/>
        </w:rPr>
      </w:pPr>
    </w:p>
    <w:p w:rsidRPr="005358E1" w:rsidR="005358E1" w:rsidP="005358E1" w:rsidRDefault="005358E1" w14:paraId="5FBDB11B" w14:textId="77777777">
      <w:pPr>
        <w:spacing w:after="0" w:line="360" w:lineRule="auto"/>
        <w:jc w:val="both"/>
        <w:rPr>
          <w:rFonts w:ascii="Verdana" w:hAnsi="Verdana"/>
          <w:sz w:val="24"/>
          <w:szCs w:val="24"/>
        </w:rPr>
      </w:pPr>
      <w:r w:rsidRPr="005358E1">
        <w:rPr>
          <w:rFonts w:ascii="Verdana" w:hAnsi="Verdana"/>
          <w:sz w:val="24"/>
          <w:szCs w:val="24"/>
        </w:rPr>
        <w:t>Acelerar la implementación del modelo institucional y sectorial de Gobierno de Datos, fortaleciendo la interoperabilidad, la analítica y el uso estratégico de la información para la toma de decisiones basada en evidencia. </w:t>
      </w:r>
    </w:p>
    <w:p w:rsidR="005358E1" w:rsidP="005358E1" w:rsidRDefault="005358E1" w14:paraId="0B403D4A" w14:textId="77777777">
      <w:pPr>
        <w:spacing w:after="0" w:line="360" w:lineRule="auto"/>
        <w:jc w:val="both"/>
        <w:rPr>
          <w:rFonts w:ascii="Verdana" w:hAnsi="Verdana"/>
          <w:sz w:val="24"/>
          <w:szCs w:val="24"/>
        </w:rPr>
      </w:pPr>
      <w:r w:rsidRPr="005358E1">
        <w:rPr>
          <w:rFonts w:ascii="Verdana" w:hAnsi="Verdana"/>
          <w:sz w:val="24"/>
          <w:szCs w:val="24"/>
        </w:rPr>
        <w:t> </w:t>
      </w:r>
      <w:r w:rsidRPr="005358E1">
        <w:rPr>
          <w:rFonts w:ascii="Verdana" w:hAnsi="Verdana"/>
          <w:sz w:val="24"/>
          <w:szCs w:val="24"/>
        </w:rPr>
        <w:br/>
      </w:r>
      <w:r w:rsidRPr="005358E1">
        <w:rPr>
          <w:rFonts w:ascii="Verdana" w:hAnsi="Verdana"/>
          <w:sz w:val="24"/>
          <w:szCs w:val="24"/>
        </w:rPr>
        <w:t>Garantizar la continuidad de los mecanismos de interoperabilidad sectorial y la consolidación de plataformas estratégicas como INTÉGRAME, IDE-ME y la Ventanilla Única, promoviendo una gestión más eficiente y orientada al ciudadano. </w:t>
      </w:r>
    </w:p>
    <w:p w:rsidRPr="005358E1" w:rsidR="005358E1" w:rsidP="005358E1" w:rsidRDefault="005358E1" w14:paraId="58394FA7" w14:textId="77777777">
      <w:pPr>
        <w:spacing w:after="0" w:line="360" w:lineRule="auto"/>
        <w:jc w:val="both"/>
        <w:rPr>
          <w:rFonts w:ascii="Verdana" w:hAnsi="Verdana"/>
          <w:sz w:val="24"/>
          <w:szCs w:val="24"/>
        </w:rPr>
      </w:pPr>
    </w:p>
    <w:p w:rsidR="005358E1" w:rsidP="005358E1" w:rsidRDefault="005358E1" w14:paraId="3A7C099D" w14:textId="77777777">
      <w:pPr>
        <w:spacing w:after="0" w:line="360" w:lineRule="auto"/>
        <w:jc w:val="both"/>
        <w:rPr>
          <w:rFonts w:ascii="Verdana" w:hAnsi="Verdana"/>
          <w:sz w:val="24"/>
          <w:szCs w:val="24"/>
        </w:rPr>
      </w:pPr>
      <w:r w:rsidRPr="005358E1">
        <w:rPr>
          <w:rFonts w:ascii="Verdana" w:hAnsi="Verdana"/>
          <w:sz w:val="24"/>
          <w:szCs w:val="24"/>
        </w:rPr>
        <w:t>Fortalecer las capacidades de ciberseguridad y continuidad operativa del sector mediante la evolución del Centro de Monitoreo Sectorial, la consolidación del CSIRT y la incorporación de tecnologías emergentes para la gestión proactiva de riesgos digitales. </w:t>
      </w:r>
    </w:p>
    <w:p w:rsidRPr="005358E1" w:rsidR="005358E1" w:rsidP="005358E1" w:rsidRDefault="005358E1" w14:paraId="1D7A4822" w14:textId="77777777">
      <w:pPr>
        <w:spacing w:after="0" w:line="360" w:lineRule="auto"/>
        <w:jc w:val="both"/>
        <w:rPr>
          <w:rFonts w:ascii="Verdana" w:hAnsi="Verdana"/>
          <w:sz w:val="24"/>
          <w:szCs w:val="24"/>
        </w:rPr>
      </w:pPr>
    </w:p>
    <w:p w:rsidRPr="005358E1" w:rsidR="005358E1" w:rsidP="005358E1" w:rsidRDefault="005358E1" w14:paraId="665650D5" w14:textId="3A292F97">
      <w:pPr>
        <w:spacing w:after="0" w:line="360" w:lineRule="auto"/>
        <w:jc w:val="both"/>
        <w:rPr>
          <w:rFonts w:ascii="Verdana" w:hAnsi="Verdana"/>
          <w:sz w:val="24"/>
          <w:szCs w:val="24"/>
        </w:rPr>
      </w:pPr>
      <w:r w:rsidRPr="005358E1">
        <w:rPr>
          <w:rFonts w:ascii="Verdana" w:hAnsi="Verdana"/>
          <w:sz w:val="24"/>
          <w:szCs w:val="24"/>
        </w:rPr>
        <w:t>Promover el fortalecimiento de los controles preventivos, la calidad de la información y la articulación entre las áreas misionales y de apoyo, con el fin de garantizar una gestión transparente, eficiente y orientada a resultados. </w:t>
      </w:r>
    </w:p>
    <w:p w:rsidRPr="005358E1" w:rsidR="005358E1" w:rsidP="005358E1" w:rsidRDefault="005358E1" w14:paraId="1AE7B7E9" w14:textId="77777777"/>
    <w:p w:rsidR="003C4398" w:rsidRDefault="003C4398" w14:paraId="49F0B1A4" w14:textId="77777777">
      <w:pPr>
        <w:pStyle w:val="Ttulo2"/>
        <w:numPr>
          <w:ilvl w:val="1"/>
          <w:numId w:val="95"/>
        </w:numPr>
        <w:spacing w:before="0" w:after="0" w:line="360" w:lineRule="auto"/>
        <w:jc w:val="both"/>
        <w:rPr>
          <w:rFonts w:ascii="Verdana" w:hAnsi="Verdana"/>
          <w:b/>
          <w:bCs/>
          <w:color w:val="auto"/>
          <w:sz w:val="24"/>
          <w:szCs w:val="24"/>
        </w:rPr>
      </w:pPr>
      <w:bookmarkStart w:name="_Toc233996776" w:id="59"/>
      <w:r w:rsidRPr="005358E1">
        <w:rPr>
          <w:rFonts w:ascii="Verdana" w:hAnsi="Verdana"/>
          <w:b/>
          <w:bCs/>
          <w:color w:val="auto"/>
          <w:sz w:val="24"/>
          <w:szCs w:val="24"/>
        </w:rPr>
        <w:t>Operativos: Recomendaciones (a nivel de producto y/o proceso o gestión)</w:t>
      </w:r>
      <w:bookmarkEnd w:id="59"/>
    </w:p>
    <w:p w:rsidRPr="005358E1" w:rsidR="005358E1" w:rsidP="005358E1" w:rsidRDefault="005358E1" w14:paraId="5FCDA4B6" w14:textId="77777777">
      <w:pPr>
        <w:spacing w:after="0" w:line="360" w:lineRule="auto"/>
        <w:jc w:val="both"/>
        <w:rPr>
          <w:rFonts w:ascii="Verdana" w:hAnsi="Verdana"/>
          <w:sz w:val="24"/>
          <w:szCs w:val="24"/>
        </w:rPr>
      </w:pPr>
    </w:p>
    <w:p w:rsidRPr="005358E1" w:rsidR="005358E1" w:rsidRDefault="005358E1" w14:paraId="00D362E6" w14:textId="64495635">
      <w:pPr>
        <w:numPr>
          <w:ilvl w:val="0"/>
          <w:numId w:val="176"/>
        </w:numPr>
        <w:spacing w:after="0" w:line="360" w:lineRule="auto"/>
        <w:jc w:val="both"/>
        <w:rPr>
          <w:rFonts w:ascii="Verdana" w:hAnsi="Verdana"/>
          <w:sz w:val="24"/>
          <w:szCs w:val="24"/>
        </w:rPr>
      </w:pPr>
      <w:r w:rsidRPr="005358E1">
        <w:rPr>
          <w:rFonts w:ascii="Verdana" w:hAnsi="Verdana"/>
          <w:sz w:val="24"/>
          <w:szCs w:val="24"/>
        </w:rPr>
        <w:t>Recomendaciones sobre procesos y </w:t>
      </w:r>
      <w:r w:rsidRPr="005358E1" w:rsidR="00F87AFB">
        <w:rPr>
          <w:rFonts w:ascii="Verdana" w:hAnsi="Verdana"/>
          <w:sz w:val="24"/>
          <w:szCs w:val="24"/>
        </w:rPr>
        <w:t>gestión. Iniciar</w:t>
      </w:r>
      <w:r w:rsidRPr="005358E1">
        <w:rPr>
          <w:rFonts w:ascii="Verdana" w:hAnsi="Verdana"/>
          <w:sz w:val="24"/>
          <w:szCs w:val="24"/>
        </w:rPr>
        <w:t> el proceso de búsqueda y selección de una sede en arrendamiento que cumpla con las condiciones locativas y de infraestructura requeridas para el adecuado funcionamiento del Ministerio. </w:t>
      </w:r>
    </w:p>
    <w:p w:rsidRPr="005358E1" w:rsidR="005358E1" w:rsidRDefault="005358E1" w14:paraId="4885C04F" w14:textId="77777777">
      <w:pPr>
        <w:numPr>
          <w:ilvl w:val="0"/>
          <w:numId w:val="177"/>
        </w:numPr>
        <w:spacing w:after="0" w:line="360" w:lineRule="auto"/>
        <w:jc w:val="both"/>
        <w:rPr>
          <w:rFonts w:ascii="Verdana" w:hAnsi="Verdana"/>
          <w:sz w:val="24"/>
          <w:szCs w:val="24"/>
        </w:rPr>
      </w:pPr>
      <w:r w:rsidRPr="005358E1">
        <w:rPr>
          <w:rFonts w:ascii="Verdana" w:hAnsi="Verdana"/>
          <w:sz w:val="24"/>
          <w:szCs w:val="24"/>
        </w:rPr>
        <w:t>Continuar con la actualización de la flota vehicular institucional mediante la incorporación de vehículos de energías limpias (eléctricos e híbridos), lo que contribuye a la austeridad en el gasto por el menor consumo de combustible y a la disminución de la huella de carbono institucional. Lo anterior, en línea con los compromisos del Ministerio frente a la acción climática, la sostenibilidad ambiental y el cumplimiento de las metas nacionales e internacionales de reducción de emisiones de gases de efecto invernadero (GEI). </w:t>
      </w:r>
    </w:p>
    <w:p w:rsidRPr="005358E1" w:rsidR="005358E1" w:rsidRDefault="005358E1" w14:paraId="4E2F7DBA" w14:textId="77777777">
      <w:pPr>
        <w:numPr>
          <w:ilvl w:val="0"/>
          <w:numId w:val="178"/>
        </w:numPr>
        <w:spacing w:after="0" w:line="360" w:lineRule="auto"/>
        <w:jc w:val="both"/>
        <w:rPr>
          <w:rFonts w:ascii="Verdana" w:hAnsi="Verdana"/>
          <w:sz w:val="24"/>
          <w:szCs w:val="24"/>
        </w:rPr>
      </w:pPr>
      <w:r w:rsidRPr="005358E1">
        <w:rPr>
          <w:rFonts w:ascii="Verdana" w:hAnsi="Verdana"/>
          <w:sz w:val="24"/>
          <w:szCs w:val="24"/>
        </w:rPr>
        <w:t>Priorizar la ejecución del proyecto de inversión "Gestión Integral de los Espacios Físicos de las Sedes del Ministerio de Minas y Energía", una vez obtenida la aprobación por parte del Departamento Nacional de Planeación, con el fin de continuar con el mejoramiento de las condiciones físicas de las sedes institucionales. </w:t>
      </w:r>
    </w:p>
    <w:p w:rsidRPr="005358E1" w:rsidR="005358E1" w:rsidRDefault="005358E1" w14:paraId="0EF72483" w14:textId="77777777">
      <w:pPr>
        <w:numPr>
          <w:ilvl w:val="0"/>
          <w:numId w:val="179"/>
        </w:numPr>
        <w:spacing w:after="0" w:line="360" w:lineRule="auto"/>
        <w:jc w:val="both"/>
        <w:rPr>
          <w:rFonts w:ascii="Verdana" w:hAnsi="Verdana"/>
          <w:sz w:val="24"/>
          <w:szCs w:val="24"/>
        </w:rPr>
      </w:pPr>
      <w:r w:rsidRPr="005358E1">
        <w:rPr>
          <w:rFonts w:ascii="Verdana" w:hAnsi="Verdana"/>
          <w:sz w:val="24"/>
          <w:szCs w:val="24"/>
        </w:rPr>
        <w:t>Continuar fortaleciendo la gestión integral de los activos minero-energéticos mediante la articulación entre las áreas misionales, administrativas y financieras, garantizando la identificación, depuración, registro y control oportuno de los bienes en los sistemas institucionales. Lo anterior, con el fin de asegurar la confiabilidad de la información financiera y patrimonial, fortalecer la trazabilidad de los activos y mitigar riesgos asociados a observaciones de los entes de control. </w:t>
      </w:r>
    </w:p>
    <w:p w:rsidRPr="005358E1" w:rsidR="005358E1" w:rsidRDefault="005358E1" w14:paraId="3A406432" w14:textId="77777777">
      <w:pPr>
        <w:numPr>
          <w:ilvl w:val="0"/>
          <w:numId w:val="180"/>
        </w:numPr>
        <w:spacing w:after="0" w:line="360" w:lineRule="auto"/>
        <w:jc w:val="both"/>
        <w:rPr>
          <w:rFonts w:ascii="Verdana" w:hAnsi="Verdana"/>
          <w:sz w:val="24"/>
          <w:szCs w:val="24"/>
        </w:rPr>
      </w:pPr>
      <w:r w:rsidRPr="005358E1">
        <w:rPr>
          <w:rFonts w:ascii="Verdana" w:hAnsi="Verdana"/>
          <w:sz w:val="24"/>
          <w:szCs w:val="24"/>
        </w:rPr>
        <w:t>Continuar con el fortalecimiento de la gestión institucional mediante la actualización, revisión y mejora permanente de los procesos, procedimientos e instrumentos de gestión de la entidad, promoviendo la estandarización de las actividades, la optimización de los controles internos y la mejora continua. Lo anterior, en concordancia con los lineamientos del Modelo Integrado de Planeación y Gestión (MIPG), con el fin de contribuir a una administración más eficiente, transparente y orientada al cumplimiento de los objetivos institucionales. </w:t>
      </w:r>
    </w:p>
    <w:p w:rsidRPr="005358E1" w:rsidR="005358E1" w:rsidRDefault="005358E1" w14:paraId="5350AB41" w14:textId="77777777">
      <w:pPr>
        <w:numPr>
          <w:ilvl w:val="0"/>
          <w:numId w:val="181"/>
        </w:numPr>
        <w:spacing w:after="0" w:line="360" w:lineRule="auto"/>
        <w:jc w:val="both"/>
        <w:rPr>
          <w:rFonts w:ascii="Verdana" w:hAnsi="Verdana"/>
          <w:sz w:val="24"/>
          <w:szCs w:val="24"/>
        </w:rPr>
      </w:pPr>
      <w:r w:rsidRPr="005358E1">
        <w:rPr>
          <w:rFonts w:ascii="Verdana" w:hAnsi="Verdana"/>
          <w:sz w:val="24"/>
          <w:szCs w:val="24"/>
        </w:rPr>
        <w:t>Mantener el seguimiento periódico a la implementación de las acciones de mejora derivadas de los planes de auditoría interna y externa, con el fin de garantizar su ejecución oportuna y el cierre efectivo de los hallazgos identificados. </w:t>
      </w:r>
    </w:p>
    <w:p w:rsidRPr="005358E1" w:rsidR="005358E1" w:rsidRDefault="005358E1" w14:paraId="58C6B554" w14:textId="77777777">
      <w:pPr>
        <w:numPr>
          <w:ilvl w:val="0"/>
          <w:numId w:val="182"/>
        </w:numPr>
        <w:spacing w:after="0" w:line="360" w:lineRule="auto"/>
        <w:jc w:val="both"/>
        <w:rPr>
          <w:rFonts w:ascii="Verdana" w:hAnsi="Verdana"/>
          <w:sz w:val="24"/>
          <w:szCs w:val="24"/>
        </w:rPr>
      </w:pPr>
      <w:r w:rsidRPr="005358E1">
        <w:rPr>
          <w:rFonts w:ascii="Verdana" w:hAnsi="Verdana"/>
          <w:sz w:val="24"/>
          <w:szCs w:val="24"/>
        </w:rPr>
        <w:t>Mantener el seguimiento oportuno a las PQRSD radicadas, garantizando su atención, trámite y respuesta dentro de los términos establecidos en la normativa vigente, con el fin de seguir fortaleciendo la atención a los grupos de interés del Ministerio. </w:t>
      </w:r>
    </w:p>
    <w:p w:rsidRPr="005358E1" w:rsidR="005358E1" w:rsidRDefault="005358E1" w14:paraId="5A2733C0" w14:textId="77777777">
      <w:pPr>
        <w:numPr>
          <w:ilvl w:val="0"/>
          <w:numId w:val="183"/>
        </w:numPr>
        <w:spacing w:after="0" w:line="360" w:lineRule="auto"/>
        <w:jc w:val="both"/>
        <w:rPr>
          <w:rFonts w:ascii="Verdana" w:hAnsi="Verdana"/>
          <w:sz w:val="24"/>
          <w:szCs w:val="24"/>
        </w:rPr>
      </w:pPr>
      <w:r w:rsidRPr="005358E1">
        <w:rPr>
          <w:rFonts w:ascii="Verdana" w:hAnsi="Verdana"/>
          <w:sz w:val="24"/>
          <w:szCs w:val="24"/>
        </w:rPr>
        <w:t>Dar continuidad y fortalecimiento de la planta de personal financiada con recursos del Sistema General de Regalías para el bienio 2027–2028, garantizando la sostenibilidad de las capacidades técnicas, operativas y de gestión requeridas para el cumplimiento de sus funciones. </w:t>
      </w:r>
    </w:p>
    <w:p w:rsidRPr="005358E1" w:rsidR="005358E1" w:rsidRDefault="005358E1" w14:paraId="2CF93D98" w14:textId="77777777">
      <w:pPr>
        <w:numPr>
          <w:ilvl w:val="0"/>
          <w:numId w:val="184"/>
        </w:numPr>
        <w:spacing w:after="0" w:line="360" w:lineRule="auto"/>
        <w:jc w:val="both"/>
        <w:rPr>
          <w:rFonts w:ascii="Verdana" w:hAnsi="Verdana"/>
          <w:sz w:val="24"/>
          <w:szCs w:val="24"/>
        </w:rPr>
      </w:pPr>
      <w:r w:rsidRPr="005358E1">
        <w:rPr>
          <w:rFonts w:ascii="Verdana" w:hAnsi="Verdana"/>
          <w:sz w:val="24"/>
          <w:szCs w:val="24"/>
        </w:rPr>
        <w:t>Dar continuidad al concurso de méritos adelantado por la Comisión Nacionaldel Servicio Civil, con el fin de fortalecer la planta de personal y garantizar la provisión de los empleos de carrera administrativa. </w:t>
      </w:r>
    </w:p>
    <w:p w:rsidRPr="005358E1" w:rsidR="005358E1" w:rsidRDefault="005358E1" w14:paraId="70BCB8D2" w14:textId="77777777">
      <w:pPr>
        <w:numPr>
          <w:ilvl w:val="0"/>
          <w:numId w:val="185"/>
        </w:numPr>
        <w:spacing w:after="0" w:line="360" w:lineRule="auto"/>
        <w:jc w:val="both"/>
        <w:rPr>
          <w:rFonts w:ascii="Verdana" w:hAnsi="Verdana"/>
          <w:sz w:val="24"/>
          <w:szCs w:val="24"/>
        </w:rPr>
      </w:pPr>
      <w:r w:rsidRPr="005358E1">
        <w:rPr>
          <w:rFonts w:ascii="Verdana" w:hAnsi="Verdana"/>
          <w:sz w:val="24"/>
          <w:szCs w:val="24"/>
        </w:rPr>
        <w:t xml:space="preserve">Avanzar en la puesta en funcionamiento de la planta de personal de FONENERGÍA y en la definición del modelo de operacionalización del FOMIN, asegurando las capacidades institucionales necesarias para </w:t>
      </w:r>
      <w:r w:rsidRPr="005358E1">
        <w:rPr>
          <w:rFonts w:ascii="Verdana" w:hAnsi="Verdana"/>
          <w:sz w:val="24"/>
          <w:szCs w:val="24"/>
        </w:rPr>
        <w:t>el cumplimiento de sus objetivos y la ejecución eficiente de sus recursos. </w:t>
      </w:r>
    </w:p>
    <w:p w:rsidRPr="00F87AFB" w:rsidR="00F87AFB" w:rsidP="00F87AFB" w:rsidRDefault="00F87AFB" w14:paraId="145129B4" w14:textId="77777777">
      <w:pPr>
        <w:spacing w:after="0" w:line="360" w:lineRule="auto"/>
        <w:jc w:val="both"/>
        <w:rPr>
          <w:rFonts w:ascii="Verdana" w:hAnsi="Verdana"/>
          <w:sz w:val="24"/>
          <w:szCs w:val="24"/>
        </w:rPr>
      </w:pPr>
    </w:p>
    <w:p w:rsidRPr="00F87AFB" w:rsidR="00F87AFB" w:rsidP="00F87AFB" w:rsidRDefault="00F87AFB" w14:paraId="6F7DBB87" w14:textId="45667D1D">
      <w:pPr>
        <w:pStyle w:val="Prrafodelista"/>
        <w:numPr>
          <w:ilvl w:val="1"/>
          <w:numId w:val="95"/>
        </w:numPr>
        <w:spacing w:after="0" w:line="360" w:lineRule="auto"/>
        <w:jc w:val="both"/>
        <w:outlineLvl w:val="1"/>
        <w:rPr>
          <w:rFonts w:ascii="Verdana" w:hAnsi="Verdana"/>
          <w:b/>
          <w:bCs/>
          <w:sz w:val="24"/>
          <w:szCs w:val="24"/>
        </w:rPr>
      </w:pPr>
      <w:bookmarkStart w:name="_Toc233996777" w:id="60"/>
      <w:r w:rsidRPr="00F87AFB">
        <w:rPr>
          <w:rFonts w:ascii="Verdana" w:hAnsi="Verdana"/>
          <w:b/>
          <w:bCs/>
          <w:sz w:val="24"/>
          <w:szCs w:val="24"/>
        </w:rPr>
        <w:t>Lecciones aprendidas:  que se podrían tener en cuenta en la próxima gestión que redunden en el bienestar de la ciudadanía.</w:t>
      </w:r>
      <w:bookmarkEnd w:id="60"/>
    </w:p>
    <w:p w:rsidR="00F87AFB" w:rsidP="00F87AFB" w:rsidRDefault="00F87AFB" w14:paraId="6656FCC3" w14:textId="77777777">
      <w:pPr>
        <w:spacing w:after="0" w:line="360" w:lineRule="auto"/>
        <w:jc w:val="both"/>
        <w:rPr>
          <w:rFonts w:ascii="Verdana" w:hAnsi="Verdana"/>
          <w:sz w:val="24"/>
          <w:szCs w:val="24"/>
        </w:rPr>
      </w:pPr>
    </w:p>
    <w:p w:rsidRPr="00F87AFB" w:rsidR="00F87AFB" w:rsidP="00F87AFB" w:rsidRDefault="00F87AFB" w14:paraId="509D4DC0" w14:textId="07DA8CC4">
      <w:pPr>
        <w:spacing w:after="0" w:line="360" w:lineRule="auto"/>
        <w:jc w:val="both"/>
        <w:rPr>
          <w:rFonts w:ascii="Verdana" w:hAnsi="Verdana"/>
          <w:sz w:val="24"/>
          <w:szCs w:val="24"/>
        </w:rPr>
      </w:pPr>
      <w:r w:rsidRPr="00F87AFB">
        <w:rPr>
          <w:rFonts w:ascii="Verdana" w:hAnsi="Verdana"/>
          <w:sz w:val="24"/>
          <w:szCs w:val="24"/>
        </w:rPr>
        <w:t>Independencia en la Gestión de Denuncias:</w:t>
      </w:r>
      <w:r w:rsidRPr="00F87AFB">
        <w:rPr>
          <w:rFonts w:ascii="Verdana" w:hAnsi="Verdana" w:cs="Arial"/>
          <w:sz w:val="24"/>
          <w:szCs w:val="24"/>
        </w:rPr>
        <w:t> </w:t>
      </w:r>
      <w:r w:rsidRPr="00F87AFB">
        <w:rPr>
          <w:rFonts w:ascii="Verdana" w:hAnsi="Verdana"/>
          <w:sz w:val="24"/>
          <w:szCs w:val="24"/>
        </w:rPr>
        <w:t>Un aprendizaje institucional fundamental fue que la administraci</w:t>
      </w:r>
      <w:r w:rsidRPr="00F87AFB">
        <w:rPr>
          <w:rFonts w:ascii="Verdana" w:hAnsi="Verdana" w:cs="Aptos"/>
          <w:sz w:val="24"/>
          <w:szCs w:val="24"/>
        </w:rPr>
        <w:t>ó</w:t>
      </w:r>
      <w:r w:rsidRPr="00F87AFB">
        <w:rPr>
          <w:rFonts w:ascii="Verdana" w:hAnsi="Verdana"/>
          <w:sz w:val="24"/>
          <w:szCs w:val="24"/>
        </w:rPr>
        <w:t>n del canal de denuncias (Buz</w:t>
      </w:r>
      <w:r w:rsidRPr="00F87AFB">
        <w:rPr>
          <w:rFonts w:ascii="Verdana" w:hAnsi="Verdana" w:cs="Aptos"/>
          <w:sz w:val="24"/>
          <w:szCs w:val="24"/>
        </w:rPr>
        <w:t>ó</w:t>
      </w:r>
      <w:r w:rsidRPr="00F87AFB">
        <w:rPr>
          <w:rFonts w:ascii="Verdana" w:hAnsi="Verdana"/>
          <w:sz w:val="24"/>
          <w:szCs w:val="24"/>
        </w:rPr>
        <w:t>n),</w:t>
      </w:r>
      <w:r w:rsidRPr="00F87AFB">
        <w:rPr>
          <w:rFonts w:ascii="Verdana" w:hAnsi="Verdana" w:cs="Arial"/>
          <w:sz w:val="24"/>
          <w:szCs w:val="24"/>
        </w:rPr>
        <w:t>  </w:t>
      </w:r>
      <w:r w:rsidRPr="00F87AFB">
        <w:rPr>
          <w:rFonts w:ascii="Verdana" w:hAnsi="Verdana"/>
          <w:sz w:val="24"/>
          <w:szCs w:val="24"/>
        </w:rPr>
        <w:t>se</w:t>
      </w:r>
      <w:r w:rsidRPr="00F87AFB">
        <w:rPr>
          <w:rFonts w:ascii="Verdana" w:hAnsi="Verdana" w:cs="Arial"/>
          <w:sz w:val="24"/>
          <w:szCs w:val="24"/>
        </w:rPr>
        <w:t> </w:t>
      </w:r>
      <w:r w:rsidRPr="00F87AFB">
        <w:rPr>
          <w:rFonts w:ascii="Verdana" w:hAnsi="Verdana"/>
          <w:sz w:val="24"/>
          <w:szCs w:val="24"/>
        </w:rPr>
        <w:t>ajust</w:t>
      </w:r>
      <w:r w:rsidRPr="00F87AFB">
        <w:rPr>
          <w:rFonts w:ascii="Verdana" w:hAnsi="Verdana" w:cs="Aptos"/>
          <w:sz w:val="24"/>
          <w:szCs w:val="24"/>
        </w:rPr>
        <w:t>ó</w:t>
      </w:r>
      <w:r w:rsidRPr="00F87AFB">
        <w:rPr>
          <w:rFonts w:ascii="Verdana" w:hAnsi="Verdana" w:cs="Arial"/>
          <w:sz w:val="24"/>
          <w:szCs w:val="24"/>
        </w:rPr>
        <w:t> </w:t>
      </w:r>
      <w:r w:rsidRPr="00F87AFB">
        <w:rPr>
          <w:rFonts w:ascii="Verdana" w:hAnsi="Verdana"/>
          <w:sz w:val="24"/>
          <w:szCs w:val="24"/>
        </w:rPr>
        <w:t>por parte del</w:t>
      </w:r>
      <w:r w:rsidRPr="00F87AFB">
        <w:rPr>
          <w:rFonts w:ascii="Verdana" w:hAnsi="Verdana" w:cs="Arial"/>
          <w:sz w:val="24"/>
          <w:szCs w:val="24"/>
        </w:rPr>
        <w:t> </w:t>
      </w:r>
      <w:r w:rsidRPr="00F87AFB">
        <w:rPr>
          <w:rFonts w:ascii="Verdana" w:hAnsi="Verdana"/>
          <w:sz w:val="24"/>
          <w:szCs w:val="24"/>
        </w:rPr>
        <w:t>grupo de Relacionamiento con el Ciudadano</w:t>
      </w:r>
      <w:r w:rsidRPr="00F87AFB">
        <w:rPr>
          <w:rFonts w:ascii="Verdana" w:hAnsi="Verdana" w:cs="Arial"/>
          <w:sz w:val="24"/>
          <w:szCs w:val="24"/>
        </w:rPr>
        <w:t> </w:t>
      </w:r>
      <w:r w:rsidRPr="00F87AFB">
        <w:rPr>
          <w:rFonts w:ascii="Verdana" w:hAnsi="Verdana"/>
          <w:sz w:val="24"/>
          <w:szCs w:val="24"/>
        </w:rPr>
        <w:t>y Gesti</w:t>
      </w:r>
      <w:r w:rsidRPr="00F87AFB">
        <w:rPr>
          <w:rFonts w:ascii="Verdana" w:hAnsi="Verdana" w:cs="Aptos"/>
          <w:sz w:val="24"/>
          <w:szCs w:val="24"/>
        </w:rPr>
        <w:t>ó</w:t>
      </w:r>
      <w:r w:rsidRPr="00F87AFB">
        <w:rPr>
          <w:rFonts w:ascii="Verdana" w:hAnsi="Verdana"/>
          <w:sz w:val="24"/>
          <w:szCs w:val="24"/>
        </w:rPr>
        <w:t>n de la Informaci</w:t>
      </w:r>
      <w:r w:rsidRPr="00F87AFB">
        <w:rPr>
          <w:rFonts w:ascii="Verdana" w:hAnsi="Verdana" w:cs="Aptos"/>
          <w:sz w:val="24"/>
          <w:szCs w:val="24"/>
        </w:rPr>
        <w:t>ó</w:t>
      </w:r>
      <w:r w:rsidRPr="00F87AFB">
        <w:rPr>
          <w:rFonts w:ascii="Verdana" w:hAnsi="Verdana"/>
          <w:sz w:val="24"/>
          <w:szCs w:val="24"/>
        </w:rPr>
        <w:t>n</w:t>
      </w:r>
      <w:r w:rsidRPr="00F87AFB">
        <w:rPr>
          <w:rFonts w:ascii="Verdana" w:hAnsi="Verdana" w:cs="Arial"/>
          <w:sz w:val="24"/>
          <w:szCs w:val="24"/>
        </w:rPr>
        <w:t> </w:t>
      </w:r>
      <w:r w:rsidRPr="00F87AFB">
        <w:rPr>
          <w:rFonts w:ascii="Verdana" w:hAnsi="Verdana"/>
          <w:sz w:val="24"/>
          <w:szCs w:val="24"/>
        </w:rPr>
        <w:t>y se incorpor</w:t>
      </w:r>
      <w:r w:rsidRPr="00F87AFB">
        <w:rPr>
          <w:rFonts w:ascii="Verdana" w:hAnsi="Verdana" w:cs="Aptos"/>
          <w:sz w:val="24"/>
          <w:szCs w:val="24"/>
        </w:rPr>
        <w:t>ó</w:t>
      </w:r>
      <w:r w:rsidRPr="00F87AFB">
        <w:rPr>
          <w:rFonts w:ascii="Verdana" w:hAnsi="Verdana"/>
          <w:sz w:val="24"/>
          <w:szCs w:val="24"/>
        </w:rPr>
        <w:t xml:space="preserve"> en el</w:t>
      </w:r>
      <w:r w:rsidRPr="00F87AFB">
        <w:rPr>
          <w:rFonts w:ascii="Verdana" w:hAnsi="Verdana" w:cs="Arial"/>
          <w:sz w:val="24"/>
          <w:szCs w:val="24"/>
        </w:rPr>
        <w:t>   </w:t>
      </w:r>
      <w:r w:rsidRPr="00F87AFB">
        <w:rPr>
          <w:rFonts w:ascii="Verdana" w:hAnsi="Verdana"/>
          <w:sz w:val="24"/>
          <w:szCs w:val="24"/>
        </w:rPr>
        <w:t>Sistema Integrado</w:t>
      </w:r>
      <w:r w:rsidRPr="00F87AFB">
        <w:rPr>
          <w:rFonts w:ascii="Verdana" w:hAnsi="Verdana" w:cs="Arial"/>
          <w:sz w:val="24"/>
          <w:szCs w:val="24"/>
        </w:rPr>
        <w:t> </w:t>
      </w:r>
      <w:r w:rsidRPr="00F87AFB">
        <w:rPr>
          <w:rFonts w:ascii="Verdana" w:hAnsi="Verdana"/>
          <w:sz w:val="24"/>
          <w:szCs w:val="24"/>
        </w:rPr>
        <w:t>de Gesti</w:t>
      </w:r>
      <w:r w:rsidRPr="00F87AFB">
        <w:rPr>
          <w:rFonts w:ascii="Verdana" w:hAnsi="Verdana" w:cs="Aptos"/>
          <w:sz w:val="24"/>
          <w:szCs w:val="24"/>
        </w:rPr>
        <w:t>ó</w:t>
      </w:r>
      <w:r w:rsidRPr="00F87AFB">
        <w:rPr>
          <w:rFonts w:ascii="Verdana" w:hAnsi="Verdana"/>
          <w:sz w:val="24"/>
          <w:szCs w:val="24"/>
        </w:rPr>
        <w:t>n</w:t>
      </w:r>
      <w:r w:rsidRPr="00F87AFB">
        <w:rPr>
          <w:rFonts w:ascii="Verdana" w:hAnsi="Verdana" w:cs="Arial"/>
          <w:sz w:val="24"/>
          <w:szCs w:val="24"/>
        </w:rPr>
        <w:t> </w:t>
      </w:r>
      <w:r w:rsidRPr="00F87AFB">
        <w:rPr>
          <w:rFonts w:ascii="Verdana" w:hAnsi="Verdana"/>
          <w:sz w:val="24"/>
          <w:szCs w:val="24"/>
        </w:rPr>
        <w:t>del Ministerio, garantizando la autonom</w:t>
      </w:r>
      <w:r w:rsidRPr="00F87AFB">
        <w:rPr>
          <w:rFonts w:ascii="Verdana" w:hAnsi="Verdana" w:cs="Aptos"/>
          <w:sz w:val="24"/>
          <w:szCs w:val="24"/>
        </w:rPr>
        <w:t>í</w:t>
      </w:r>
      <w:r w:rsidRPr="00F87AFB">
        <w:rPr>
          <w:rFonts w:ascii="Verdana" w:hAnsi="Verdana"/>
          <w:sz w:val="24"/>
          <w:szCs w:val="24"/>
        </w:rPr>
        <w:t>a e independencia de la OCDI</w:t>
      </w:r>
      <w:r w:rsidRPr="00F87AFB">
        <w:rPr>
          <w:rFonts w:ascii="Verdana" w:hAnsi="Verdana" w:cs="Arial"/>
          <w:sz w:val="24"/>
          <w:szCs w:val="24"/>
        </w:rPr>
        <w:t> </w:t>
      </w:r>
      <w:r w:rsidRPr="00F87AFB">
        <w:rPr>
          <w:rFonts w:ascii="Verdana" w:hAnsi="Verdana"/>
          <w:sz w:val="24"/>
          <w:szCs w:val="24"/>
        </w:rPr>
        <w:t>(Concepto 055171 de 2020 DAFP;</w:t>
      </w:r>
      <w:r w:rsidRPr="00F87AFB">
        <w:rPr>
          <w:rFonts w:ascii="Verdana" w:hAnsi="Verdana" w:cs="Arial"/>
          <w:sz w:val="24"/>
          <w:szCs w:val="24"/>
        </w:rPr>
        <w:t> </w:t>
      </w:r>
      <w:r w:rsidRPr="00F87AFB">
        <w:rPr>
          <w:rFonts w:ascii="Verdana" w:hAnsi="Verdana"/>
          <w:sz w:val="24"/>
          <w:szCs w:val="24"/>
        </w:rPr>
        <w:t>numeral</w:t>
      </w:r>
      <w:r w:rsidRPr="00F87AFB">
        <w:rPr>
          <w:rFonts w:ascii="Verdana" w:hAnsi="Verdana" w:cs="Arial"/>
          <w:sz w:val="24"/>
          <w:szCs w:val="24"/>
        </w:rPr>
        <w:t> </w:t>
      </w:r>
      <w:r w:rsidRPr="00F87AFB">
        <w:rPr>
          <w:rFonts w:ascii="Verdana" w:hAnsi="Verdana"/>
          <w:sz w:val="24"/>
          <w:szCs w:val="24"/>
        </w:rPr>
        <w:t>33</w:t>
      </w:r>
      <w:r w:rsidRPr="00F87AFB">
        <w:rPr>
          <w:rFonts w:ascii="Verdana" w:hAnsi="Verdana" w:cs="Arial"/>
          <w:sz w:val="24"/>
          <w:szCs w:val="24"/>
        </w:rPr>
        <w:t> </w:t>
      </w:r>
      <w:r w:rsidRPr="00F87AFB">
        <w:rPr>
          <w:rFonts w:ascii="Verdana" w:hAnsi="Verdana"/>
          <w:sz w:val="24"/>
          <w:szCs w:val="24"/>
        </w:rPr>
        <w:t>art</w:t>
      </w:r>
      <w:r w:rsidRPr="00F87AFB">
        <w:rPr>
          <w:rFonts w:ascii="Verdana" w:hAnsi="Verdana" w:cs="Aptos"/>
          <w:sz w:val="24"/>
          <w:szCs w:val="24"/>
        </w:rPr>
        <w:t>í</w:t>
      </w:r>
      <w:r w:rsidRPr="00F87AFB">
        <w:rPr>
          <w:rFonts w:ascii="Verdana" w:hAnsi="Verdana"/>
          <w:sz w:val="24"/>
          <w:szCs w:val="24"/>
        </w:rPr>
        <w:t>culo</w:t>
      </w:r>
      <w:r w:rsidRPr="00F87AFB">
        <w:rPr>
          <w:rFonts w:ascii="Verdana" w:hAnsi="Verdana" w:cs="Arial"/>
          <w:sz w:val="24"/>
          <w:szCs w:val="24"/>
        </w:rPr>
        <w:t> </w:t>
      </w:r>
      <w:r w:rsidRPr="00F87AFB">
        <w:rPr>
          <w:rFonts w:ascii="Verdana" w:hAnsi="Verdana"/>
          <w:sz w:val="24"/>
          <w:szCs w:val="24"/>
        </w:rPr>
        <w:t>38</w:t>
      </w:r>
      <w:r w:rsidRPr="00F87AFB">
        <w:rPr>
          <w:rFonts w:ascii="Verdana" w:hAnsi="Verdana" w:cs="Arial"/>
          <w:sz w:val="24"/>
          <w:szCs w:val="24"/>
        </w:rPr>
        <w:t> </w:t>
      </w:r>
      <w:r w:rsidRPr="00F87AFB">
        <w:rPr>
          <w:rFonts w:ascii="Verdana" w:hAnsi="Verdana"/>
          <w:sz w:val="24"/>
          <w:szCs w:val="24"/>
        </w:rPr>
        <w:t>de la</w:t>
      </w:r>
      <w:r w:rsidRPr="00F87AFB">
        <w:rPr>
          <w:rFonts w:ascii="Verdana" w:hAnsi="Verdana" w:cs="Arial"/>
          <w:sz w:val="24"/>
          <w:szCs w:val="24"/>
        </w:rPr>
        <w:t> </w:t>
      </w:r>
      <w:r w:rsidRPr="00F87AFB">
        <w:rPr>
          <w:rFonts w:ascii="Verdana" w:hAnsi="Verdana"/>
          <w:sz w:val="24"/>
          <w:szCs w:val="24"/>
        </w:rPr>
        <w:t>Ley 1952 de 2019).</w:t>
      </w:r>
      <w:r w:rsidRPr="00F87AFB">
        <w:rPr>
          <w:rFonts w:ascii="Verdana" w:hAnsi="Verdana" w:cs="Arial"/>
          <w:sz w:val="24"/>
          <w:szCs w:val="24"/>
        </w:rPr>
        <w:t>   </w:t>
      </w:r>
      <w:r w:rsidRPr="00F87AFB">
        <w:rPr>
          <w:rFonts w:ascii="Verdana" w:hAnsi="Verdana"/>
          <w:sz w:val="24"/>
          <w:szCs w:val="24"/>
        </w:rPr>
        <w:t xml:space="preserve"> </w:t>
      </w:r>
    </w:p>
    <w:p w:rsidRPr="00F87AFB" w:rsidR="00F87AFB" w:rsidP="00F87AFB" w:rsidRDefault="00F87AFB" w14:paraId="3DBC9C1C" w14:textId="77777777">
      <w:pPr>
        <w:spacing w:after="0" w:line="360" w:lineRule="auto"/>
        <w:jc w:val="both"/>
        <w:rPr>
          <w:rFonts w:ascii="Verdana" w:hAnsi="Verdana"/>
          <w:sz w:val="24"/>
          <w:szCs w:val="24"/>
        </w:rPr>
      </w:pPr>
    </w:p>
    <w:p w:rsidRPr="00F87AFB" w:rsidR="00F87AFB" w:rsidP="00F87AFB" w:rsidRDefault="00F87AFB" w14:paraId="07BDC474" w14:textId="4C537442">
      <w:pPr>
        <w:spacing w:after="0" w:line="360" w:lineRule="auto"/>
        <w:jc w:val="both"/>
        <w:rPr>
          <w:rFonts w:ascii="Verdana" w:hAnsi="Verdana"/>
          <w:sz w:val="24"/>
          <w:szCs w:val="24"/>
        </w:rPr>
      </w:pPr>
      <w:r w:rsidRPr="00F87AFB">
        <w:rPr>
          <w:rFonts w:ascii="Verdana" w:hAnsi="Verdana"/>
          <w:sz w:val="24"/>
          <w:szCs w:val="24"/>
        </w:rPr>
        <w:t>Punto de Equilibrio Operativo:</w:t>
      </w:r>
      <w:r w:rsidRPr="00F87AFB">
        <w:rPr>
          <w:rFonts w:ascii="Verdana" w:hAnsi="Verdana" w:cs="Arial"/>
          <w:sz w:val="24"/>
          <w:szCs w:val="24"/>
        </w:rPr>
        <w:t> </w:t>
      </w:r>
      <w:r w:rsidRPr="00F87AFB">
        <w:rPr>
          <w:rFonts w:ascii="Verdana" w:hAnsi="Verdana"/>
          <w:sz w:val="24"/>
          <w:szCs w:val="24"/>
        </w:rPr>
        <w:t>La experiencia del cuatrienio</w:t>
      </w:r>
      <w:r w:rsidRPr="00F87AFB">
        <w:rPr>
          <w:rFonts w:ascii="Verdana" w:hAnsi="Verdana" w:cs="Arial"/>
          <w:sz w:val="24"/>
          <w:szCs w:val="24"/>
        </w:rPr>
        <w:t> </w:t>
      </w:r>
      <w:r w:rsidRPr="00F87AFB">
        <w:rPr>
          <w:rFonts w:ascii="Verdana" w:hAnsi="Verdana"/>
          <w:sz w:val="24"/>
          <w:szCs w:val="24"/>
        </w:rPr>
        <w:t>demuestra</w:t>
      </w:r>
      <w:r w:rsidRPr="00F87AFB">
        <w:rPr>
          <w:rFonts w:ascii="Verdana" w:hAnsi="Verdana" w:cs="Arial"/>
          <w:sz w:val="24"/>
          <w:szCs w:val="24"/>
        </w:rPr>
        <w:t> </w:t>
      </w:r>
      <w:r w:rsidRPr="00F87AFB">
        <w:rPr>
          <w:rFonts w:ascii="Verdana" w:hAnsi="Verdana"/>
          <w:sz w:val="24"/>
          <w:szCs w:val="24"/>
        </w:rPr>
        <w:t>que,</w:t>
      </w:r>
      <w:r w:rsidRPr="00F87AFB">
        <w:rPr>
          <w:rFonts w:ascii="Verdana" w:hAnsi="Verdana" w:cs="Arial"/>
          <w:sz w:val="24"/>
          <w:szCs w:val="24"/>
        </w:rPr>
        <w:t> </w:t>
      </w:r>
      <w:r w:rsidRPr="00F87AFB">
        <w:rPr>
          <w:rFonts w:ascii="Verdana" w:hAnsi="Verdana"/>
          <w:sz w:val="24"/>
          <w:szCs w:val="24"/>
        </w:rPr>
        <w:t>para gestionar eficazmente el volumen de quejas</w:t>
      </w:r>
      <w:r w:rsidRPr="00F87AFB">
        <w:rPr>
          <w:rFonts w:ascii="Verdana" w:hAnsi="Verdana" w:cs="Arial"/>
          <w:sz w:val="24"/>
          <w:szCs w:val="24"/>
        </w:rPr>
        <w:t> </w:t>
      </w:r>
      <w:r w:rsidRPr="00F87AFB">
        <w:rPr>
          <w:rFonts w:ascii="Verdana" w:hAnsi="Verdana"/>
          <w:sz w:val="24"/>
          <w:szCs w:val="24"/>
        </w:rPr>
        <w:t>y procesos activos,</w:t>
      </w:r>
      <w:r w:rsidRPr="00F87AFB">
        <w:rPr>
          <w:rFonts w:ascii="Verdana" w:hAnsi="Verdana" w:cs="Arial"/>
          <w:sz w:val="24"/>
          <w:szCs w:val="24"/>
        </w:rPr>
        <w:t> </w:t>
      </w:r>
      <w:r w:rsidRPr="00F87AFB">
        <w:rPr>
          <w:rFonts w:ascii="Verdana" w:hAnsi="Verdana"/>
          <w:sz w:val="24"/>
          <w:szCs w:val="24"/>
        </w:rPr>
        <w:t>resulta indispensable</w:t>
      </w:r>
      <w:r w:rsidRPr="00F87AFB">
        <w:rPr>
          <w:rFonts w:ascii="Verdana" w:hAnsi="Verdana" w:cs="Arial"/>
          <w:sz w:val="24"/>
          <w:szCs w:val="24"/>
        </w:rPr>
        <w:t> </w:t>
      </w:r>
      <w:r w:rsidRPr="00F87AFB">
        <w:rPr>
          <w:rFonts w:ascii="Verdana" w:hAnsi="Verdana"/>
          <w:sz w:val="24"/>
          <w:szCs w:val="24"/>
        </w:rPr>
        <w:t>mantener</w:t>
      </w:r>
      <w:r w:rsidRPr="00F87AFB">
        <w:rPr>
          <w:rFonts w:ascii="Verdana" w:hAnsi="Verdana" w:cs="Arial"/>
          <w:sz w:val="24"/>
          <w:szCs w:val="24"/>
        </w:rPr>
        <w:t> </w:t>
      </w:r>
      <w:r w:rsidRPr="00F87AFB">
        <w:rPr>
          <w:rFonts w:ascii="Verdana" w:hAnsi="Verdana"/>
          <w:sz w:val="24"/>
          <w:szCs w:val="24"/>
        </w:rPr>
        <w:t>fortalecida la OCDI.</w:t>
      </w:r>
      <w:r w:rsidRPr="00F87AFB">
        <w:rPr>
          <w:rFonts w:ascii="Verdana" w:hAnsi="Verdana" w:cs="Arial"/>
          <w:sz w:val="24"/>
          <w:szCs w:val="24"/>
        </w:rPr>
        <w:t> </w:t>
      </w:r>
      <w:r w:rsidRPr="00F87AFB">
        <w:rPr>
          <w:rFonts w:ascii="Verdana" w:hAnsi="Verdana"/>
          <w:sz w:val="24"/>
          <w:szCs w:val="24"/>
        </w:rPr>
        <w:t xml:space="preserve"> </w:t>
      </w:r>
    </w:p>
    <w:p w:rsidRPr="00F87AFB" w:rsidR="00F87AFB" w:rsidP="00F87AFB" w:rsidRDefault="00F87AFB" w14:paraId="1626474C" w14:textId="77777777">
      <w:pPr>
        <w:spacing w:after="0" w:line="360" w:lineRule="auto"/>
        <w:jc w:val="both"/>
        <w:rPr>
          <w:rFonts w:ascii="Verdana" w:hAnsi="Verdana"/>
          <w:sz w:val="24"/>
          <w:szCs w:val="24"/>
        </w:rPr>
      </w:pPr>
    </w:p>
    <w:p w:rsidR="00F87AFB" w:rsidP="00F87AFB" w:rsidRDefault="00F87AFB" w14:paraId="4524FEBB" w14:textId="02335621">
      <w:pPr>
        <w:spacing w:after="0" w:line="360" w:lineRule="auto"/>
        <w:jc w:val="both"/>
        <w:rPr>
          <w:rFonts w:ascii="Verdana" w:hAnsi="Verdana" w:cs="Arial"/>
          <w:sz w:val="24"/>
          <w:szCs w:val="24"/>
        </w:rPr>
      </w:pPr>
      <w:r w:rsidRPr="00F87AFB">
        <w:rPr>
          <w:rFonts w:ascii="Verdana" w:hAnsi="Verdana"/>
          <w:sz w:val="24"/>
          <w:szCs w:val="24"/>
        </w:rPr>
        <w:t>La OCDI cierra el cuatrienio como una dependencia</w:t>
      </w:r>
      <w:r w:rsidRPr="00F87AFB">
        <w:rPr>
          <w:rFonts w:ascii="Verdana" w:hAnsi="Verdana" w:cs="Arial"/>
          <w:sz w:val="24"/>
          <w:szCs w:val="24"/>
        </w:rPr>
        <w:t> </w:t>
      </w:r>
      <w:r w:rsidRPr="00F87AFB">
        <w:rPr>
          <w:rFonts w:ascii="Verdana" w:hAnsi="Verdana"/>
          <w:sz w:val="24"/>
          <w:szCs w:val="24"/>
        </w:rPr>
        <w:t>fortalecida, en proceso de mejora continua</w:t>
      </w:r>
      <w:r w:rsidRPr="00F87AFB">
        <w:rPr>
          <w:rFonts w:ascii="Verdana" w:hAnsi="Verdana" w:cs="Arial"/>
          <w:sz w:val="24"/>
          <w:szCs w:val="24"/>
        </w:rPr>
        <w:t> </w:t>
      </w:r>
      <w:r w:rsidRPr="00F87AFB">
        <w:rPr>
          <w:rFonts w:ascii="Verdana" w:hAnsi="Verdana"/>
          <w:sz w:val="24"/>
          <w:szCs w:val="24"/>
        </w:rPr>
        <w:t>y con una metodolog</w:t>
      </w:r>
      <w:r w:rsidRPr="00F87AFB">
        <w:rPr>
          <w:rFonts w:ascii="Verdana" w:hAnsi="Verdana" w:cs="Aptos"/>
          <w:sz w:val="24"/>
          <w:szCs w:val="24"/>
        </w:rPr>
        <w:t>í</w:t>
      </w:r>
      <w:r w:rsidRPr="00F87AFB">
        <w:rPr>
          <w:rFonts w:ascii="Verdana" w:hAnsi="Verdana"/>
          <w:sz w:val="24"/>
          <w:szCs w:val="24"/>
        </w:rPr>
        <w:t>a institucionalizada</w:t>
      </w:r>
      <w:r w:rsidRPr="00F87AFB">
        <w:rPr>
          <w:rFonts w:ascii="Verdana" w:hAnsi="Verdana" w:cs="Arial"/>
          <w:sz w:val="24"/>
          <w:szCs w:val="24"/>
        </w:rPr>
        <w:t> </w:t>
      </w:r>
      <w:r w:rsidRPr="00F87AFB">
        <w:rPr>
          <w:rFonts w:ascii="Verdana" w:hAnsi="Verdana"/>
          <w:sz w:val="24"/>
          <w:szCs w:val="24"/>
        </w:rPr>
        <w:t>para garantizar</w:t>
      </w:r>
      <w:r w:rsidRPr="00F87AFB">
        <w:rPr>
          <w:rFonts w:ascii="Verdana" w:hAnsi="Verdana" w:cs="Arial"/>
          <w:sz w:val="24"/>
          <w:szCs w:val="24"/>
        </w:rPr>
        <w:t> </w:t>
      </w:r>
      <w:r w:rsidRPr="00F87AFB">
        <w:rPr>
          <w:rFonts w:ascii="Verdana" w:hAnsi="Verdana"/>
          <w:sz w:val="24"/>
          <w:szCs w:val="24"/>
        </w:rPr>
        <w:t>el debido proceso,</w:t>
      </w:r>
      <w:r w:rsidRPr="00F87AFB">
        <w:rPr>
          <w:rFonts w:ascii="Verdana" w:hAnsi="Verdana" w:cs="Arial"/>
          <w:sz w:val="24"/>
          <w:szCs w:val="24"/>
        </w:rPr>
        <w:t> </w:t>
      </w:r>
      <w:r w:rsidRPr="00F87AFB">
        <w:rPr>
          <w:rFonts w:ascii="Verdana" w:hAnsi="Verdana"/>
          <w:sz w:val="24"/>
          <w:szCs w:val="24"/>
        </w:rPr>
        <w:t>la</w:t>
      </w:r>
      <w:r w:rsidRPr="00F87AFB">
        <w:rPr>
          <w:rFonts w:ascii="Verdana" w:hAnsi="Verdana" w:cs="Arial"/>
          <w:sz w:val="24"/>
          <w:szCs w:val="24"/>
        </w:rPr>
        <w:t> transparencia </w:t>
      </w:r>
      <w:r w:rsidRPr="00F87AFB">
        <w:rPr>
          <w:rFonts w:ascii="Verdana" w:hAnsi="Verdana"/>
          <w:sz w:val="24"/>
          <w:szCs w:val="24"/>
        </w:rPr>
        <w:t>e</w:t>
      </w:r>
      <w:r w:rsidRPr="00F87AFB">
        <w:rPr>
          <w:rFonts w:ascii="Verdana" w:hAnsi="Verdana" w:cs="Arial"/>
          <w:sz w:val="24"/>
          <w:szCs w:val="24"/>
        </w:rPr>
        <w:t> </w:t>
      </w:r>
      <w:r w:rsidRPr="00F87AFB">
        <w:rPr>
          <w:rFonts w:ascii="Verdana" w:hAnsi="Verdana"/>
          <w:sz w:val="24"/>
          <w:szCs w:val="24"/>
        </w:rPr>
        <w:t>integridad en el Ministerio de Minas y Energ</w:t>
      </w:r>
      <w:r w:rsidRPr="00F87AFB">
        <w:rPr>
          <w:rFonts w:ascii="Verdana" w:hAnsi="Verdana" w:cs="Aptos"/>
          <w:sz w:val="24"/>
          <w:szCs w:val="24"/>
        </w:rPr>
        <w:t>í</w:t>
      </w:r>
      <w:r w:rsidRPr="00F87AFB">
        <w:rPr>
          <w:rFonts w:ascii="Verdana" w:hAnsi="Verdana"/>
          <w:sz w:val="24"/>
          <w:szCs w:val="24"/>
        </w:rPr>
        <w:t>a.</w:t>
      </w:r>
      <w:r w:rsidRPr="00F87AFB">
        <w:rPr>
          <w:rFonts w:ascii="Verdana" w:hAnsi="Verdana" w:cs="Arial"/>
          <w:sz w:val="24"/>
          <w:szCs w:val="24"/>
        </w:rPr>
        <w:t> </w:t>
      </w:r>
    </w:p>
    <w:p w:rsidRPr="00F87AFB" w:rsidR="00F87AFB" w:rsidP="00F87AFB" w:rsidRDefault="00F87AFB" w14:paraId="57E0D447" w14:textId="77777777">
      <w:pPr>
        <w:spacing w:after="0" w:line="360" w:lineRule="auto"/>
        <w:jc w:val="both"/>
        <w:rPr>
          <w:rFonts w:ascii="Verdana" w:hAnsi="Verdana"/>
          <w:sz w:val="24"/>
          <w:szCs w:val="24"/>
        </w:rPr>
      </w:pPr>
    </w:p>
    <w:p w:rsidR="0025243F" w:rsidRDefault="0025243F" w14:paraId="06DEEBF5" w14:textId="44914AB2">
      <w:pPr>
        <w:pStyle w:val="Prrafodelista"/>
        <w:numPr>
          <w:ilvl w:val="0"/>
          <w:numId w:val="95"/>
        </w:numPr>
        <w:spacing w:after="0" w:line="360" w:lineRule="auto"/>
        <w:jc w:val="both"/>
        <w:outlineLvl w:val="0"/>
        <w:rPr>
          <w:rFonts w:ascii="Verdana" w:hAnsi="Verdana"/>
          <w:b/>
          <w:bCs/>
          <w:sz w:val="24"/>
          <w:szCs w:val="24"/>
        </w:rPr>
      </w:pPr>
      <w:bookmarkStart w:name="_Toc233996778" w:id="61"/>
      <w:r w:rsidRPr="0025243F">
        <w:rPr>
          <w:rFonts w:ascii="Verdana" w:hAnsi="Verdana"/>
          <w:b/>
          <w:bCs/>
          <w:sz w:val="24"/>
          <w:szCs w:val="24"/>
        </w:rPr>
        <w:t>Cierre</w:t>
      </w:r>
      <w:bookmarkEnd w:id="61"/>
      <w:r w:rsidRPr="0025243F">
        <w:rPr>
          <w:rFonts w:ascii="Verdana" w:hAnsi="Verdana"/>
          <w:b/>
          <w:bCs/>
          <w:sz w:val="24"/>
          <w:szCs w:val="24"/>
        </w:rPr>
        <w:t xml:space="preserve"> </w:t>
      </w:r>
    </w:p>
    <w:p w:rsidRPr="0025243F" w:rsidR="0025243F" w:rsidP="0025243F" w:rsidRDefault="0025243F" w14:paraId="55C3C2C7" w14:textId="77777777">
      <w:pPr>
        <w:pStyle w:val="Prrafodelista"/>
        <w:spacing w:after="0" w:line="360" w:lineRule="auto"/>
        <w:ind w:left="480"/>
        <w:jc w:val="both"/>
        <w:rPr>
          <w:rFonts w:ascii="Verdana" w:hAnsi="Verdana"/>
          <w:b/>
          <w:bCs/>
          <w:sz w:val="24"/>
          <w:szCs w:val="24"/>
        </w:rPr>
      </w:pPr>
    </w:p>
    <w:p w:rsidRPr="0025243F" w:rsidR="0025243F" w:rsidP="0025243F" w:rsidRDefault="0025243F" w14:paraId="35D82B9B" w14:textId="77777777">
      <w:pPr>
        <w:spacing w:after="0" w:line="360" w:lineRule="auto"/>
        <w:jc w:val="both"/>
        <w:rPr>
          <w:rFonts w:ascii="Verdana" w:hAnsi="Verdana"/>
          <w:sz w:val="24"/>
          <w:szCs w:val="24"/>
        </w:rPr>
      </w:pPr>
      <w:r w:rsidRPr="0025243F">
        <w:rPr>
          <w:rFonts w:ascii="Verdana" w:hAnsi="Verdana"/>
          <w:sz w:val="24"/>
          <w:szCs w:val="24"/>
        </w:rPr>
        <w:t xml:space="preserve">Durante el cuatrienio 2022–2026, el Ministerio de Minas y Energía garantizó la ejecución de los recursos destinados a su funcionamiento operativo, así como al cumplimiento de sus funciones misionales en </w:t>
      </w:r>
      <w:r w:rsidRPr="0025243F">
        <w:rPr>
          <w:rFonts w:ascii="Verdana" w:hAnsi="Verdana"/>
          <w:sz w:val="24"/>
          <w:szCs w:val="24"/>
        </w:rPr>
        <w:t xml:space="preserve">proyectos de inversión, en concordancia con el plan estratégico institucional y alineados con las metas del Gobierno Nacional. La gestión priorizó cuatro ejes fundamentales: energía, hidrocarburos, minería y transición energética justa. </w:t>
      </w:r>
    </w:p>
    <w:p w:rsidRPr="0025243F" w:rsidR="0025243F" w:rsidP="0025243F" w:rsidRDefault="0025243F" w14:paraId="410DA476" w14:textId="77777777">
      <w:pPr>
        <w:spacing w:after="0" w:line="360" w:lineRule="auto"/>
        <w:jc w:val="both"/>
        <w:rPr>
          <w:rFonts w:ascii="Verdana" w:hAnsi="Verdana"/>
          <w:sz w:val="24"/>
          <w:szCs w:val="24"/>
        </w:rPr>
      </w:pPr>
    </w:p>
    <w:p w:rsidRPr="0025243F" w:rsidR="0025243F" w:rsidP="0025243F" w:rsidRDefault="0025243F" w14:paraId="436B23D3" w14:textId="77777777">
      <w:pPr>
        <w:spacing w:after="0" w:line="360" w:lineRule="auto"/>
        <w:jc w:val="both"/>
        <w:rPr>
          <w:rFonts w:ascii="Verdana" w:hAnsi="Verdana"/>
          <w:sz w:val="24"/>
          <w:szCs w:val="24"/>
        </w:rPr>
      </w:pPr>
      <w:r w:rsidRPr="0025243F">
        <w:rPr>
          <w:rFonts w:ascii="Verdana" w:hAnsi="Verdana"/>
          <w:sz w:val="24"/>
          <w:szCs w:val="24"/>
        </w:rPr>
        <w:t xml:space="preserve">El presupuesto de gastos asignado para el cuatrienio presentó un aumento progresivo pasando de una asignación presupuestal de $4.168.821 millones en la vigencia 2022 a $9.614.818 millones en 2026 con un promedio de ejecución en compromisos del 95% y del 87% en obligaciones, evidenciando niveles de ejecución presupuestal altos en compromisos y una buena ejecución en obligaciones, reflejando la capacidad de gestión y administración eficiente de los recursos asignados, donde los mayores esfuerzos se concentraron en la transición energética enfocados a fortalecimiento de la energización rural, comunidades energéticas, formalización minera, ampliación de la cobertura energética, gestión de hidrocarburos y garantizando la financiación de subsidios energéticos y de gas para las poblaciones más vulnerables. </w:t>
      </w:r>
    </w:p>
    <w:p w:rsidRPr="0025243F" w:rsidR="0025243F" w:rsidP="0025243F" w:rsidRDefault="0025243F" w14:paraId="3432F667" w14:textId="77777777">
      <w:pPr>
        <w:spacing w:after="0" w:line="360" w:lineRule="auto"/>
        <w:jc w:val="both"/>
        <w:rPr>
          <w:rFonts w:ascii="Verdana" w:hAnsi="Verdana"/>
          <w:sz w:val="24"/>
          <w:szCs w:val="24"/>
        </w:rPr>
      </w:pPr>
    </w:p>
    <w:p w:rsidRPr="0025243F" w:rsidR="0025243F" w:rsidP="0025243F" w:rsidRDefault="0025243F" w14:paraId="22238BE9" w14:textId="77777777">
      <w:pPr>
        <w:spacing w:after="0" w:line="360" w:lineRule="auto"/>
        <w:jc w:val="both"/>
        <w:rPr>
          <w:rFonts w:ascii="Verdana" w:hAnsi="Verdana"/>
          <w:sz w:val="24"/>
          <w:szCs w:val="24"/>
        </w:rPr>
      </w:pPr>
      <w:r w:rsidRPr="0025243F">
        <w:rPr>
          <w:rFonts w:ascii="Verdana" w:hAnsi="Verdana"/>
          <w:sz w:val="24"/>
          <w:szCs w:val="24"/>
        </w:rPr>
        <w:t xml:space="preserve">Por su parte la ejecución de la reserva presupuestal evidencia un incremento pasando de una reserva presupuestal constituida en la vigencia 2022 de $295.980 millones y ejecutada en un 54% a una reserva de $2.460.275  millones en la vigencia 2024, ejecutada en el año 2025 en un  99%, donde se canceló la suma de $1.451.257 millones para cubrir la deuda que quedó constituida como reserva presupuestal en la vigencia 2025 de Resoluciones de reconocimiento y pago de subsidios eléctricos del Sistema Interconectado Nacional y de Zonas No Interconectadas, así como Subsidios destinados a la distribución de recursos al consumo de gas por red y cilindros. A nivel interno, el Grupo de Presupuesto implementó, a través del aplicativo Neón, la funcionalidad de cargas masivas para la expedición de Certificados de Disponibilidad Presupuestal </w:t>
      </w:r>
      <w:r w:rsidRPr="0025243F">
        <w:rPr>
          <w:rFonts w:ascii="Verdana" w:hAnsi="Verdana"/>
          <w:sz w:val="24"/>
          <w:szCs w:val="24"/>
        </w:rPr>
        <w:t xml:space="preserve">(CDP). Mediante un archivo plano exportado del Sistema Integrado de Información Financiera -SIIF Nación, esta herramienta automatiza la generación de dichos certificados, reduciendo los tiempos de expedición y optimizando la eficiencia de los procesos contractuales de la entidad. La funcionalidad fue puesta en marcha durante la vigencia 2025 y ha representado un avance concreto en la modernización de la gestión presupuestal institucional. </w:t>
      </w:r>
    </w:p>
    <w:p w:rsidRPr="0025243F" w:rsidR="0025243F" w:rsidP="0025243F" w:rsidRDefault="0025243F" w14:paraId="48BB2FDA" w14:textId="77777777">
      <w:pPr>
        <w:spacing w:after="0" w:line="360" w:lineRule="auto"/>
        <w:jc w:val="both"/>
        <w:rPr>
          <w:rFonts w:ascii="Verdana" w:hAnsi="Verdana"/>
          <w:sz w:val="24"/>
          <w:szCs w:val="24"/>
        </w:rPr>
      </w:pPr>
    </w:p>
    <w:p w:rsidRPr="0025243F" w:rsidR="0025243F" w:rsidP="0025243F" w:rsidRDefault="0025243F" w14:paraId="50279F9A" w14:textId="77777777">
      <w:pPr>
        <w:spacing w:after="0" w:line="360" w:lineRule="auto"/>
        <w:jc w:val="both"/>
        <w:rPr>
          <w:rFonts w:ascii="Verdana" w:hAnsi="Verdana"/>
          <w:sz w:val="24"/>
          <w:szCs w:val="24"/>
        </w:rPr>
      </w:pPr>
      <w:r w:rsidRPr="0025243F">
        <w:rPr>
          <w:rFonts w:ascii="Verdana" w:hAnsi="Verdana"/>
          <w:sz w:val="24"/>
          <w:szCs w:val="24"/>
        </w:rPr>
        <w:t xml:space="preserve">En materia contractual, la gestión del cuatrienio presentó un cumplimiento alineado con el eje de transformación 4 "Transformación Productiva, Internacionalización y Acción Climática" del Plan Nacional de Desarrollo - PND: "Colombia Potencia Mundial de la Vida", el cual promueve el uso de energías limpias. En ese sentido, el número de contratos suscritos creció de 148 en el período agosto a diciembre de 2022 a 2.119 en 2025, con valores que escalaron de $131,69 mil millones a $6,15 billones, de los cuales $4.2 billones1 corresponden a las vigencias futuras autorizadas en el marco del contrato mediante el cual se pone en marcha el "Programa Colombia Solar", evidenciando un crecimiento contractual acorde con los objetivos del PND. En total, durante el cuatrienio se suscribieron 6.699 contratos, incluidos 1.828 contratos suscritos en el marco de la Ley de Garantías entre enero y marzo de 2026. </w:t>
      </w:r>
    </w:p>
    <w:p w:rsidRPr="0025243F" w:rsidR="0025243F" w:rsidP="0025243F" w:rsidRDefault="0025243F" w14:paraId="1B22B5E2" w14:textId="77777777">
      <w:pPr>
        <w:spacing w:after="0" w:line="360" w:lineRule="auto"/>
        <w:jc w:val="both"/>
        <w:rPr>
          <w:rFonts w:ascii="Verdana" w:hAnsi="Verdana"/>
          <w:sz w:val="24"/>
          <w:szCs w:val="24"/>
        </w:rPr>
      </w:pPr>
    </w:p>
    <w:p w:rsidRPr="0025243F" w:rsidR="0025243F" w:rsidP="0025243F" w:rsidRDefault="0025243F" w14:paraId="1DA857E6" w14:textId="77777777">
      <w:pPr>
        <w:spacing w:after="0" w:line="360" w:lineRule="auto"/>
        <w:jc w:val="both"/>
        <w:rPr>
          <w:rFonts w:ascii="Verdana" w:hAnsi="Verdana"/>
          <w:sz w:val="24"/>
          <w:szCs w:val="24"/>
        </w:rPr>
      </w:pPr>
      <w:r w:rsidRPr="0025243F">
        <w:rPr>
          <w:rFonts w:ascii="Verdana" w:hAnsi="Verdana"/>
          <w:sz w:val="24"/>
          <w:szCs w:val="24"/>
        </w:rPr>
        <w:t xml:space="preserve">En cuanto a la gestión administrativa y ambiental, durante el cuatrienio, el MME renovó su parque automotor con la adquisición de 5 vehículos eléctricos y 6 híbridos en reemplazo de 11 vehículos de combustión con los que contaba, logrando así una reducción efectiva de la huella de carbono y del consumo de combustible, reflejando austeridad del gasto público. </w:t>
      </w:r>
    </w:p>
    <w:p w:rsidRPr="0025243F" w:rsidR="0025243F" w:rsidP="0025243F" w:rsidRDefault="0025243F" w14:paraId="5E40E041" w14:textId="77777777">
      <w:pPr>
        <w:spacing w:after="0" w:line="360" w:lineRule="auto"/>
        <w:jc w:val="both"/>
        <w:rPr>
          <w:rFonts w:ascii="Verdana" w:hAnsi="Verdana"/>
          <w:sz w:val="24"/>
          <w:szCs w:val="24"/>
        </w:rPr>
      </w:pPr>
    </w:p>
    <w:p w:rsidRPr="0025243F" w:rsidR="0025243F" w:rsidP="0025243F" w:rsidRDefault="0025243F" w14:paraId="79E80550" w14:textId="77777777">
      <w:pPr>
        <w:spacing w:after="0" w:line="360" w:lineRule="auto"/>
        <w:jc w:val="both"/>
        <w:rPr>
          <w:rFonts w:ascii="Verdana" w:hAnsi="Verdana"/>
          <w:sz w:val="24"/>
          <w:szCs w:val="24"/>
        </w:rPr>
      </w:pPr>
      <w:r w:rsidRPr="0025243F">
        <w:rPr>
          <w:rFonts w:ascii="Verdana" w:hAnsi="Verdana"/>
          <w:sz w:val="24"/>
          <w:szCs w:val="24"/>
        </w:rPr>
        <w:t xml:space="preserve">Asimismo, en el marco del proyecto de inversión "Fortalecimiento Institucional para la implementación de mejores medidas de sostenibilidad ambiental en las sedes del Ministerio de Minas y Energía Bogotá", el cual se encuentra articulado con el eje transversal 1 “Ordenamiento del Territorio Alrededor del Agua y Justicia Ambiental”, se realizó la intervención integral del edificio institucional mediante la optimización de los baños, la renovación de redes hidrosanitarias y eléctricas, y la impermeabilización de cubiertas. Estas intervenciones no sólo mitigan impactos ambientales directos, sino que contribuyen al cumplimiento de los Objetivos de Desarrollo Sostenible, en particular el ODS 6 (agua limpia y saneamiento), el ODS 7 (energía asequible y no contaminante) y el ODS 11 (ciudades y comunidades sostenibles), promoviendo la transición ecológica desde la infraestructura pública. En materia ambiental, el 16 de mayo de 2025 el Ministerio fue galardonado con el Sello de Excelencia Ambiental del Programa de Excelencia Ambiental Distrital - PREAD de la Secretaría Distrital de Ambiente, distinción otorgada bajo los estándares de la norma ISO 14001, que certifica el compromiso institucional con la gestión ambiental responsable. </w:t>
      </w:r>
    </w:p>
    <w:p w:rsidRPr="0025243F" w:rsidR="0025243F" w:rsidP="0025243F" w:rsidRDefault="0025243F" w14:paraId="37CC8640" w14:textId="77777777">
      <w:pPr>
        <w:spacing w:after="0" w:line="360" w:lineRule="auto"/>
        <w:jc w:val="both"/>
        <w:rPr>
          <w:rFonts w:ascii="Verdana" w:hAnsi="Verdana"/>
          <w:sz w:val="24"/>
          <w:szCs w:val="24"/>
        </w:rPr>
      </w:pPr>
    </w:p>
    <w:p w:rsidRPr="0025243F" w:rsidR="0025243F" w:rsidP="0025243F" w:rsidRDefault="0025243F" w14:paraId="3C470D8E" w14:textId="77777777">
      <w:pPr>
        <w:spacing w:after="0" w:line="360" w:lineRule="auto"/>
        <w:jc w:val="both"/>
        <w:rPr>
          <w:rFonts w:ascii="Verdana" w:hAnsi="Verdana"/>
          <w:sz w:val="24"/>
          <w:szCs w:val="24"/>
        </w:rPr>
      </w:pPr>
      <w:r w:rsidRPr="0025243F">
        <w:rPr>
          <w:rFonts w:ascii="Verdana" w:hAnsi="Verdana"/>
          <w:sz w:val="24"/>
          <w:szCs w:val="24"/>
        </w:rPr>
        <w:t xml:space="preserve">Dar continuidad al proceso de fortalecimiento institucional, consolidando la provisión de empleos de carrera administrativa y reduciendo progresivamente los niveles de provisionalidad, en concordancia con los principios de mérito, igualdad y transparencia. </w:t>
      </w:r>
    </w:p>
    <w:p w:rsidRPr="0025243F" w:rsidR="0025243F" w:rsidP="0025243F" w:rsidRDefault="0025243F" w14:paraId="0CDFE54B" w14:textId="77777777">
      <w:pPr>
        <w:spacing w:after="0" w:line="360" w:lineRule="auto"/>
        <w:jc w:val="both"/>
        <w:rPr>
          <w:rFonts w:ascii="Verdana" w:hAnsi="Verdana"/>
          <w:sz w:val="24"/>
          <w:szCs w:val="24"/>
        </w:rPr>
      </w:pPr>
    </w:p>
    <w:p w:rsidRPr="0025243F" w:rsidR="0025243F" w:rsidP="0025243F" w:rsidRDefault="0025243F" w14:paraId="046C2685" w14:textId="77777777">
      <w:pPr>
        <w:spacing w:after="0" w:line="360" w:lineRule="auto"/>
        <w:jc w:val="both"/>
        <w:rPr>
          <w:rFonts w:ascii="Verdana" w:hAnsi="Verdana"/>
          <w:sz w:val="24"/>
          <w:szCs w:val="24"/>
        </w:rPr>
      </w:pPr>
      <w:r w:rsidRPr="0025243F">
        <w:rPr>
          <w:rFonts w:ascii="Verdana" w:hAnsi="Verdana"/>
          <w:sz w:val="24"/>
          <w:szCs w:val="24"/>
        </w:rPr>
        <w:t xml:space="preserve">Culminar la implementación de las plantas de personal de FONENERGÍA y del Fondo de Fomento Minero, garantizando las capacidades técnicas, administrativas y operativas requeridas para el cumplimiento de sus funciones. </w:t>
      </w:r>
    </w:p>
    <w:p w:rsidRPr="0025243F" w:rsidR="0025243F" w:rsidP="0025243F" w:rsidRDefault="0025243F" w14:paraId="440E7F9A" w14:textId="77777777">
      <w:pPr>
        <w:spacing w:after="0" w:line="360" w:lineRule="auto"/>
        <w:jc w:val="both"/>
        <w:rPr>
          <w:rFonts w:ascii="Verdana" w:hAnsi="Verdana"/>
          <w:sz w:val="24"/>
          <w:szCs w:val="24"/>
        </w:rPr>
      </w:pPr>
    </w:p>
    <w:p w:rsidRPr="0025243F" w:rsidR="0025243F" w:rsidP="0025243F" w:rsidRDefault="0025243F" w14:paraId="7B421520" w14:textId="77777777">
      <w:pPr>
        <w:spacing w:after="0" w:line="360" w:lineRule="auto"/>
        <w:jc w:val="both"/>
        <w:rPr>
          <w:rFonts w:ascii="Verdana" w:hAnsi="Verdana"/>
          <w:sz w:val="24"/>
          <w:szCs w:val="24"/>
        </w:rPr>
      </w:pPr>
      <w:r w:rsidRPr="0025243F">
        <w:rPr>
          <w:rFonts w:ascii="Verdana" w:hAnsi="Verdana"/>
          <w:sz w:val="24"/>
          <w:szCs w:val="24"/>
        </w:rPr>
        <w:t xml:space="preserve">Continuar con la ejecución del Concurso de Méritos y adelantar las acciones necesarias para la realización de nuevos procesos de selección, aprovechando los recursos asignados para tal fin. </w:t>
      </w:r>
    </w:p>
    <w:p w:rsidRPr="0025243F" w:rsidR="0025243F" w:rsidP="0025243F" w:rsidRDefault="0025243F" w14:paraId="31317931" w14:textId="77777777">
      <w:pPr>
        <w:spacing w:after="0" w:line="360" w:lineRule="auto"/>
        <w:jc w:val="both"/>
        <w:rPr>
          <w:rFonts w:ascii="Verdana" w:hAnsi="Verdana"/>
          <w:sz w:val="24"/>
          <w:szCs w:val="24"/>
        </w:rPr>
      </w:pPr>
    </w:p>
    <w:p w:rsidRPr="0025243F" w:rsidR="0025243F" w:rsidP="0025243F" w:rsidRDefault="0025243F" w14:paraId="52031D59" w14:textId="77777777">
      <w:pPr>
        <w:spacing w:after="0" w:line="360" w:lineRule="auto"/>
        <w:jc w:val="both"/>
        <w:rPr>
          <w:rFonts w:ascii="Verdana" w:hAnsi="Verdana"/>
          <w:sz w:val="24"/>
          <w:szCs w:val="24"/>
        </w:rPr>
      </w:pPr>
      <w:r w:rsidRPr="0025243F">
        <w:rPr>
          <w:rFonts w:ascii="Verdana" w:hAnsi="Verdana"/>
          <w:sz w:val="24"/>
          <w:szCs w:val="24"/>
        </w:rPr>
        <w:t xml:space="preserve">Fortalecer las estrategias de capacitación y desarrollo del talento humano, con énfasis en bilingüismo, competencias digitales, liderazgo y gestión pública. </w:t>
      </w:r>
    </w:p>
    <w:p w:rsidRPr="0025243F" w:rsidR="0025243F" w:rsidP="0025243F" w:rsidRDefault="0025243F" w14:paraId="5C89C349" w14:textId="77777777">
      <w:pPr>
        <w:spacing w:after="0" w:line="360" w:lineRule="auto"/>
        <w:jc w:val="both"/>
        <w:rPr>
          <w:rFonts w:ascii="Verdana" w:hAnsi="Verdana"/>
          <w:sz w:val="24"/>
          <w:szCs w:val="24"/>
        </w:rPr>
      </w:pPr>
    </w:p>
    <w:p w:rsidRPr="0025243F" w:rsidR="0025243F" w:rsidP="0025243F" w:rsidRDefault="0025243F" w14:paraId="2C15AD33" w14:textId="77777777">
      <w:pPr>
        <w:spacing w:after="0" w:line="360" w:lineRule="auto"/>
        <w:jc w:val="both"/>
        <w:rPr>
          <w:rFonts w:ascii="Verdana" w:hAnsi="Verdana"/>
          <w:sz w:val="24"/>
          <w:szCs w:val="24"/>
        </w:rPr>
      </w:pPr>
      <w:r w:rsidRPr="0025243F">
        <w:rPr>
          <w:rFonts w:ascii="Verdana" w:hAnsi="Verdana"/>
          <w:sz w:val="24"/>
          <w:szCs w:val="24"/>
        </w:rPr>
        <w:t xml:space="preserve">Mantener y fortalecer el modelo de teletrabajo suplementario, garantizando su adecuada implementación, seguimiento y evaluación, en armonía con la normativa vigente y los acuerdos sindicales. </w:t>
      </w:r>
    </w:p>
    <w:p w:rsidRPr="0025243F" w:rsidR="0025243F" w:rsidP="0025243F" w:rsidRDefault="0025243F" w14:paraId="56A243A9" w14:textId="77777777">
      <w:pPr>
        <w:spacing w:after="0" w:line="360" w:lineRule="auto"/>
        <w:jc w:val="both"/>
        <w:rPr>
          <w:rFonts w:ascii="Verdana" w:hAnsi="Verdana"/>
          <w:sz w:val="24"/>
          <w:szCs w:val="24"/>
        </w:rPr>
      </w:pPr>
    </w:p>
    <w:p w:rsidRPr="0025243F" w:rsidR="0025243F" w:rsidP="0025243F" w:rsidRDefault="0025243F" w14:paraId="2A0A84D6" w14:textId="77777777">
      <w:pPr>
        <w:spacing w:after="0" w:line="360" w:lineRule="auto"/>
        <w:jc w:val="both"/>
        <w:rPr>
          <w:rFonts w:ascii="Verdana" w:hAnsi="Verdana"/>
          <w:sz w:val="24"/>
          <w:szCs w:val="24"/>
        </w:rPr>
      </w:pPr>
      <w:r w:rsidRPr="0025243F">
        <w:rPr>
          <w:rFonts w:ascii="Verdana" w:hAnsi="Verdana"/>
          <w:sz w:val="24"/>
          <w:szCs w:val="24"/>
        </w:rPr>
        <w:t xml:space="preserve">Dar continuidad a las políticas de seguridad y salud en el trabajo, bienestar laboral, salud mental, prevención del acoso laboral, desconexión laboral y promoción de entornos de trabajo seguros y saludables. </w:t>
      </w:r>
    </w:p>
    <w:p w:rsidRPr="0025243F" w:rsidR="0025243F" w:rsidP="0025243F" w:rsidRDefault="0025243F" w14:paraId="7096C26E" w14:textId="77777777">
      <w:pPr>
        <w:spacing w:after="0" w:line="360" w:lineRule="auto"/>
        <w:jc w:val="both"/>
        <w:rPr>
          <w:rFonts w:ascii="Verdana" w:hAnsi="Verdana"/>
          <w:sz w:val="24"/>
          <w:szCs w:val="24"/>
        </w:rPr>
      </w:pPr>
    </w:p>
    <w:p w:rsidRPr="0025243F" w:rsidR="0025243F" w:rsidP="0025243F" w:rsidRDefault="0025243F" w14:paraId="62ADFB1B" w14:textId="77777777">
      <w:pPr>
        <w:spacing w:after="0" w:line="360" w:lineRule="auto"/>
        <w:jc w:val="both"/>
        <w:rPr>
          <w:rFonts w:ascii="Verdana" w:hAnsi="Verdana"/>
          <w:sz w:val="24"/>
          <w:szCs w:val="24"/>
        </w:rPr>
      </w:pPr>
      <w:r w:rsidRPr="0025243F">
        <w:rPr>
          <w:rFonts w:ascii="Verdana" w:hAnsi="Verdana"/>
          <w:sz w:val="24"/>
          <w:szCs w:val="24"/>
        </w:rPr>
        <w:t xml:space="preserve">Preservar los espacios de diálogo social y negociación colectiva, garantizando el cumplimiento de los acuerdos sindicales y el ejercicio efectivo de los derechos de asociación y representación sindical. </w:t>
      </w:r>
    </w:p>
    <w:p w:rsidRPr="0025243F" w:rsidR="0025243F" w:rsidP="0025243F" w:rsidRDefault="0025243F" w14:paraId="47873278" w14:textId="77777777">
      <w:pPr>
        <w:spacing w:after="0" w:line="360" w:lineRule="auto"/>
        <w:jc w:val="both"/>
        <w:rPr>
          <w:rFonts w:ascii="Verdana" w:hAnsi="Verdana"/>
          <w:sz w:val="24"/>
          <w:szCs w:val="24"/>
        </w:rPr>
      </w:pPr>
    </w:p>
    <w:p w:rsidRPr="0025243F" w:rsidR="0025243F" w:rsidP="0025243F" w:rsidRDefault="0025243F" w14:paraId="28A80282" w14:textId="77777777">
      <w:pPr>
        <w:spacing w:after="0" w:line="360" w:lineRule="auto"/>
        <w:jc w:val="both"/>
        <w:rPr>
          <w:rFonts w:ascii="Verdana" w:hAnsi="Verdana"/>
          <w:sz w:val="24"/>
          <w:szCs w:val="24"/>
        </w:rPr>
      </w:pPr>
      <w:r w:rsidRPr="0025243F">
        <w:rPr>
          <w:rFonts w:ascii="Verdana" w:hAnsi="Verdana"/>
          <w:sz w:val="24"/>
          <w:szCs w:val="24"/>
        </w:rPr>
        <w:t xml:space="preserve">Mantener los niveles de desempeño institucional alcanzados durante el periodo 2022-2026, mediante el fortalecimiento de la gestión del talento humano y la mejora continua de los procesos institucionales. </w:t>
      </w:r>
    </w:p>
    <w:p w:rsidRPr="0025243F" w:rsidR="0025243F" w:rsidP="0025243F" w:rsidRDefault="0025243F" w14:paraId="5074F1B1" w14:textId="77777777">
      <w:pPr>
        <w:spacing w:after="0" w:line="360" w:lineRule="auto"/>
        <w:jc w:val="both"/>
        <w:rPr>
          <w:rFonts w:ascii="Verdana" w:hAnsi="Verdana"/>
          <w:sz w:val="24"/>
          <w:szCs w:val="24"/>
        </w:rPr>
      </w:pPr>
    </w:p>
    <w:p w:rsidRPr="0025243F" w:rsidR="0025243F" w:rsidP="0025243F" w:rsidRDefault="0025243F" w14:paraId="3169038B" w14:textId="77777777">
      <w:pPr>
        <w:spacing w:after="0" w:line="360" w:lineRule="auto"/>
        <w:jc w:val="both"/>
        <w:rPr>
          <w:rFonts w:ascii="Verdana" w:hAnsi="Verdana"/>
          <w:sz w:val="24"/>
          <w:szCs w:val="24"/>
        </w:rPr>
      </w:pPr>
      <w:r w:rsidRPr="0025243F">
        <w:rPr>
          <w:rFonts w:ascii="Verdana" w:hAnsi="Verdana"/>
          <w:sz w:val="24"/>
          <w:szCs w:val="24"/>
        </w:rPr>
        <w:t xml:space="preserve">Al cierre del cuatrienio 2022–2026, el Ministerio consolidó la gestión de las TIC como un eje estratégico para la modernización institucional y la transformación digital del sector minero-energético. A través del proyecto de inversión GTICS se fortalecieron las capacidades tecnológicas, de datos y ciberseguridad, destacándose la consolidación de la arquitectura empresarial, la implementación de INTÉGRAME e IDE-ME, la puesta en </w:t>
      </w:r>
      <w:r w:rsidRPr="0025243F">
        <w:rPr>
          <w:rFonts w:ascii="Verdana" w:hAnsi="Verdana"/>
          <w:sz w:val="24"/>
          <w:szCs w:val="24"/>
        </w:rPr>
        <w:t xml:space="preserve">operación del Centro de Monitoreo Sectorial y del CSIRT, y el avance de la Ventanilla Única de Trámites. Estos resultados dejan una base sólida para la ejecución del PETI Institucional y Sectorial 2025–2028 y el cierre de brechas en transformación digital. </w:t>
      </w:r>
    </w:p>
    <w:p w:rsidRPr="0025243F" w:rsidR="0025243F" w:rsidP="0025243F" w:rsidRDefault="0025243F" w14:paraId="24B9C915" w14:textId="77777777">
      <w:pPr>
        <w:spacing w:after="0" w:line="360" w:lineRule="auto"/>
        <w:jc w:val="both"/>
        <w:rPr>
          <w:rFonts w:ascii="Verdana" w:hAnsi="Verdana"/>
          <w:sz w:val="24"/>
          <w:szCs w:val="24"/>
        </w:rPr>
      </w:pPr>
    </w:p>
    <w:p w:rsidRPr="0025243F" w:rsidR="0025243F" w:rsidP="0025243F" w:rsidRDefault="0025243F" w14:paraId="0663FF74" w14:textId="77777777">
      <w:pPr>
        <w:spacing w:after="0" w:line="360" w:lineRule="auto"/>
        <w:jc w:val="both"/>
        <w:rPr>
          <w:rFonts w:ascii="Verdana" w:hAnsi="Verdana"/>
          <w:sz w:val="24"/>
          <w:szCs w:val="24"/>
        </w:rPr>
      </w:pPr>
      <w:r w:rsidRPr="0025243F">
        <w:rPr>
          <w:rFonts w:ascii="Verdana" w:hAnsi="Verdana"/>
          <w:sz w:val="24"/>
          <w:szCs w:val="24"/>
        </w:rPr>
        <w:t xml:space="preserve">Se modernizaron los canales y herramientas digitales del Ministerio mediante el fortalecimiento de la estrategia de omnicanalidad YACO, la puesta en marcha del chatbot de WhatsApp con más de 8.700 interacciones ciudadanas, la implementación del SGDEA–ARGO con un cumplimiento cercano al 90 % de los requisitos MOREQ, el desarrollo de más de 90 funcionalidades en la herramienta de gestión documental y el fortalecimiento de la mesa de ayuda y los procesos de capacitación para usuarios internos. </w:t>
      </w:r>
    </w:p>
    <w:p w:rsidRPr="0025243F" w:rsidR="0025243F" w:rsidP="0025243F" w:rsidRDefault="0025243F" w14:paraId="454BA9EE" w14:textId="77777777">
      <w:pPr>
        <w:spacing w:after="0" w:line="360" w:lineRule="auto"/>
        <w:jc w:val="both"/>
        <w:rPr>
          <w:rFonts w:ascii="Verdana" w:hAnsi="Verdana"/>
          <w:sz w:val="24"/>
          <w:szCs w:val="24"/>
        </w:rPr>
      </w:pPr>
    </w:p>
    <w:p w:rsidRPr="0025243F" w:rsidR="0025243F" w:rsidP="0025243F" w:rsidRDefault="0025243F" w14:paraId="02C2F06C" w14:textId="77777777">
      <w:pPr>
        <w:spacing w:after="0" w:line="360" w:lineRule="auto"/>
        <w:jc w:val="both"/>
        <w:rPr>
          <w:rFonts w:ascii="Verdana" w:hAnsi="Verdana"/>
          <w:sz w:val="24"/>
          <w:szCs w:val="24"/>
        </w:rPr>
      </w:pPr>
      <w:r w:rsidRPr="0025243F">
        <w:rPr>
          <w:rFonts w:ascii="Verdana" w:hAnsi="Verdana"/>
          <w:sz w:val="24"/>
          <w:szCs w:val="24"/>
        </w:rPr>
        <w:t xml:space="preserve">Se fortaleció el servicio al ciudadano mediante el incremento del índice de satisfacción ciudadana al 81,39%, la mejora de los procesos de seguimiento y control de las PQRSD, la actualización de los instrumentos de gestión documental y transparencia, y la implementación de planes de mejora institucional en articulación con las diferentes dependencias. </w:t>
      </w:r>
    </w:p>
    <w:p w:rsidRPr="0025243F" w:rsidR="0025243F" w:rsidP="0025243F" w:rsidRDefault="0025243F" w14:paraId="0B8E145D" w14:textId="77777777">
      <w:pPr>
        <w:spacing w:after="0" w:line="360" w:lineRule="auto"/>
        <w:jc w:val="both"/>
        <w:rPr>
          <w:rFonts w:ascii="Verdana" w:hAnsi="Verdana"/>
          <w:sz w:val="24"/>
          <w:szCs w:val="24"/>
        </w:rPr>
      </w:pPr>
    </w:p>
    <w:p w:rsidRPr="0025243F" w:rsidR="0025243F" w:rsidP="0025243F" w:rsidRDefault="0025243F" w14:paraId="64AFDEF2" w14:textId="77777777">
      <w:pPr>
        <w:spacing w:after="0" w:line="360" w:lineRule="auto"/>
        <w:jc w:val="both"/>
        <w:rPr>
          <w:rFonts w:ascii="Verdana" w:hAnsi="Verdana"/>
          <w:sz w:val="24"/>
          <w:szCs w:val="24"/>
        </w:rPr>
      </w:pPr>
      <w:r w:rsidRPr="0025243F">
        <w:rPr>
          <w:rFonts w:ascii="Verdana" w:hAnsi="Verdana"/>
          <w:sz w:val="24"/>
          <w:szCs w:val="24"/>
        </w:rPr>
        <w:t xml:space="preserve">Se fortalecieron los mecanismos de participación ciudadana y control social mediante la realización de 726 espacios de diálogo con más de 89.000 participantes, la consolidación de procesos de acompañamiento territorial, la activación de instancias sectoriales de rendición de cuentas y servicio al ciudadano, y la implementación de ejercicios de rendición de cuentas con enfoque territorial. </w:t>
      </w:r>
    </w:p>
    <w:p w:rsidRPr="0025243F" w:rsidR="0025243F" w:rsidP="0025243F" w:rsidRDefault="0025243F" w14:paraId="4A08CC5C" w14:textId="77777777">
      <w:pPr>
        <w:spacing w:after="0" w:line="360" w:lineRule="auto"/>
        <w:jc w:val="both"/>
        <w:rPr>
          <w:rFonts w:ascii="Verdana" w:hAnsi="Verdana"/>
          <w:sz w:val="24"/>
          <w:szCs w:val="24"/>
        </w:rPr>
      </w:pPr>
    </w:p>
    <w:p w:rsidRPr="00C140A0" w:rsidR="00A82055" w:rsidP="0025243F" w:rsidRDefault="0025243F" w14:paraId="47D91016" w14:textId="4E94C9E6">
      <w:pPr>
        <w:spacing w:after="0" w:line="360" w:lineRule="auto"/>
        <w:jc w:val="both"/>
        <w:rPr>
          <w:rFonts w:ascii="Verdana" w:hAnsi="Verdana"/>
          <w:sz w:val="24"/>
          <w:szCs w:val="24"/>
        </w:rPr>
      </w:pPr>
      <w:r w:rsidRPr="0025243F">
        <w:rPr>
          <w:rFonts w:ascii="Verdana" w:hAnsi="Verdana"/>
          <w:sz w:val="24"/>
          <w:szCs w:val="24"/>
        </w:rPr>
        <w:t xml:space="preserve">Se promovió la inclusión y el enfoque diferencial mediante la implementación de acciones de accesibilidad para personas con discapacidad, el desarrollo de estrategias de comunicación en lenguaje </w:t>
      </w:r>
      <w:r w:rsidRPr="0025243F">
        <w:rPr>
          <w:rFonts w:ascii="Verdana" w:hAnsi="Verdana"/>
          <w:sz w:val="24"/>
          <w:szCs w:val="24"/>
        </w:rPr>
        <w:t>claro, la participación en la formulación de la política de participación ciudadana y democrática, y los aportes a la construcción de la política de género del sector minero-energético.</w:t>
      </w:r>
    </w:p>
    <w:p w:rsidRPr="00C140A0" w:rsidR="00A82055" w:rsidP="0025243F" w:rsidRDefault="00A82055" w14:paraId="6D4AFAA0" w14:textId="77777777">
      <w:pPr>
        <w:spacing w:after="0" w:line="360" w:lineRule="auto"/>
        <w:jc w:val="both"/>
        <w:rPr>
          <w:rFonts w:ascii="Verdana" w:hAnsi="Verdana"/>
          <w:sz w:val="24"/>
          <w:szCs w:val="24"/>
        </w:rPr>
      </w:pPr>
    </w:p>
    <w:p w:rsidRPr="0025243F" w:rsidR="0025243F" w:rsidRDefault="0025243F" w14:paraId="3AC90D77" w14:textId="465EA5B8">
      <w:pPr>
        <w:pStyle w:val="Prrafodelista"/>
        <w:numPr>
          <w:ilvl w:val="1"/>
          <w:numId w:val="95"/>
        </w:numPr>
        <w:spacing w:after="0" w:line="360" w:lineRule="auto"/>
        <w:jc w:val="both"/>
        <w:outlineLvl w:val="1"/>
        <w:rPr>
          <w:rFonts w:ascii="Verdana" w:hAnsi="Verdana"/>
          <w:b/>
          <w:bCs/>
          <w:sz w:val="24"/>
          <w:szCs w:val="24"/>
        </w:rPr>
      </w:pPr>
      <w:bookmarkStart w:name="_Toc233996779" w:id="62"/>
      <w:r w:rsidRPr="0025243F">
        <w:rPr>
          <w:rFonts w:ascii="Verdana" w:hAnsi="Verdana"/>
          <w:b/>
          <w:bCs/>
          <w:sz w:val="24"/>
          <w:szCs w:val="24"/>
        </w:rPr>
        <w:t>Canales y medios de contacto - Telefónico, presencial, agendamiento web, Correo Electrónico</w:t>
      </w:r>
      <w:bookmarkEnd w:id="62"/>
      <w:r w:rsidRPr="0025243F">
        <w:rPr>
          <w:rFonts w:ascii="Verdana" w:hAnsi="Verdana"/>
          <w:b/>
          <w:bCs/>
          <w:sz w:val="24"/>
          <w:szCs w:val="24"/>
        </w:rPr>
        <w:t> </w:t>
      </w:r>
    </w:p>
    <w:p w:rsidRPr="0025243F" w:rsidR="0025243F" w:rsidP="0025243F" w:rsidRDefault="0025243F" w14:paraId="4E166034" w14:textId="77777777">
      <w:pPr>
        <w:spacing w:after="0" w:line="360" w:lineRule="auto"/>
        <w:jc w:val="both"/>
        <w:rPr>
          <w:rFonts w:ascii="Verdana" w:hAnsi="Verdana"/>
          <w:sz w:val="24"/>
          <w:szCs w:val="24"/>
        </w:rPr>
      </w:pPr>
      <w:r w:rsidRPr="0025243F">
        <w:rPr>
          <w:rFonts w:ascii="Verdana" w:hAnsi="Verdana"/>
          <w:sz w:val="24"/>
          <w:szCs w:val="24"/>
        </w:rPr>
        <w:t> </w:t>
      </w:r>
    </w:p>
    <w:p w:rsidR="0025243F" w:rsidP="0025243F" w:rsidRDefault="0025243F" w14:paraId="4B7579CA" w14:textId="77777777">
      <w:pPr>
        <w:spacing w:after="0" w:line="360" w:lineRule="auto"/>
        <w:jc w:val="both"/>
        <w:rPr>
          <w:rFonts w:ascii="Verdana" w:hAnsi="Verdana"/>
          <w:sz w:val="24"/>
          <w:szCs w:val="24"/>
        </w:rPr>
      </w:pPr>
      <w:r w:rsidRPr="0025243F">
        <w:rPr>
          <w:rFonts w:ascii="Verdana" w:hAnsi="Verdana"/>
          <w:sz w:val="24"/>
          <w:szCs w:val="24"/>
        </w:rPr>
        <w:t>Los funcionarios y colaboradores del Ministerio de Minas y Energía están comprometidos con recibir y gestionar cada una de sus solicitudes eﬁcientemente, para dar una respuesta de calidad, oportuna y amable a través de los siguientes canales de atención: </w:t>
      </w:r>
    </w:p>
    <w:p w:rsidRPr="0025243F" w:rsidR="0025243F" w:rsidP="0025243F" w:rsidRDefault="0025243F" w14:paraId="3CE46890" w14:textId="77777777">
      <w:pPr>
        <w:spacing w:after="0" w:line="360" w:lineRule="auto"/>
        <w:jc w:val="both"/>
        <w:rPr>
          <w:rFonts w:ascii="Verdana" w:hAnsi="Verdana"/>
          <w:sz w:val="24"/>
          <w:szCs w:val="24"/>
        </w:rPr>
      </w:pPr>
    </w:p>
    <w:p w:rsidR="0025243F" w:rsidP="0025243F" w:rsidRDefault="0025243F" w14:paraId="74CE1E7C" w14:textId="6B29C959">
      <w:pPr>
        <w:spacing w:after="0" w:line="360" w:lineRule="auto"/>
        <w:jc w:val="both"/>
        <w:rPr>
          <w:rFonts w:ascii="Verdana" w:hAnsi="Verdana"/>
          <w:sz w:val="24"/>
          <w:szCs w:val="24"/>
        </w:rPr>
      </w:pPr>
      <w:r w:rsidRPr="0025243F">
        <w:rPr>
          <w:rFonts w:ascii="Verdana" w:hAnsi="Verdana"/>
          <w:noProof/>
          <w:sz w:val="24"/>
          <w:szCs w:val="24"/>
        </w:rPr>
        <w:drawing>
          <wp:inline distT="0" distB="0" distL="0" distR="0" wp14:anchorId="39593572" wp14:editId="41F4E609">
            <wp:extent cx="476250" cy="476250"/>
            <wp:effectExtent l="0" t="0" r="0" b="0"/>
            <wp:docPr id="238273188" name="Imagen 113" descr="Persona comiendo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Persona comiendo con relleno sólido"/>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76250" cy="476250"/>
                    </a:xfrm>
                    <a:prstGeom prst="rect">
                      <a:avLst/>
                    </a:prstGeom>
                    <a:noFill/>
                    <a:ln>
                      <a:noFill/>
                    </a:ln>
                  </pic:spPr>
                </pic:pic>
              </a:graphicData>
            </a:graphic>
          </wp:inline>
        </w:drawing>
      </w:r>
      <w:r w:rsidRPr="0025243F">
        <w:rPr>
          <w:rFonts w:ascii="Verdana" w:hAnsi="Verdana"/>
          <w:b/>
          <w:bCs/>
          <w:sz w:val="24"/>
          <w:szCs w:val="24"/>
        </w:rPr>
        <w:t>Canal presencial</w:t>
      </w:r>
      <w:r w:rsidRPr="0025243F">
        <w:rPr>
          <w:rFonts w:ascii="Verdana" w:hAnsi="Verdana"/>
          <w:sz w:val="24"/>
          <w:szCs w:val="24"/>
        </w:rPr>
        <w:t> </w:t>
      </w:r>
    </w:p>
    <w:p w:rsidRPr="0025243F" w:rsidR="0025243F" w:rsidP="0025243F" w:rsidRDefault="0025243F" w14:paraId="177FB073" w14:textId="77777777">
      <w:pPr>
        <w:spacing w:after="0" w:line="360" w:lineRule="auto"/>
        <w:jc w:val="both"/>
        <w:rPr>
          <w:rFonts w:ascii="Verdana" w:hAnsi="Verdana"/>
          <w:sz w:val="24"/>
          <w:szCs w:val="24"/>
        </w:rPr>
      </w:pPr>
    </w:p>
    <w:p w:rsidRPr="0025243F" w:rsidR="0025243F" w:rsidP="0025243F" w:rsidRDefault="0025243F" w14:paraId="22746EAA" w14:textId="77777777">
      <w:pPr>
        <w:spacing w:after="0" w:line="360" w:lineRule="auto"/>
        <w:jc w:val="both"/>
        <w:rPr>
          <w:rFonts w:ascii="Verdana" w:hAnsi="Verdana"/>
          <w:sz w:val="24"/>
          <w:szCs w:val="24"/>
        </w:rPr>
      </w:pPr>
      <w:r w:rsidRPr="0025243F">
        <w:rPr>
          <w:rFonts w:ascii="Verdana" w:hAnsi="Verdana"/>
          <w:sz w:val="24"/>
          <w:szCs w:val="24"/>
        </w:rPr>
        <w:t>Calle 43 # 57 - 31 Centro Administrativo Nacional CAN - Bogotá. De lunes a viernes de 7:00 a.m. a 4:00 p.m., jornada continua. </w:t>
      </w:r>
    </w:p>
    <w:p w:rsidRPr="0025243F" w:rsidR="0025243F" w:rsidP="0025243F" w:rsidRDefault="0025243F" w14:paraId="67C62DB9" w14:textId="77777777">
      <w:pPr>
        <w:spacing w:after="0" w:line="360" w:lineRule="auto"/>
        <w:jc w:val="both"/>
        <w:rPr>
          <w:rFonts w:ascii="Verdana" w:hAnsi="Verdana"/>
          <w:sz w:val="24"/>
          <w:szCs w:val="24"/>
        </w:rPr>
      </w:pPr>
      <w:r w:rsidRPr="0025243F">
        <w:rPr>
          <w:rFonts w:ascii="Verdana" w:hAnsi="Verdana"/>
          <w:sz w:val="24"/>
          <w:szCs w:val="24"/>
        </w:rPr>
        <w:t> </w:t>
      </w:r>
    </w:p>
    <w:p w:rsidR="0025243F" w:rsidP="0025243F" w:rsidRDefault="0025243F" w14:paraId="38D4F45D" w14:textId="77777777">
      <w:pPr>
        <w:spacing w:after="0" w:line="360" w:lineRule="auto"/>
        <w:jc w:val="both"/>
        <w:rPr>
          <w:rFonts w:ascii="Verdana" w:hAnsi="Verdana"/>
          <w:sz w:val="24"/>
          <w:szCs w:val="24"/>
        </w:rPr>
      </w:pPr>
      <w:r w:rsidRPr="0025243F">
        <w:rPr>
          <w:rFonts w:ascii="Verdana" w:hAnsi="Verdana"/>
          <w:sz w:val="24"/>
          <w:szCs w:val="24"/>
        </w:rPr>
        <w:t>La entidad brinda orientación e información de manera personal izada e inmediata a todos sus requerimientos, también ofrecen atención prioritaria en el caso que se requiera. </w:t>
      </w:r>
    </w:p>
    <w:p w:rsidRPr="0025243F" w:rsidR="0025243F" w:rsidP="0025243F" w:rsidRDefault="0025243F" w14:paraId="72C362B1" w14:textId="77777777">
      <w:pPr>
        <w:spacing w:after="0" w:line="360" w:lineRule="auto"/>
        <w:jc w:val="both"/>
        <w:rPr>
          <w:rFonts w:ascii="Verdana" w:hAnsi="Verdana"/>
          <w:sz w:val="24"/>
          <w:szCs w:val="24"/>
        </w:rPr>
      </w:pPr>
    </w:p>
    <w:p w:rsidR="0025243F" w:rsidP="0025243F" w:rsidRDefault="0025243F" w14:paraId="5CAF6BAD" w14:textId="63B696BD">
      <w:pPr>
        <w:spacing w:after="0" w:line="360" w:lineRule="auto"/>
        <w:jc w:val="both"/>
        <w:rPr>
          <w:rFonts w:ascii="Verdana" w:hAnsi="Verdana"/>
          <w:sz w:val="24"/>
          <w:szCs w:val="24"/>
        </w:rPr>
      </w:pPr>
      <w:r w:rsidRPr="0025243F">
        <w:rPr>
          <w:rFonts w:ascii="Verdana" w:hAnsi="Verdana"/>
          <w:noProof/>
          <w:sz w:val="24"/>
          <w:szCs w:val="24"/>
        </w:rPr>
        <w:drawing>
          <wp:inline distT="0" distB="0" distL="0" distR="0" wp14:anchorId="2E6434AD" wp14:editId="2D1A442F">
            <wp:extent cx="438150" cy="438150"/>
            <wp:effectExtent l="0" t="0" r="0" b="0"/>
            <wp:docPr id="898053122" name="Imagen 112" descr="Buzón de correo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Buzón de correo con relleno sólido"/>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r w:rsidRPr="0025243F">
        <w:rPr>
          <w:rFonts w:ascii="Verdana" w:hAnsi="Verdana"/>
          <w:b/>
          <w:bCs/>
          <w:sz w:val="24"/>
          <w:szCs w:val="24"/>
        </w:rPr>
        <w:t>Buzón de Integridad y Transparencia</w:t>
      </w:r>
      <w:r w:rsidRPr="0025243F">
        <w:rPr>
          <w:rFonts w:ascii="Verdana" w:hAnsi="Verdana"/>
          <w:sz w:val="24"/>
          <w:szCs w:val="24"/>
        </w:rPr>
        <w:t> </w:t>
      </w:r>
    </w:p>
    <w:p w:rsidRPr="0025243F" w:rsidR="0025243F" w:rsidP="0025243F" w:rsidRDefault="0025243F" w14:paraId="4C02AA90" w14:textId="77777777">
      <w:pPr>
        <w:spacing w:after="0" w:line="360" w:lineRule="auto"/>
        <w:jc w:val="both"/>
        <w:rPr>
          <w:rFonts w:ascii="Verdana" w:hAnsi="Verdana"/>
          <w:sz w:val="24"/>
          <w:szCs w:val="24"/>
        </w:rPr>
      </w:pPr>
    </w:p>
    <w:p w:rsidR="0025243F" w:rsidP="0025243F" w:rsidRDefault="0025243F" w14:paraId="50C2A829" w14:textId="77777777">
      <w:pPr>
        <w:spacing w:after="0" w:line="360" w:lineRule="auto"/>
        <w:jc w:val="both"/>
        <w:rPr>
          <w:rFonts w:ascii="Verdana" w:hAnsi="Verdana"/>
          <w:sz w:val="24"/>
          <w:szCs w:val="24"/>
        </w:rPr>
      </w:pPr>
      <w:r w:rsidRPr="0025243F">
        <w:rPr>
          <w:rFonts w:ascii="Verdana" w:hAnsi="Verdana"/>
          <w:sz w:val="24"/>
          <w:szCs w:val="24"/>
        </w:rPr>
        <w:t xml:space="preserve">Puede denunciar e informar los casos relacionados con posibles actos de corrupción, cobro de trámites gratuitos, conﬂictos de interés, impedimentos, recusaciones, y cualquier irregularidad o delito en la lineatransparente@minenergia.gov.co, al buzón telefónico </w:t>
      </w:r>
      <w:r w:rsidRPr="0025243F">
        <w:rPr>
          <w:rFonts w:ascii="Verdana" w:hAnsi="Verdana"/>
          <w:sz w:val="24"/>
          <w:szCs w:val="24"/>
        </w:rPr>
        <w:t>01 8000 128 522 o en la plataforma web transparencia.minenergia.gov.co. </w:t>
      </w:r>
    </w:p>
    <w:p w:rsidRPr="0025243F" w:rsidR="0025243F" w:rsidP="0025243F" w:rsidRDefault="0025243F" w14:paraId="0EB2F7A5" w14:textId="77777777">
      <w:pPr>
        <w:spacing w:after="0" w:line="360" w:lineRule="auto"/>
        <w:jc w:val="both"/>
        <w:rPr>
          <w:rFonts w:ascii="Verdana" w:hAnsi="Verdana"/>
          <w:sz w:val="24"/>
          <w:szCs w:val="24"/>
        </w:rPr>
      </w:pPr>
    </w:p>
    <w:p w:rsidR="0025243F" w:rsidP="0025243F" w:rsidRDefault="0025243F" w14:paraId="56B9FE57" w14:textId="0F533B7A">
      <w:pPr>
        <w:spacing w:after="0" w:line="360" w:lineRule="auto"/>
        <w:jc w:val="both"/>
        <w:rPr>
          <w:rFonts w:ascii="Verdana" w:hAnsi="Verdana"/>
          <w:sz w:val="24"/>
          <w:szCs w:val="24"/>
        </w:rPr>
      </w:pPr>
      <w:r w:rsidRPr="0025243F">
        <w:rPr>
          <w:rFonts w:ascii="Verdana" w:hAnsi="Verdana"/>
          <w:noProof/>
          <w:sz w:val="24"/>
          <w:szCs w:val="24"/>
        </w:rPr>
        <w:drawing>
          <wp:inline distT="0" distB="0" distL="0" distR="0" wp14:anchorId="554597A7" wp14:editId="690F699B">
            <wp:extent cx="438150" cy="438150"/>
            <wp:effectExtent l="0" t="0" r="0" b="0"/>
            <wp:docPr id="531866088" name="Imagen 111" descr="Altavoz de teléfono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Altavoz de teléfono con relleno sólido"/>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r w:rsidRPr="0025243F">
        <w:rPr>
          <w:rFonts w:ascii="Verdana" w:hAnsi="Verdana"/>
          <w:b/>
          <w:bCs/>
          <w:sz w:val="24"/>
          <w:szCs w:val="24"/>
        </w:rPr>
        <w:t>Canal telefónico</w:t>
      </w:r>
      <w:r w:rsidRPr="0025243F">
        <w:rPr>
          <w:rFonts w:ascii="Verdana" w:hAnsi="Verdana"/>
          <w:sz w:val="24"/>
          <w:szCs w:val="24"/>
        </w:rPr>
        <w:t> </w:t>
      </w:r>
    </w:p>
    <w:p w:rsidRPr="0025243F" w:rsidR="0025243F" w:rsidP="0025243F" w:rsidRDefault="0025243F" w14:paraId="7AB0F7CE" w14:textId="77777777">
      <w:pPr>
        <w:spacing w:after="0" w:line="360" w:lineRule="auto"/>
        <w:jc w:val="both"/>
        <w:rPr>
          <w:rFonts w:ascii="Verdana" w:hAnsi="Verdana"/>
          <w:sz w:val="24"/>
          <w:szCs w:val="24"/>
        </w:rPr>
      </w:pPr>
    </w:p>
    <w:p w:rsidRPr="0025243F" w:rsidR="0025243F" w:rsidP="0025243F" w:rsidRDefault="0025243F" w14:paraId="385F3A74" w14:textId="77777777">
      <w:pPr>
        <w:spacing w:after="0" w:line="360" w:lineRule="auto"/>
        <w:jc w:val="both"/>
        <w:rPr>
          <w:rFonts w:ascii="Verdana" w:hAnsi="Verdana"/>
          <w:sz w:val="24"/>
          <w:szCs w:val="24"/>
        </w:rPr>
      </w:pPr>
      <w:r w:rsidRPr="0025243F">
        <w:rPr>
          <w:rFonts w:ascii="Verdana" w:hAnsi="Verdana"/>
          <w:sz w:val="24"/>
          <w:szCs w:val="24"/>
        </w:rPr>
        <w:t>PBX en Bogotá +57 (1) 2 200 300. </w:t>
      </w:r>
    </w:p>
    <w:p w:rsidR="0025243F" w:rsidP="0025243F" w:rsidRDefault="0025243F" w14:paraId="38524EBB" w14:textId="77777777">
      <w:pPr>
        <w:spacing w:after="0" w:line="360" w:lineRule="auto"/>
        <w:jc w:val="both"/>
        <w:rPr>
          <w:rFonts w:ascii="Verdana" w:hAnsi="Verdana"/>
          <w:sz w:val="24"/>
          <w:szCs w:val="24"/>
        </w:rPr>
      </w:pPr>
      <w:r w:rsidRPr="0025243F">
        <w:rPr>
          <w:rFonts w:ascii="Verdana" w:hAnsi="Verdana"/>
          <w:sz w:val="24"/>
          <w:szCs w:val="24"/>
        </w:rPr>
        <w:t>De lunes a viernes de 7:00 a.m. a 5:00 p.m., jornada continua. </w:t>
      </w:r>
    </w:p>
    <w:p w:rsidRPr="0025243F" w:rsidR="0025243F" w:rsidP="0025243F" w:rsidRDefault="0025243F" w14:paraId="41CFB599" w14:textId="77777777">
      <w:pPr>
        <w:spacing w:after="0" w:line="360" w:lineRule="auto"/>
        <w:jc w:val="both"/>
        <w:rPr>
          <w:rFonts w:ascii="Verdana" w:hAnsi="Verdana"/>
          <w:sz w:val="24"/>
          <w:szCs w:val="24"/>
        </w:rPr>
      </w:pPr>
    </w:p>
    <w:p w:rsidR="0025243F" w:rsidP="0025243F" w:rsidRDefault="0025243F" w14:paraId="48A32690" w14:textId="6478F4A8">
      <w:pPr>
        <w:spacing w:after="0" w:line="360" w:lineRule="auto"/>
        <w:jc w:val="both"/>
        <w:rPr>
          <w:rFonts w:ascii="Verdana" w:hAnsi="Verdana"/>
          <w:sz w:val="24"/>
          <w:szCs w:val="24"/>
        </w:rPr>
      </w:pPr>
      <w:r w:rsidRPr="0025243F">
        <w:rPr>
          <w:rFonts w:ascii="Verdana" w:hAnsi="Verdana"/>
          <w:noProof/>
          <w:sz w:val="24"/>
          <w:szCs w:val="24"/>
        </w:rPr>
        <w:drawing>
          <wp:inline distT="0" distB="0" distL="0" distR="0" wp14:anchorId="69D7D475" wp14:editId="2CA8D826">
            <wp:extent cx="476250" cy="476250"/>
            <wp:effectExtent l="0" t="0" r="0" b="0"/>
            <wp:docPr id="883229401" name="Imagen 110" descr="Ico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Icono&#10;&#10;Descripción generada automáticamente"/>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76250" cy="476250"/>
                    </a:xfrm>
                    <a:prstGeom prst="rect">
                      <a:avLst/>
                    </a:prstGeom>
                    <a:noFill/>
                    <a:ln>
                      <a:noFill/>
                    </a:ln>
                  </pic:spPr>
                </pic:pic>
              </a:graphicData>
            </a:graphic>
          </wp:inline>
        </w:drawing>
      </w:r>
      <w:r w:rsidRPr="0025243F">
        <w:rPr>
          <w:rFonts w:ascii="Verdana" w:hAnsi="Verdana"/>
          <w:b/>
          <w:bCs/>
          <w:sz w:val="24"/>
          <w:szCs w:val="24"/>
        </w:rPr>
        <w:t>Canales virtuales</w:t>
      </w:r>
      <w:r w:rsidRPr="0025243F">
        <w:rPr>
          <w:rFonts w:ascii="Verdana" w:hAnsi="Verdana"/>
          <w:sz w:val="24"/>
          <w:szCs w:val="24"/>
        </w:rPr>
        <w:t> </w:t>
      </w:r>
    </w:p>
    <w:p w:rsidRPr="0025243F" w:rsidR="0025243F" w:rsidP="0025243F" w:rsidRDefault="0025243F" w14:paraId="6A2001A7" w14:textId="77777777">
      <w:pPr>
        <w:spacing w:after="0" w:line="360" w:lineRule="auto"/>
        <w:jc w:val="both"/>
        <w:rPr>
          <w:rFonts w:ascii="Verdana" w:hAnsi="Verdana"/>
          <w:sz w:val="24"/>
          <w:szCs w:val="24"/>
        </w:rPr>
      </w:pPr>
    </w:p>
    <w:p w:rsidRPr="0025243F" w:rsidR="0025243F" w:rsidP="0025243F" w:rsidRDefault="0025243F" w14:paraId="360B38DB" w14:textId="4F7D1922">
      <w:pPr>
        <w:spacing w:after="0" w:line="360" w:lineRule="auto"/>
        <w:jc w:val="both"/>
        <w:rPr>
          <w:rFonts w:ascii="Verdana" w:hAnsi="Verdana"/>
          <w:sz w:val="24"/>
          <w:szCs w:val="24"/>
        </w:rPr>
      </w:pPr>
      <w:r w:rsidRPr="0025243F">
        <w:rPr>
          <w:rFonts w:ascii="Verdana" w:hAnsi="Verdana"/>
          <w:noProof/>
          <w:sz w:val="24"/>
          <w:szCs w:val="24"/>
        </w:rPr>
        <w:drawing>
          <wp:inline distT="0" distB="0" distL="0" distR="0" wp14:anchorId="17FE70D6" wp14:editId="6D396FA6">
            <wp:extent cx="419100" cy="419100"/>
            <wp:effectExtent l="0" t="0" r="0" b="0"/>
            <wp:docPr id="1699043786" name="Imagen 109" descr="Icono, Flech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Icono, Flecha&#10;&#10;El contenido generado por IA puede ser incorrecto."/>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19100" cy="419100"/>
                    </a:xfrm>
                    <a:prstGeom prst="rect">
                      <a:avLst/>
                    </a:prstGeom>
                    <a:noFill/>
                    <a:ln>
                      <a:noFill/>
                    </a:ln>
                  </pic:spPr>
                </pic:pic>
              </a:graphicData>
            </a:graphic>
          </wp:inline>
        </w:drawing>
      </w:r>
      <w:r w:rsidRPr="0025243F">
        <w:rPr>
          <w:rFonts w:ascii="Verdana" w:hAnsi="Verdana"/>
          <w:b/>
          <w:bCs/>
          <w:sz w:val="24"/>
          <w:szCs w:val="24"/>
        </w:rPr>
        <w:t>Chatbot WhatsApp</w:t>
      </w:r>
      <w:r w:rsidRPr="0025243F">
        <w:rPr>
          <w:rFonts w:ascii="Verdana" w:hAnsi="Verdana"/>
          <w:sz w:val="24"/>
          <w:szCs w:val="24"/>
        </w:rPr>
        <w:t> </w:t>
      </w:r>
    </w:p>
    <w:p w:rsidRPr="0025243F" w:rsidR="0025243F" w:rsidP="0025243F" w:rsidRDefault="0025243F" w14:paraId="6790FB87" w14:textId="77777777">
      <w:pPr>
        <w:spacing w:after="0" w:line="360" w:lineRule="auto"/>
        <w:jc w:val="both"/>
        <w:rPr>
          <w:rFonts w:ascii="Verdana" w:hAnsi="Verdana"/>
          <w:sz w:val="24"/>
          <w:szCs w:val="24"/>
        </w:rPr>
      </w:pPr>
      <w:r w:rsidRPr="0025243F">
        <w:rPr>
          <w:rFonts w:ascii="Verdana" w:hAnsi="Verdana"/>
          <w:sz w:val="24"/>
          <w:szCs w:val="24"/>
        </w:rPr>
        <w:t> </w:t>
      </w:r>
    </w:p>
    <w:p w:rsidRPr="0025243F" w:rsidR="0025243F" w:rsidP="0025243F" w:rsidRDefault="0025243F" w14:paraId="400E5F4E" w14:textId="77777777">
      <w:pPr>
        <w:spacing w:after="0" w:line="360" w:lineRule="auto"/>
        <w:jc w:val="both"/>
        <w:rPr>
          <w:rFonts w:ascii="Verdana" w:hAnsi="Verdana"/>
          <w:sz w:val="24"/>
          <w:szCs w:val="24"/>
        </w:rPr>
      </w:pPr>
      <w:r w:rsidRPr="0025243F">
        <w:rPr>
          <w:rFonts w:ascii="Verdana" w:hAnsi="Verdana"/>
          <w:sz w:val="24"/>
          <w:szCs w:val="24"/>
        </w:rPr>
        <w:t>A través del asistente virtual INDY ubicado en la página web </w:t>
      </w:r>
      <w:hyperlink w:tgtFrame="_blank" w:history="1" r:id="rId86">
        <w:r w:rsidRPr="0025243F">
          <w:rPr>
            <w:rStyle w:val="Hipervnculo"/>
            <w:rFonts w:ascii="Verdana" w:hAnsi="Verdana"/>
            <w:sz w:val="24"/>
            <w:szCs w:val="24"/>
          </w:rPr>
          <w:t>www.minenergia.gov.co</w:t>
        </w:r>
      </w:hyperlink>
      <w:r w:rsidRPr="0025243F">
        <w:rPr>
          <w:rFonts w:ascii="Verdana" w:hAnsi="Verdana"/>
          <w:sz w:val="24"/>
          <w:szCs w:val="24"/>
        </w:rPr>
        <w:t> podrá ingresar al chatboot WhatsApp del Ministerio, donde de forma inmediata y las 24 horas resolverá sus preguntas frecuentes. </w:t>
      </w:r>
    </w:p>
    <w:p w:rsidRPr="0025243F" w:rsidR="0025243F" w:rsidP="0025243F" w:rsidRDefault="0025243F" w14:paraId="026B1772" w14:textId="77777777">
      <w:pPr>
        <w:spacing w:after="0" w:line="360" w:lineRule="auto"/>
        <w:jc w:val="both"/>
        <w:rPr>
          <w:rFonts w:ascii="Verdana" w:hAnsi="Verdana"/>
          <w:sz w:val="24"/>
          <w:szCs w:val="24"/>
        </w:rPr>
      </w:pPr>
      <w:r w:rsidRPr="0025243F">
        <w:rPr>
          <w:rFonts w:ascii="Verdana" w:hAnsi="Verdana"/>
          <w:sz w:val="24"/>
          <w:szCs w:val="24"/>
        </w:rPr>
        <w:t> </w:t>
      </w:r>
    </w:p>
    <w:p w:rsidR="0025243F" w:rsidP="0025243F" w:rsidRDefault="0025243F" w14:paraId="616F174D" w14:textId="464FEDB8">
      <w:pPr>
        <w:spacing w:after="0" w:line="360" w:lineRule="auto"/>
        <w:jc w:val="both"/>
        <w:rPr>
          <w:rFonts w:ascii="Verdana" w:hAnsi="Verdana"/>
          <w:sz w:val="24"/>
          <w:szCs w:val="24"/>
        </w:rPr>
      </w:pPr>
      <w:r w:rsidRPr="0025243F">
        <w:rPr>
          <w:rFonts w:ascii="Verdana" w:hAnsi="Verdana"/>
          <w:noProof/>
          <w:sz w:val="24"/>
          <w:szCs w:val="24"/>
        </w:rPr>
        <w:drawing>
          <wp:inline distT="0" distB="0" distL="0" distR="0" wp14:anchorId="173B7D8A" wp14:editId="2186AAB7">
            <wp:extent cx="533400" cy="523875"/>
            <wp:effectExtent l="0" t="0" r="0" b="0"/>
            <wp:docPr id="538175270" name="Imagen 108" descr="Internet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Internet con relleno sólido"/>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33400" cy="523875"/>
                    </a:xfrm>
                    <a:prstGeom prst="rect">
                      <a:avLst/>
                    </a:prstGeom>
                    <a:noFill/>
                    <a:ln>
                      <a:noFill/>
                    </a:ln>
                  </pic:spPr>
                </pic:pic>
              </a:graphicData>
            </a:graphic>
          </wp:inline>
        </w:drawing>
      </w:r>
      <w:r w:rsidRPr="0025243F">
        <w:rPr>
          <w:rFonts w:ascii="Verdana" w:hAnsi="Verdana"/>
          <w:b/>
          <w:bCs/>
          <w:sz w:val="24"/>
          <w:szCs w:val="24"/>
        </w:rPr>
        <w:t>Video llamada</w:t>
      </w:r>
      <w:r w:rsidRPr="0025243F">
        <w:rPr>
          <w:rFonts w:ascii="Verdana" w:hAnsi="Verdana"/>
          <w:sz w:val="24"/>
          <w:szCs w:val="24"/>
        </w:rPr>
        <w:t> </w:t>
      </w:r>
    </w:p>
    <w:p w:rsidRPr="0025243F" w:rsidR="0025243F" w:rsidP="0025243F" w:rsidRDefault="0025243F" w14:paraId="5622EB7E" w14:textId="77777777">
      <w:pPr>
        <w:spacing w:after="0" w:line="360" w:lineRule="auto"/>
        <w:jc w:val="both"/>
        <w:rPr>
          <w:rFonts w:ascii="Verdana" w:hAnsi="Verdana"/>
          <w:sz w:val="24"/>
          <w:szCs w:val="24"/>
        </w:rPr>
      </w:pPr>
    </w:p>
    <w:p w:rsidRPr="0025243F" w:rsidR="0025243F" w:rsidP="0025243F" w:rsidRDefault="0025243F" w14:paraId="7DDDC93A" w14:textId="77777777">
      <w:pPr>
        <w:spacing w:after="0" w:line="360" w:lineRule="auto"/>
        <w:jc w:val="both"/>
        <w:rPr>
          <w:rFonts w:ascii="Verdana" w:hAnsi="Verdana"/>
          <w:sz w:val="24"/>
          <w:szCs w:val="24"/>
        </w:rPr>
      </w:pPr>
      <w:r w:rsidRPr="0025243F">
        <w:rPr>
          <w:rFonts w:ascii="Verdana" w:hAnsi="Verdana"/>
          <w:sz w:val="24"/>
          <w:szCs w:val="24"/>
        </w:rPr>
        <w:t>A través del asistente virtual INDY ubicado en la página web </w:t>
      </w:r>
      <w:hyperlink w:tgtFrame="_blank" w:history="1" r:id="rId88">
        <w:r w:rsidRPr="0025243F">
          <w:rPr>
            <w:rStyle w:val="Hipervnculo"/>
            <w:rFonts w:ascii="Verdana" w:hAnsi="Verdana"/>
            <w:sz w:val="24"/>
            <w:szCs w:val="24"/>
          </w:rPr>
          <w:t>www.minenergia.gov.co</w:t>
        </w:r>
      </w:hyperlink>
      <w:r w:rsidRPr="0025243F">
        <w:rPr>
          <w:rFonts w:ascii="Verdana" w:hAnsi="Verdana"/>
          <w:sz w:val="24"/>
          <w:szCs w:val="24"/>
        </w:rPr>
        <w:t> usted podrá establecer contacto por video llamada con un asesor, quien le brindará asistencia personalizada en tiempo real para resolver sus dudas o gestionar trámites relacionados con el Ministerio de Minas y Energía. Horario de atención de lunes a viernes de 7:00 a.m. a 4:00 p.m., jornada continua. </w:t>
      </w:r>
    </w:p>
    <w:p w:rsidRPr="0025243F" w:rsidR="0025243F" w:rsidP="0025243F" w:rsidRDefault="0025243F" w14:paraId="407DA843" w14:textId="77777777">
      <w:pPr>
        <w:spacing w:after="0" w:line="360" w:lineRule="auto"/>
        <w:jc w:val="both"/>
        <w:rPr>
          <w:rFonts w:ascii="Verdana" w:hAnsi="Verdana"/>
          <w:sz w:val="24"/>
          <w:szCs w:val="24"/>
        </w:rPr>
      </w:pPr>
      <w:r w:rsidRPr="0025243F">
        <w:rPr>
          <w:rFonts w:ascii="Verdana" w:hAnsi="Verdana"/>
          <w:sz w:val="24"/>
          <w:szCs w:val="24"/>
        </w:rPr>
        <w:t> </w:t>
      </w:r>
    </w:p>
    <w:p w:rsidR="0025243F" w:rsidP="0025243F" w:rsidRDefault="0025243F" w14:paraId="2FACE549" w14:textId="3688A5EC">
      <w:pPr>
        <w:spacing w:after="0" w:line="360" w:lineRule="auto"/>
        <w:jc w:val="both"/>
        <w:rPr>
          <w:rFonts w:ascii="Verdana" w:hAnsi="Verdana"/>
          <w:sz w:val="24"/>
          <w:szCs w:val="24"/>
        </w:rPr>
      </w:pPr>
      <w:r w:rsidRPr="0025243F">
        <w:rPr>
          <w:rFonts w:ascii="Verdana" w:hAnsi="Verdana"/>
          <w:noProof/>
          <w:sz w:val="24"/>
          <w:szCs w:val="24"/>
        </w:rPr>
        <w:drawing>
          <wp:inline distT="0" distB="0" distL="0" distR="0" wp14:anchorId="604BC8A9" wp14:editId="10CD7EDD">
            <wp:extent cx="495300" cy="495300"/>
            <wp:effectExtent l="0" t="0" r="0" b="0"/>
            <wp:docPr id="1362787081" name="Imagen 107" descr="Centro de llamadas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Centro de llamadas con relleno sólido"/>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95300" cy="495300"/>
                    </a:xfrm>
                    <a:prstGeom prst="rect">
                      <a:avLst/>
                    </a:prstGeom>
                    <a:noFill/>
                    <a:ln>
                      <a:noFill/>
                    </a:ln>
                  </pic:spPr>
                </pic:pic>
              </a:graphicData>
            </a:graphic>
          </wp:inline>
        </w:drawing>
      </w:r>
      <w:r w:rsidRPr="0025243F">
        <w:rPr>
          <w:rFonts w:ascii="Verdana" w:hAnsi="Verdana"/>
          <w:b/>
          <w:bCs/>
          <w:sz w:val="24"/>
          <w:szCs w:val="24"/>
        </w:rPr>
        <w:t>Llamada Virtual</w:t>
      </w:r>
      <w:r w:rsidRPr="0025243F">
        <w:rPr>
          <w:rFonts w:ascii="Verdana" w:hAnsi="Verdana"/>
          <w:sz w:val="24"/>
          <w:szCs w:val="24"/>
        </w:rPr>
        <w:t> </w:t>
      </w:r>
    </w:p>
    <w:p w:rsidRPr="0025243F" w:rsidR="0025243F" w:rsidP="0025243F" w:rsidRDefault="0025243F" w14:paraId="4CB256DC" w14:textId="77777777">
      <w:pPr>
        <w:spacing w:after="0" w:line="360" w:lineRule="auto"/>
        <w:jc w:val="both"/>
        <w:rPr>
          <w:rFonts w:ascii="Verdana" w:hAnsi="Verdana"/>
          <w:sz w:val="24"/>
          <w:szCs w:val="24"/>
        </w:rPr>
      </w:pPr>
    </w:p>
    <w:p w:rsidRPr="0025243F" w:rsidR="0025243F" w:rsidP="0025243F" w:rsidRDefault="0025243F" w14:paraId="16E4FE49" w14:textId="77777777">
      <w:pPr>
        <w:spacing w:after="0" w:line="360" w:lineRule="auto"/>
        <w:jc w:val="both"/>
        <w:rPr>
          <w:rFonts w:ascii="Verdana" w:hAnsi="Verdana"/>
          <w:sz w:val="24"/>
          <w:szCs w:val="24"/>
        </w:rPr>
      </w:pPr>
      <w:r w:rsidRPr="0025243F">
        <w:rPr>
          <w:rFonts w:ascii="Verdana" w:hAnsi="Verdana"/>
          <w:sz w:val="24"/>
          <w:szCs w:val="24"/>
        </w:rPr>
        <w:t>A través del asistente virtual INDY ubicado en la página web </w:t>
      </w:r>
      <w:hyperlink w:tgtFrame="_blank" w:history="1" r:id="rId90">
        <w:r w:rsidRPr="0025243F">
          <w:rPr>
            <w:rStyle w:val="Hipervnculo"/>
            <w:rFonts w:ascii="Verdana" w:hAnsi="Verdana"/>
            <w:sz w:val="24"/>
            <w:szCs w:val="24"/>
          </w:rPr>
          <w:t>www.minenergia.gov.co</w:t>
        </w:r>
      </w:hyperlink>
      <w:r w:rsidRPr="0025243F">
        <w:rPr>
          <w:rFonts w:ascii="Verdana" w:hAnsi="Verdana"/>
          <w:sz w:val="24"/>
          <w:szCs w:val="24"/>
        </w:rPr>
        <w:t> usted podrá establecer contacto por llamada telefónica desde su computador con un asesor, quien le brindará asistencia personalizada en tiempo real para resolver sus dudas o gestionar trámites relacionados con el Ministerio de Minas y Energía. Horario de atención de lunes a viernes de 7:00 a.m. a 4:00 p.m., jornada continua. </w:t>
      </w:r>
    </w:p>
    <w:p w:rsidRPr="0025243F" w:rsidR="0025243F" w:rsidP="0025243F" w:rsidRDefault="0025243F" w14:paraId="69FBE50C" w14:textId="77777777">
      <w:pPr>
        <w:spacing w:after="0" w:line="360" w:lineRule="auto"/>
        <w:jc w:val="both"/>
        <w:rPr>
          <w:rFonts w:ascii="Verdana" w:hAnsi="Verdana"/>
          <w:sz w:val="24"/>
          <w:szCs w:val="24"/>
        </w:rPr>
      </w:pPr>
      <w:r w:rsidRPr="0025243F">
        <w:rPr>
          <w:rFonts w:ascii="Verdana" w:hAnsi="Verdana"/>
          <w:sz w:val="24"/>
          <w:szCs w:val="24"/>
        </w:rPr>
        <w:t> </w:t>
      </w:r>
    </w:p>
    <w:p w:rsidR="0025243F" w:rsidP="0025243F" w:rsidRDefault="0025243F" w14:paraId="7F8EF5D7" w14:textId="1EB97C46">
      <w:pPr>
        <w:spacing w:after="0" w:line="360" w:lineRule="auto"/>
        <w:jc w:val="both"/>
        <w:rPr>
          <w:rFonts w:ascii="Verdana" w:hAnsi="Verdana"/>
          <w:sz w:val="24"/>
          <w:szCs w:val="24"/>
        </w:rPr>
      </w:pPr>
      <w:r w:rsidRPr="0025243F">
        <w:rPr>
          <w:rFonts w:ascii="Verdana" w:hAnsi="Verdana"/>
          <w:noProof/>
          <w:sz w:val="24"/>
          <w:szCs w:val="24"/>
        </w:rPr>
        <w:drawing>
          <wp:inline distT="0" distB="0" distL="0" distR="0" wp14:anchorId="565DD7B5" wp14:editId="71E2A3F9">
            <wp:extent cx="419100" cy="419100"/>
            <wp:effectExtent l="0" t="0" r="0" b="0"/>
            <wp:docPr id="552405977" name="Imagen 106" descr="Reunión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Reunión con relleno sólido"/>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19100" cy="419100"/>
                    </a:xfrm>
                    <a:prstGeom prst="rect">
                      <a:avLst/>
                    </a:prstGeom>
                    <a:noFill/>
                    <a:ln>
                      <a:noFill/>
                    </a:ln>
                  </pic:spPr>
                </pic:pic>
              </a:graphicData>
            </a:graphic>
          </wp:inline>
        </w:drawing>
      </w:r>
      <w:r w:rsidRPr="0025243F">
        <w:rPr>
          <w:rFonts w:ascii="Verdana" w:hAnsi="Verdana"/>
          <w:b/>
          <w:bCs/>
          <w:sz w:val="24"/>
          <w:szCs w:val="24"/>
        </w:rPr>
        <w:t>Foros en Consulta</w:t>
      </w:r>
      <w:r w:rsidRPr="0025243F">
        <w:rPr>
          <w:rFonts w:ascii="Verdana" w:hAnsi="Verdana"/>
          <w:sz w:val="24"/>
          <w:szCs w:val="24"/>
        </w:rPr>
        <w:t> </w:t>
      </w:r>
    </w:p>
    <w:p w:rsidRPr="0025243F" w:rsidR="0025243F" w:rsidP="0025243F" w:rsidRDefault="0025243F" w14:paraId="54892FCD" w14:textId="77777777">
      <w:pPr>
        <w:spacing w:after="0" w:line="360" w:lineRule="auto"/>
        <w:jc w:val="both"/>
        <w:rPr>
          <w:rFonts w:ascii="Verdana" w:hAnsi="Verdana"/>
          <w:sz w:val="24"/>
          <w:szCs w:val="24"/>
        </w:rPr>
      </w:pPr>
    </w:p>
    <w:p w:rsidR="0025243F" w:rsidP="0025243F" w:rsidRDefault="0025243F" w14:paraId="2A7A3C4E" w14:textId="77777777">
      <w:pPr>
        <w:spacing w:after="0" w:line="360" w:lineRule="auto"/>
        <w:jc w:val="both"/>
        <w:rPr>
          <w:rFonts w:ascii="Verdana" w:hAnsi="Verdana"/>
          <w:sz w:val="24"/>
          <w:szCs w:val="24"/>
        </w:rPr>
      </w:pPr>
      <w:r w:rsidRPr="0025243F">
        <w:rPr>
          <w:rFonts w:ascii="Verdana" w:hAnsi="Verdana"/>
          <w:sz w:val="24"/>
          <w:szCs w:val="24"/>
        </w:rPr>
        <w:t>Los interesados en participar en la toma de decisiones, opinando o presentando sugerencias sobre proyectos de normas, reglamentos, planes o proyectos que expide la entidad, pueden consultar las convocatorias en: </w:t>
      </w:r>
      <w:hyperlink w:tgtFrame="_blank" w:history="1" r:id="rId92">
        <w:r w:rsidRPr="0025243F">
          <w:rPr>
            <w:rStyle w:val="Hipervnculo"/>
            <w:rFonts w:ascii="Verdana" w:hAnsi="Verdana"/>
            <w:sz w:val="24"/>
            <w:szCs w:val="24"/>
          </w:rPr>
          <w:t>https://www.minenergia.gov.co/es/servicio-al-ciudada- no/foros/</w:t>
        </w:r>
      </w:hyperlink>
      <w:r w:rsidRPr="0025243F">
        <w:rPr>
          <w:rFonts w:ascii="Verdana" w:hAnsi="Verdana"/>
          <w:sz w:val="24"/>
          <w:szCs w:val="24"/>
        </w:rPr>
        <w:t> </w:t>
      </w:r>
    </w:p>
    <w:p w:rsidRPr="0025243F" w:rsidR="0025243F" w:rsidP="0025243F" w:rsidRDefault="0025243F" w14:paraId="2D7717E7" w14:textId="77777777">
      <w:pPr>
        <w:spacing w:after="0" w:line="360" w:lineRule="auto"/>
        <w:jc w:val="both"/>
        <w:rPr>
          <w:rFonts w:ascii="Verdana" w:hAnsi="Verdana"/>
          <w:sz w:val="24"/>
          <w:szCs w:val="24"/>
        </w:rPr>
      </w:pPr>
    </w:p>
    <w:p w:rsidR="0025243F" w:rsidP="0025243F" w:rsidRDefault="0025243F" w14:paraId="2E685846" w14:textId="77777777">
      <w:pPr>
        <w:spacing w:after="0" w:line="360" w:lineRule="auto"/>
        <w:jc w:val="both"/>
        <w:rPr>
          <w:rFonts w:ascii="Verdana" w:hAnsi="Verdana"/>
          <w:sz w:val="24"/>
          <w:szCs w:val="24"/>
        </w:rPr>
      </w:pPr>
      <w:r w:rsidRPr="0025243F">
        <w:rPr>
          <w:rFonts w:ascii="Verdana" w:hAnsi="Verdana"/>
          <w:sz w:val="24"/>
          <w:szCs w:val="24"/>
        </w:rPr>
        <w:t>Si desea recibir información inmediata de los proyectos específicos de regulación que el Ministerio de Minas y Energía pretende expedir, puede inscribirse a través del correo </w:t>
      </w:r>
      <w:hyperlink w:tgtFrame="_blank" w:history="1" r:id="rId93">
        <w:r w:rsidRPr="0025243F">
          <w:rPr>
            <w:rStyle w:val="Hipervnculo"/>
            <w:rFonts w:ascii="Verdana" w:hAnsi="Verdana"/>
            <w:sz w:val="24"/>
            <w:szCs w:val="24"/>
          </w:rPr>
          <w:t>pciudadana@minenergia.gov.co, </w:t>
        </w:r>
      </w:hyperlink>
      <w:r w:rsidRPr="0025243F">
        <w:rPr>
          <w:rFonts w:ascii="Verdana" w:hAnsi="Verdana"/>
          <w:sz w:val="24"/>
          <w:szCs w:val="24"/>
        </w:rPr>
        <w:t>manifestando su interés de ser inscrito para tal ﬁn, o diligenciando el formulario de inscripción en la página web. </w:t>
      </w:r>
    </w:p>
    <w:p w:rsidRPr="0025243F" w:rsidR="0025243F" w:rsidP="0025243F" w:rsidRDefault="0025243F" w14:paraId="4DFE749D" w14:textId="77777777">
      <w:pPr>
        <w:spacing w:after="0" w:line="360" w:lineRule="auto"/>
        <w:jc w:val="both"/>
        <w:rPr>
          <w:rFonts w:ascii="Verdana" w:hAnsi="Verdana"/>
          <w:sz w:val="24"/>
          <w:szCs w:val="24"/>
        </w:rPr>
      </w:pPr>
    </w:p>
    <w:p w:rsidRPr="0025243F" w:rsidR="0025243F" w:rsidP="0025243F" w:rsidRDefault="0025243F" w14:paraId="740F4A65" w14:textId="77777777">
      <w:pPr>
        <w:spacing w:after="0" w:line="360" w:lineRule="auto"/>
        <w:jc w:val="both"/>
        <w:rPr>
          <w:rFonts w:ascii="Verdana" w:hAnsi="Verdana"/>
          <w:sz w:val="24"/>
          <w:szCs w:val="24"/>
        </w:rPr>
      </w:pPr>
      <w:r w:rsidRPr="0025243F">
        <w:rPr>
          <w:rFonts w:ascii="Verdana" w:hAnsi="Verdana"/>
          <w:sz w:val="24"/>
          <w:szCs w:val="24"/>
        </w:rPr>
        <w:t> </w:t>
      </w:r>
    </w:p>
    <w:p w:rsidRPr="0025243F" w:rsidR="0025243F" w:rsidP="0025243F" w:rsidRDefault="0025243F" w14:paraId="09A60426" w14:textId="77777777">
      <w:pPr>
        <w:spacing w:after="0" w:line="360" w:lineRule="auto"/>
        <w:jc w:val="both"/>
        <w:rPr>
          <w:rFonts w:ascii="Verdana" w:hAnsi="Verdana"/>
          <w:sz w:val="24"/>
          <w:szCs w:val="24"/>
        </w:rPr>
      </w:pPr>
      <w:r w:rsidRPr="0025243F">
        <w:rPr>
          <w:rFonts w:ascii="Verdana" w:hAnsi="Verdana"/>
          <w:sz w:val="24"/>
          <w:szCs w:val="24"/>
        </w:rPr>
        <w:t> </w:t>
      </w:r>
    </w:p>
    <w:p w:rsidRPr="0025243F" w:rsidR="0025243F" w:rsidP="0025243F" w:rsidRDefault="0025243F" w14:paraId="40F9D83B" w14:textId="689F8052">
      <w:pPr>
        <w:spacing w:after="0" w:line="360" w:lineRule="auto"/>
        <w:jc w:val="both"/>
        <w:rPr>
          <w:rFonts w:ascii="Verdana" w:hAnsi="Verdana"/>
          <w:sz w:val="24"/>
          <w:szCs w:val="24"/>
        </w:rPr>
      </w:pPr>
      <w:r w:rsidRPr="0025243F">
        <w:rPr>
          <w:rFonts w:ascii="Verdana" w:hAnsi="Verdana"/>
          <w:noProof/>
          <w:sz w:val="24"/>
          <w:szCs w:val="24"/>
        </w:rPr>
        <w:drawing>
          <wp:inline distT="0" distB="0" distL="0" distR="0" wp14:anchorId="69290C33" wp14:editId="5462AD4F">
            <wp:extent cx="361950" cy="361950"/>
            <wp:effectExtent l="0" t="0" r="0" b="0"/>
            <wp:docPr id="1334008625" name="Imagen 105" descr="Abrir sobre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Abrir sobre con relleno sólido"/>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r w:rsidRPr="0025243F">
        <w:rPr>
          <w:rFonts w:ascii="Verdana" w:hAnsi="Verdana"/>
          <w:b/>
          <w:bCs/>
          <w:sz w:val="24"/>
          <w:szCs w:val="24"/>
        </w:rPr>
        <w:t>PQRS (petición, queja, reclamo o solicitud de información)</w:t>
      </w:r>
      <w:r w:rsidRPr="0025243F">
        <w:rPr>
          <w:rFonts w:ascii="Verdana" w:hAnsi="Verdana"/>
          <w:sz w:val="24"/>
          <w:szCs w:val="24"/>
        </w:rPr>
        <w:t> </w:t>
      </w:r>
    </w:p>
    <w:p w:rsidRPr="0025243F" w:rsidR="0025243F" w:rsidP="0025243F" w:rsidRDefault="0025243F" w14:paraId="4BE932A3" w14:textId="77777777">
      <w:pPr>
        <w:spacing w:after="0" w:line="360" w:lineRule="auto"/>
        <w:jc w:val="both"/>
        <w:rPr>
          <w:rFonts w:ascii="Verdana" w:hAnsi="Verdana"/>
          <w:sz w:val="24"/>
          <w:szCs w:val="24"/>
        </w:rPr>
      </w:pPr>
      <w:r w:rsidRPr="0025243F">
        <w:rPr>
          <w:rFonts w:ascii="Verdana" w:hAnsi="Verdana"/>
          <w:sz w:val="24"/>
          <w:szCs w:val="24"/>
        </w:rPr>
        <w:t> </w:t>
      </w:r>
    </w:p>
    <w:p w:rsidRPr="0025243F" w:rsidR="0025243F" w:rsidP="0025243F" w:rsidRDefault="0025243F" w14:paraId="4C4883EF" w14:textId="0E74794A">
      <w:pPr>
        <w:spacing w:after="0" w:line="360" w:lineRule="auto"/>
        <w:jc w:val="both"/>
        <w:rPr>
          <w:rFonts w:ascii="Verdana" w:hAnsi="Verdana"/>
          <w:sz w:val="24"/>
          <w:szCs w:val="24"/>
        </w:rPr>
      </w:pPr>
      <w:r w:rsidRPr="0025243F">
        <w:rPr>
          <w:rFonts w:ascii="Verdana" w:hAnsi="Verdana"/>
          <w:sz w:val="24"/>
          <w:szCs w:val="24"/>
        </w:rPr>
        <w:t>Puede formular su petición, queja, reclamo o solicitud de información, en cualquiera de los canales mencionados anteriormente o enviando un correo electrónico a menergia@minenergia.gov.co o a través del</w:t>
      </w:r>
      <w:r>
        <w:rPr>
          <w:rFonts w:ascii="Verdana" w:hAnsi="Verdana"/>
          <w:sz w:val="24"/>
          <w:szCs w:val="24"/>
        </w:rPr>
        <w:t xml:space="preserve"> </w:t>
      </w:r>
      <w:r w:rsidRPr="0025243F">
        <w:rPr>
          <w:rFonts w:ascii="Verdana" w:hAnsi="Verdana"/>
          <w:sz w:val="24"/>
          <w:szCs w:val="24"/>
        </w:rPr>
        <w:t>siguiente enlace  </w:t>
      </w:r>
      <w:hyperlink w:tgtFrame="_blank" w:history="1" w:anchor="tema_1" r:id="rId95">
        <w:r w:rsidRPr="0025243F">
          <w:rPr>
            <w:rStyle w:val="Hipervnculo"/>
            <w:rFonts w:ascii="Verdana" w:hAnsi="Verdana"/>
            <w:sz w:val="24"/>
            <w:szCs w:val="24"/>
          </w:rPr>
          <w:t>https://argo.minenergia.gov.co/orfeo/formularioMinEnergia/#tema_1</w:t>
        </w:r>
      </w:hyperlink>
      <w:r w:rsidRPr="0025243F">
        <w:rPr>
          <w:rFonts w:ascii="Verdana" w:hAnsi="Verdana"/>
          <w:sz w:val="24"/>
          <w:szCs w:val="24"/>
        </w:rPr>
        <w:t> </w:t>
      </w:r>
    </w:p>
    <w:p w:rsidRPr="0025243F" w:rsidR="0025243F" w:rsidP="0025243F" w:rsidRDefault="0025243F" w14:paraId="62EEE350" w14:textId="17078F2B">
      <w:pPr>
        <w:spacing w:after="0" w:line="360" w:lineRule="auto"/>
        <w:jc w:val="both"/>
        <w:rPr>
          <w:rFonts w:ascii="Verdana" w:hAnsi="Verdana"/>
          <w:sz w:val="24"/>
          <w:szCs w:val="24"/>
        </w:rPr>
      </w:pPr>
      <w:r w:rsidRPr="0025243F">
        <w:rPr>
          <w:rFonts w:ascii="Verdana" w:hAnsi="Verdana"/>
          <w:sz w:val="24"/>
          <w:szCs w:val="24"/>
        </w:rPr>
        <w:t> </w:t>
      </w:r>
    </w:p>
    <w:p w:rsidRPr="0025243F" w:rsidR="0025243F" w:rsidP="0025243F" w:rsidRDefault="0025243F" w14:paraId="019353FA" w14:textId="77777777">
      <w:pPr>
        <w:spacing w:after="0" w:line="360" w:lineRule="auto"/>
        <w:jc w:val="both"/>
        <w:rPr>
          <w:rFonts w:ascii="Verdana" w:hAnsi="Verdana"/>
          <w:sz w:val="24"/>
          <w:szCs w:val="24"/>
        </w:rPr>
      </w:pPr>
      <w:r w:rsidRPr="0025243F">
        <w:rPr>
          <w:rFonts w:ascii="Verdana" w:hAnsi="Verdana"/>
          <w:b/>
          <w:bCs/>
          <w:sz w:val="24"/>
          <w:szCs w:val="24"/>
        </w:rPr>
        <w:t>Redes Sociales</w:t>
      </w:r>
      <w:r w:rsidRPr="0025243F">
        <w:rPr>
          <w:rFonts w:ascii="Verdana" w:hAnsi="Verdana"/>
          <w:sz w:val="24"/>
          <w:szCs w:val="24"/>
        </w:rPr>
        <w:t> </w:t>
      </w:r>
    </w:p>
    <w:p w:rsidRPr="0025243F" w:rsidR="0025243F" w:rsidP="0025243F" w:rsidRDefault="0025243F" w14:paraId="59A0C363" w14:textId="23FC7DA2">
      <w:pPr>
        <w:spacing w:after="0" w:line="360" w:lineRule="auto"/>
        <w:jc w:val="both"/>
        <w:rPr>
          <w:rFonts w:ascii="Verdana" w:hAnsi="Verdana"/>
          <w:sz w:val="24"/>
          <w:szCs w:val="24"/>
        </w:rPr>
      </w:pPr>
      <w:r w:rsidRPr="0025243F">
        <w:rPr>
          <w:rFonts w:ascii="Verdana" w:hAnsi="Verdana"/>
          <w:noProof/>
          <w:sz w:val="24"/>
          <w:szCs w:val="24"/>
        </w:rPr>
        <w:drawing>
          <wp:inline distT="0" distB="0" distL="0" distR="0" wp14:anchorId="66C5EB5F" wp14:editId="5A78030D">
            <wp:extent cx="285750" cy="285750"/>
            <wp:effectExtent l="0" t="0" r="0" b="0"/>
            <wp:docPr id="237552206"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25243F">
        <w:rPr>
          <w:rFonts w:ascii="Verdana" w:hAnsi="Verdana"/>
          <w:sz w:val="24"/>
          <w:szCs w:val="24"/>
        </w:rPr>
        <w:t>@ministeriodeminas  </w:t>
      </w:r>
    </w:p>
    <w:p w:rsidRPr="0025243F" w:rsidR="0025243F" w:rsidP="0025243F" w:rsidRDefault="0025243F" w14:paraId="0774A50B" w14:textId="496268CC">
      <w:pPr>
        <w:spacing w:after="0" w:line="360" w:lineRule="auto"/>
        <w:jc w:val="both"/>
        <w:rPr>
          <w:rFonts w:ascii="Verdana" w:hAnsi="Verdana"/>
          <w:sz w:val="24"/>
          <w:szCs w:val="24"/>
        </w:rPr>
      </w:pPr>
      <w:r w:rsidRPr="0025243F">
        <w:rPr>
          <w:rFonts w:ascii="Verdana" w:hAnsi="Verdana"/>
          <w:noProof/>
          <w:sz w:val="24"/>
          <w:szCs w:val="24"/>
        </w:rPr>
        <w:drawing>
          <wp:inline distT="0" distB="0" distL="0" distR="0" wp14:anchorId="51E39C76" wp14:editId="2B287021">
            <wp:extent cx="285750" cy="285750"/>
            <wp:effectExtent l="0" t="0" r="0" b="0"/>
            <wp:docPr id="949671209"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25243F">
        <w:rPr>
          <w:rFonts w:ascii="Verdana" w:hAnsi="Verdana"/>
          <w:sz w:val="24"/>
          <w:szCs w:val="24"/>
        </w:rPr>
        <w:t> </w:t>
      </w:r>
    </w:p>
    <w:p w:rsidRPr="0025243F" w:rsidR="0025243F" w:rsidP="0025243F" w:rsidRDefault="0025243F" w14:paraId="20EC3A5D" w14:textId="44D5419D">
      <w:pPr>
        <w:spacing w:after="0" w:line="360" w:lineRule="auto"/>
        <w:jc w:val="both"/>
        <w:rPr>
          <w:rFonts w:ascii="Verdana" w:hAnsi="Verdana"/>
          <w:sz w:val="24"/>
          <w:szCs w:val="24"/>
        </w:rPr>
      </w:pPr>
      <w:r w:rsidRPr="0025243F">
        <w:rPr>
          <w:rFonts w:ascii="Verdana" w:hAnsi="Verdana"/>
          <w:noProof/>
          <w:sz w:val="24"/>
          <w:szCs w:val="24"/>
        </w:rPr>
        <w:drawing>
          <wp:inline distT="0" distB="0" distL="0" distR="0" wp14:anchorId="23F64BDC" wp14:editId="1DB85D05">
            <wp:extent cx="304800" cy="971550"/>
            <wp:effectExtent l="0" t="0" r="0" b="0"/>
            <wp:docPr id="92243497"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04800" cy="971550"/>
                    </a:xfrm>
                    <a:prstGeom prst="rect">
                      <a:avLst/>
                    </a:prstGeom>
                    <a:noFill/>
                    <a:ln>
                      <a:noFill/>
                    </a:ln>
                  </pic:spPr>
                </pic:pic>
              </a:graphicData>
            </a:graphic>
          </wp:inline>
        </w:drawing>
      </w:r>
      <w:r w:rsidRPr="0025243F">
        <w:rPr>
          <w:rFonts w:ascii="Verdana" w:hAnsi="Verdana"/>
          <w:sz w:val="24"/>
          <w:szCs w:val="24"/>
        </w:rPr>
        <w:t>@MinenergiaCO  </w:t>
      </w:r>
    </w:p>
    <w:p w:rsidRPr="0025243F" w:rsidR="0025243F" w:rsidP="0025243F" w:rsidRDefault="0025243F" w14:paraId="2187D170" w14:textId="77777777">
      <w:pPr>
        <w:spacing w:after="0" w:line="360" w:lineRule="auto"/>
        <w:jc w:val="both"/>
        <w:rPr>
          <w:rFonts w:ascii="Verdana" w:hAnsi="Verdana"/>
          <w:sz w:val="24"/>
          <w:szCs w:val="24"/>
        </w:rPr>
      </w:pPr>
      <w:r w:rsidRPr="0025243F">
        <w:rPr>
          <w:rFonts w:ascii="Verdana" w:hAnsi="Verdana"/>
          <w:sz w:val="24"/>
          <w:szCs w:val="24"/>
        </w:rPr>
        <w:t> </w:t>
      </w:r>
    </w:p>
    <w:p w:rsidRPr="0025243F" w:rsidR="0025243F" w:rsidP="0025243F" w:rsidRDefault="0025243F" w14:paraId="727A6C62" w14:textId="77777777">
      <w:pPr>
        <w:spacing w:after="0" w:line="360" w:lineRule="auto"/>
        <w:jc w:val="both"/>
        <w:rPr>
          <w:rFonts w:ascii="Verdana" w:hAnsi="Verdana"/>
          <w:sz w:val="24"/>
          <w:szCs w:val="24"/>
        </w:rPr>
      </w:pPr>
      <w:r w:rsidRPr="0025243F">
        <w:rPr>
          <w:rFonts w:ascii="Verdana" w:hAnsi="Verdana"/>
          <w:sz w:val="24"/>
          <w:szCs w:val="24"/>
        </w:rPr>
        <w:t>@ministeriominasyenergia Ministerio de Minas y Energía Ministerio de Minas y Energía </w:t>
      </w:r>
    </w:p>
    <w:p w:rsidRPr="0025243F" w:rsidR="0025243F" w:rsidP="0025243F" w:rsidRDefault="0025243F" w14:paraId="5D9CDC5E" w14:textId="77777777">
      <w:pPr>
        <w:spacing w:after="0" w:line="360" w:lineRule="auto"/>
        <w:jc w:val="both"/>
        <w:rPr>
          <w:rFonts w:ascii="Verdana" w:hAnsi="Verdana"/>
          <w:sz w:val="24"/>
          <w:szCs w:val="24"/>
        </w:rPr>
      </w:pPr>
      <w:r w:rsidRPr="0025243F">
        <w:rPr>
          <w:rFonts w:ascii="Verdana" w:hAnsi="Verdana"/>
          <w:sz w:val="24"/>
          <w:szCs w:val="24"/>
        </w:rPr>
        <w:t> </w:t>
      </w:r>
    </w:p>
    <w:p w:rsidRPr="00C140A0" w:rsidR="00A82055" w:rsidP="0025243F" w:rsidRDefault="00A82055" w14:paraId="707DB5C5" w14:textId="77777777">
      <w:pPr>
        <w:spacing w:after="0" w:line="360" w:lineRule="auto"/>
        <w:jc w:val="both"/>
        <w:rPr>
          <w:rFonts w:ascii="Verdana" w:hAnsi="Verdana"/>
          <w:sz w:val="24"/>
          <w:szCs w:val="24"/>
        </w:rPr>
      </w:pPr>
    </w:p>
    <w:sectPr w:rsidRPr="00C140A0" w:rsidR="00A82055" w:rsidSect="00C140A0">
      <w:headerReference w:type="default" r:id="rId99"/>
      <w:type w:val="continuous"/>
      <w:pgSz w:w="12240" w:h="15840" w:orient="portrait"/>
      <w:pgMar w:top="1417" w:right="1701" w:bottom="1417" w:left="1701" w:header="708" w:footer="708" w:gutter="0"/>
      <w:cols w:space="708"/>
      <w:docGrid w:linePitch="360"/>
    </w:sectPr>
  </w:body>
</w:document>
</file>

<file path=word/comments.xml><?xml version="1.0" encoding="utf-8"?>
<w:comments xmlns:w14="http://schemas.microsoft.com/office/word/2010/wordml" xmlns:w="http://schemas.openxmlformats.org/wordprocessingml/2006/main">
  <w:comment xmlns:w="http://schemas.openxmlformats.org/wordprocessingml/2006/main" w:initials="LR" w:author="LAURA MUÑOZ ROJAS" w:date="07/04/2026 12:50:42" w:id="457690069">
    <w:p xmlns:w14="http://schemas.microsoft.com/office/word/2010/wordml" w:rsidR="6F9E1129" w:rsidRDefault="25D2307D" w14:paraId="138582BE" w14:textId="7FCBA254">
      <w:pPr>
        <w:pStyle w:val="CommentText"/>
      </w:pPr>
      <w:r>
        <w:rPr>
          <w:rStyle w:val="CommentReference"/>
        </w:rPr>
        <w:annotationRef/>
      </w:r>
      <w:r>
        <w:fldChar w:fldCharType="begin"/>
      </w:r>
      <w:r>
        <w:instrText xml:space="preserve"> HYPERLINK "mailto:lyarango@minenergia.gov.co"</w:instrText>
      </w:r>
      <w:bookmarkStart w:name="_@_E17D73EEA240411AA84C160291999B6DZ" w:id="1304909097"/>
      <w:r>
        <w:fldChar w:fldCharType="separate"/>
      </w:r>
      <w:bookmarkEnd w:id="1304909097"/>
      <w:r w:rsidRPr="3BF907C7" w:rsidR="2B901775">
        <w:rPr>
          <w:rStyle w:val="Mention"/>
          <w:noProof/>
        </w:rPr>
        <w:t>@LUDWIG YAMEL ARANGO MESA</w:t>
      </w:r>
      <w:r>
        <w:fldChar w:fldCharType="end"/>
      </w:r>
      <w:r w:rsidRPr="71301604" w:rsidR="184EEF9E">
        <w:t xml:space="preserve"> consulta...no debería decir: ¿</w:t>
      </w:r>
      <w:r w:rsidRPr="15C49F26" w:rsidR="66FAC914">
        <w:rPr>
          <w:b w:val="1"/>
          <w:bCs w:val="1"/>
        </w:rPr>
        <w:t xml:space="preserve">Plan Estratégico Institucional? </w:t>
      </w:r>
      <w:r w:rsidRPr="78E6EFCC" w:rsidR="59428C4D">
        <w:t>El adjetivo debe concordar con "Plan".</w:t>
      </w:r>
    </w:p>
  </w:comment>
  <w:comment xmlns:w="http://schemas.openxmlformats.org/wordprocessingml/2006/main" w:initials="LR" w:author="LAURA MUÑOZ ROJAS" w:date="2026-07-04T13:06:43" w:id="378248034">
    <w:p xmlns:w14="http://schemas.microsoft.com/office/word/2010/wordml" xmlns:w="http://schemas.openxmlformats.org/wordprocessingml/2006/main" w:rsidR="4653A111" w:rsidRDefault="01C1F603" w14:paraId="3F6B0ACF" w14:textId="44C4B901">
      <w:pPr>
        <w:pStyle w:val="CommentText"/>
      </w:pPr>
      <w:r>
        <w:rPr>
          <w:rStyle w:val="CommentReference"/>
        </w:rPr>
        <w:annotationRef/>
      </w:r>
      <w:r w:rsidRPr="2FC301F2" w:rsidR="154B8BF6">
        <w:t xml:space="preserve">Faltan artículos y el paréntesis de cierre. Debería ser: Planeación Anual Institucional (incluye </w:t>
      </w:r>
      <w:r w:rsidRPr="5F35FD3D" w:rsidR="0738268B">
        <w:rPr>
          <w:b w:val="1"/>
          <w:bCs w:val="1"/>
        </w:rPr>
        <w:t>el</w:t>
      </w:r>
      <w:r w:rsidRPr="740D1968" w:rsidR="60C8F7E8">
        <w:t xml:space="preserve"> Plan de Acción y </w:t>
      </w:r>
      <w:r w:rsidRPr="4EC626B4" w:rsidR="1B7F6D65">
        <w:rPr>
          <w:b w:val="1"/>
          <w:bCs w:val="1"/>
        </w:rPr>
        <w:t>el</w:t>
      </w:r>
      <w:r w:rsidRPr="31D884C6" w:rsidR="32FE893D">
        <w:t xml:space="preserve"> estado general de los planes institucionales al finalizar el cuatrienio)</w:t>
      </w:r>
    </w:p>
  </w:comment>
  <w:comment xmlns:w="http://schemas.openxmlformats.org/wordprocessingml/2006/main" w:initials="LR" w:author="LAURA MUÑOZ ROJAS" w:date="2026-07-04T13:07:49" w:id="1037363175">
    <w:p xmlns:w14="http://schemas.microsoft.com/office/word/2010/wordml" xmlns:w="http://schemas.openxmlformats.org/wordprocessingml/2006/main" w:rsidR="26AF8CB6" w:rsidRDefault="48125030" w14:paraId="06A3DD1B" w14:textId="2CA6EADC">
      <w:pPr>
        <w:pStyle w:val="CommentText"/>
      </w:pPr>
      <w:r>
        <w:rPr>
          <w:rStyle w:val="CommentReference"/>
        </w:rPr>
        <w:annotationRef/>
      </w:r>
      <w:r w:rsidRPr="32E0CDE6" w:rsidR="56A5ED94">
        <w:t xml:space="preserve">Falta la preposición. </w:t>
      </w:r>
    </w:p>
    <w:p xmlns:w14="http://schemas.microsoft.com/office/word/2010/wordml" xmlns:w="http://schemas.openxmlformats.org/wordprocessingml/2006/main" w:rsidR="79D0A46D" w:rsidRDefault="6E845123" w14:paraId="027EFE4A" w14:textId="7D92CA24">
      <w:pPr>
        <w:pStyle w:val="CommentText"/>
      </w:pPr>
      <w:r w:rsidRPr="25AD5040" w:rsidR="52972B73">
        <w:t xml:space="preserve">Avances </w:t>
      </w:r>
      <w:r w:rsidRPr="38D1A118" w:rsidR="0DBB4F51">
        <w:rPr>
          <w:b w:val="1"/>
          <w:bCs w:val="1"/>
        </w:rPr>
        <w:t>en</w:t>
      </w:r>
      <w:r w:rsidRPr="15208F81" w:rsidR="2DC33F43">
        <w:t xml:space="preserve"> trabajo decente y libertad sindical</w:t>
      </w:r>
    </w:p>
  </w:comment>
  <w:comment xmlns:w="http://schemas.openxmlformats.org/wordprocessingml/2006/main" w:initials="LR" w:author="LAURA MUÑOZ ROJAS" w:date="2026-07-04T15:01:05" w:id="1180564233">
    <w:p xmlns:w14="http://schemas.microsoft.com/office/word/2010/wordml" xmlns:w="http://schemas.openxmlformats.org/wordprocessingml/2006/main" w:rsidR="72CA2FE2" w:rsidRDefault="7AA9ACFF" w14:paraId="50FDCC47" w14:textId="457E3662">
      <w:pPr>
        <w:pStyle w:val="CommentText"/>
      </w:pPr>
      <w:r>
        <w:rPr>
          <w:rStyle w:val="CommentReference"/>
        </w:rPr>
        <w:annotationRef/>
      </w:r>
      <w:r w:rsidRPr="41C1B28E" w:rsidR="6398CDE2">
        <w:rPr>
          <w:b w:val="1"/>
          <w:bCs w:val="1"/>
        </w:rPr>
        <w:t>la participación total de FNCER en operación</w:t>
      </w:r>
      <w:r w:rsidRPr="60E74F82" w:rsidR="7FF8CD76">
        <w:t xml:space="preserve"> o </w:t>
      </w:r>
      <w:r w:rsidRPr="2EC2FEE0" w:rsidR="09E1C78E">
        <w:rPr>
          <w:b w:val="1"/>
          <w:bCs w:val="1"/>
        </w:rPr>
        <w:t>el total de la participación FNCER en operación</w:t>
      </w:r>
      <w:r w:rsidRPr="19B88381" w:rsidR="14A84B0D">
        <w:t>, según el criterio técnico del documento.</w:t>
      </w:r>
    </w:p>
  </w:comment>
  <w:comment xmlns:w="http://schemas.openxmlformats.org/wordprocessingml/2006/main" w:initials="LR" w:author="LAURA MUÑOZ ROJAS" w:date="2026-07-04T15:29:43" w:id="155830457">
    <w:p xmlns:w14="http://schemas.microsoft.com/office/word/2010/wordml" xmlns:w="http://schemas.openxmlformats.org/wordprocessingml/2006/main" w:rsidR="6AE9A5BB" w:rsidRDefault="78C154B0" w14:paraId="0F263D2E" w14:textId="03AC0CE1">
      <w:pPr>
        <w:pStyle w:val="CommentText"/>
      </w:pPr>
      <w:r>
        <w:rPr>
          <w:rStyle w:val="CommentReference"/>
        </w:rPr>
        <w:annotationRef/>
      </w:r>
      <w:r w:rsidRPr="5CF7B3D1" w:rsidR="7E285EA3">
        <w:t xml:space="preserve">Se elimina el carácter </w:t>
      </w:r>
      <w:r w:rsidRPr="0EE14E24" w:rsidR="735004B6">
        <w:rPr>
          <w:b w:val="1"/>
          <w:bCs w:val="1"/>
        </w:rPr>
        <w:t>"✓</w:t>
      </w:r>
      <w:r w:rsidRPr="5F7B0EF6" w:rsidR="70A1E0F9">
        <w:t xml:space="preserve"> que quedó incrustado antes de "FENOGE", cierto? o así debe ir?</w:t>
      </w:r>
    </w:p>
  </w:comment>
  <w:comment xmlns:w="http://schemas.openxmlformats.org/wordprocessingml/2006/main" w:initials="LR" w:author="LAURA MUÑOZ ROJAS" w:date="2026-07-04T15:33:09" w:id="2083449248">
    <w:p xmlns:w14="http://schemas.microsoft.com/office/word/2010/wordml" xmlns:w="http://schemas.openxmlformats.org/wordprocessingml/2006/main" w:rsidR="6BC8A7A4" w:rsidRDefault="5845B981" w14:paraId="5C0B816C" w14:textId="6EFDC8BA">
      <w:pPr>
        <w:pStyle w:val="CommentText"/>
      </w:pPr>
      <w:r>
        <w:rPr>
          <w:rStyle w:val="CommentReference"/>
        </w:rPr>
        <w:annotationRef/>
      </w:r>
      <w:r w:rsidRPr="3BD293B8" w:rsidR="25020E67">
        <w:rPr>
          <w:b w:val="1"/>
          <w:bCs w:val="1"/>
        </w:rPr>
        <w:t>no sería: con 2 estaciones de carga en estaciones de servicio</w:t>
      </w:r>
      <w:r w:rsidRPr="419F6FBB" w:rsidR="59943177">
        <w:t xml:space="preserve"> (o validar la redacción original). Hay repetición evidente.</w:t>
      </w:r>
    </w:p>
  </w:comment>
  <w:comment xmlns:w="http://schemas.openxmlformats.org/wordprocessingml/2006/main" w:initials="LR" w:author="LAURA MUÑOZ ROJAS" w:date="2026-07-05T12:19:58" w:id="222813513">
    <w:p xmlns:w14="http://schemas.microsoft.com/office/word/2010/wordml" xmlns:w="http://schemas.openxmlformats.org/wordprocessingml/2006/main" w:rsidR="0CB9BC6B" w:rsidRDefault="21F91E79" w14:paraId="616A7926" w14:textId="3C631A61">
      <w:pPr>
        <w:pStyle w:val="CommentText"/>
      </w:pPr>
      <w:r>
        <w:rPr>
          <w:rStyle w:val="CommentReference"/>
        </w:rPr>
        <w:annotationRef/>
      </w:r>
      <w:r w:rsidRPr="321016FF" w:rsidR="089EB850">
        <w:t xml:space="preserve">Verificar si corresponde indicar el año (ej.: </w:t>
      </w:r>
      <w:r w:rsidRPr="50A192EC" w:rsidR="564F0CE6">
        <w:rPr>
          <w:b w:val="1"/>
          <w:bCs w:val="1"/>
        </w:rPr>
        <w:t>9 y 10 de abril de 2025</w:t>
      </w:r>
      <w:r w:rsidRPr="3CA7164E" w:rsidR="7F29A1B2">
        <w:t xml:space="preserve"> o </w:t>
      </w:r>
      <w:r w:rsidRPr="4588D406" w:rsidR="5A4B36A6">
        <w:rPr>
          <w:b w:val="1"/>
          <w:bCs w:val="1"/>
        </w:rPr>
        <w:t>2026</w:t>
      </w:r>
      <w:r w:rsidRPr="065C359D" w:rsidR="63CAD289">
        <w:t>), ya que en otras partes del documento sí se especifica.</w:t>
      </w:r>
    </w:p>
  </w:comment>
  <w:comment xmlns:w="http://schemas.openxmlformats.org/wordprocessingml/2006/main" w:initials="LR" w:author="LAURA MUÑOZ ROJAS" w:date="2026-07-05T12:27:25" w:id="2044350865">
    <w:p xmlns:w14="http://schemas.microsoft.com/office/word/2010/wordml" xmlns:w="http://schemas.openxmlformats.org/wordprocessingml/2006/main" w:rsidR="6CFCC9B3" w:rsidRDefault="65F713CC" w14:paraId="272C278E" w14:textId="047E82F1">
      <w:pPr>
        <w:pStyle w:val="CommentText"/>
      </w:pPr>
      <w:r>
        <w:rPr>
          <w:rStyle w:val="CommentReference"/>
        </w:rPr>
        <w:annotationRef/>
      </w:r>
      <w:r w:rsidRPr="307FAF03" w:rsidR="13D673D4">
        <w:t>Hay una repetición: propongo</w:t>
      </w:r>
      <w:r w:rsidRPr="11CF1CE3" w:rsidR="012FF9FA">
        <w:rPr>
          <w:b w:val="1"/>
          <w:bCs w:val="1"/>
        </w:rPr>
        <w:t>"...asociado a dicho mineral, mediante los dos principales métodos..."</w:t>
      </w:r>
      <w:r w:rsidRPr="5757E030" w:rsidR="634F5702">
        <w:t xml:space="preserve"> o la redacción que defina el área.</w:t>
      </w:r>
    </w:p>
  </w:comment>
  <w:comment xmlns:w="http://schemas.openxmlformats.org/wordprocessingml/2006/main" w:initials="LR" w:author="LAURA MUÑOZ ROJAS" w:date="2026-07-05T12:41:32" w:id="1640990807">
    <w:p xmlns:w14="http://schemas.microsoft.com/office/word/2010/wordml" xmlns:w="http://schemas.openxmlformats.org/wordprocessingml/2006/main" w:rsidR="595F2593" w:rsidRDefault="73460DC5" w14:paraId="1C4C491B" w14:textId="471D92C6">
      <w:pPr>
        <w:pStyle w:val="CommentText"/>
      </w:pPr>
      <w:r>
        <w:rPr>
          <w:rStyle w:val="CommentReference"/>
        </w:rPr>
        <w:annotationRef/>
      </w:r>
      <w:r w:rsidRPr="485426E3" w:rsidR="5F6DD177">
        <w:t>Parece faltar un conector ("para que", "a fin de que"). Revisar el texto fuente.</w:t>
      </w:r>
    </w:p>
  </w:comment>
  <w:comment xmlns:w="http://schemas.openxmlformats.org/wordprocessingml/2006/main" w:initials="LR" w:author="LAURA MUÑOZ ROJAS" w:date="2026-07-05T12:42:05" w:id="653566142">
    <w:p xmlns:w14="http://schemas.microsoft.com/office/word/2010/wordml" xmlns:w="http://schemas.openxmlformats.org/wordprocessingml/2006/main" w:rsidR="4BFC3FBB" w:rsidRDefault="145500F4" w14:paraId="5EEDE594" w14:textId="15833CC5">
      <w:pPr>
        <w:pStyle w:val="CommentText"/>
      </w:pPr>
      <w:r>
        <w:rPr>
          <w:rStyle w:val="CommentReference"/>
        </w:rPr>
        <w:annotationRef/>
      </w:r>
      <w:r w:rsidRPr="51F50B4C" w:rsidR="5185B243">
        <w:t xml:space="preserve">Lo correcto sería </w:t>
      </w:r>
      <w:r w:rsidRPr="31F576E5" w:rsidR="56EDEFEB">
        <w:rPr>
          <w:b w:val="1"/>
          <w:bCs w:val="1"/>
        </w:rPr>
        <w:t>La DIMAR, la ANH y el MME están en mesa técnica...</w:t>
      </w:r>
      <w:r w:rsidRPr="1A67036E" w:rsidR="2D464B54">
        <w:t xml:space="preserve"> (o la redacción oficial que valide el área).</w:t>
      </w:r>
    </w:p>
  </w:comment>
  <w:comment xmlns:w="http://schemas.openxmlformats.org/wordprocessingml/2006/main" w:initials="LR" w:author="LAURA MUÑOZ ROJAS" w:date="2026-07-05T12:56:48" w:id="1043464209">
    <w:p xmlns:w14="http://schemas.microsoft.com/office/word/2010/wordml" xmlns:w="http://schemas.openxmlformats.org/wordprocessingml/2006/main" w:rsidR="1477F4E0" w:rsidRDefault="7894CD13" w14:paraId="69B4ECE4" w14:textId="04B10BA3">
      <w:pPr>
        <w:pStyle w:val="CommentText"/>
      </w:pPr>
      <w:r>
        <w:rPr>
          <w:rStyle w:val="CommentReference"/>
        </w:rPr>
        <w:annotationRef/>
      </w:r>
      <w:r w:rsidRPr="007740A7" w:rsidR="731DCB41">
        <w:t>Consultar: 2.2. Plan Estratégico Institucional 2022–2026</w:t>
      </w:r>
    </w:p>
  </w:comment>
  <w:comment xmlns:w="http://schemas.openxmlformats.org/wordprocessingml/2006/main" w:initials="LR" w:author="LAURA MUÑOZ ROJAS" w:date="2026-07-05T15:58:52" w:id="55430425">
    <w:p xmlns:w14="http://schemas.microsoft.com/office/word/2010/wordml" xmlns:w="http://schemas.openxmlformats.org/wordprocessingml/2006/main" w:rsidR="0A14ABCC" w:rsidRDefault="3951A05E" w14:paraId="52ED163E" w14:textId="493874F7">
      <w:pPr>
        <w:pStyle w:val="CommentText"/>
      </w:pPr>
      <w:r>
        <w:rPr>
          <w:rStyle w:val="CommentReference"/>
        </w:rPr>
        <w:annotationRef/>
      </w:r>
      <w:r w:rsidRPr="2A9C492D" w:rsidR="74A64C0F">
        <w:t xml:space="preserve">Si se va a diagramar la tabla, corregir las tildes que faltaron. </w:t>
      </w:r>
    </w:p>
    <w:p xmlns:w14="http://schemas.microsoft.com/office/word/2010/wordml" xmlns:w="http://schemas.openxmlformats.org/wordprocessingml/2006/main" w:rsidR="25FC9CF9" w:rsidRDefault="5A38B711" w14:paraId="2F830062" w14:textId="08110068">
      <w:pPr>
        <w:pStyle w:val="CommentText"/>
      </w:pPr>
      <w:r w:rsidRPr="76D46A76" w:rsidR="6A810991">
        <w:rPr>
          <w:b w:val="1"/>
          <w:bCs w:val="1"/>
        </w:rPr>
        <w:t>Daniel Elías</w:t>
      </w:r>
    </w:p>
    <w:p xmlns:w14="http://schemas.microsoft.com/office/word/2010/wordml" xmlns:w="http://schemas.openxmlformats.org/wordprocessingml/2006/main" w:rsidR="626F0A7D" w:rsidRDefault="1A2A3475" w14:paraId="767A7220" w14:textId="1AD501A5">
      <w:pPr>
        <w:pStyle w:val="CommentText"/>
      </w:pPr>
      <w:r w:rsidRPr="27CDA395" w:rsidR="0E2450E5">
        <w:t>Jorge Adrián Rodríguez</w:t>
      </w:r>
    </w:p>
    <w:p xmlns:w14="http://schemas.microsoft.com/office/word/2010/wordml" xmlns:w="http://schemas.openxmlformats.org/wordprocessingml/2006/main" w:rsidR="12D53CDC" w:rsidRDefault="16A97805" w14:paraId="166C3620" w14:textId="030813CF">
      <w:pPr>
        <w:pStyle w:val="CommentText"/>
      </w:pPr>
      <w:r w:rsidRPr="6B156885" w:rsidR="71837441">
        <w:t>Angie Paola Bermúdez Gutiérrez</w:t>
      </w:r>
    </w:p>
    <w:p xmlns:w14="http://schemas.microsoft.com/office/word/2010/wordml" xmlns:w="http://schemas.openxmlformats.org/wordprocessingml/2006/main" w:rsidR="42C035B5" w:rsidRDefault="3A91A2A9" w14:paraId="145D1C5B" w14:textId="44BBAD77">
      <w:pPr>
        <w:pStyle w:val="CommentText"/>
      </w:pPr>
      <w:r w:rsidRPr="020C29AD" w:rsidR="6D3D115C">
        <w:t>Ader José</w:t>
      </w:r>
    </w:p>
    <w:p xmlns:w14="http://schemas.microsoft.com/office/word/2010/wordml" xmlns:w="http://schemas.openxmlformats.org/wordprocessingml/2006/main" w:rsidR="55A30B5A" w:rsidRDefault="61A14C5C" w14:paraId="391A4F79" w14:textId="34E8BF52">
      <w:pPr>
        <w:pStyle w:val="CommentText"/>
      </w:pPr>
      <w:r w:rsidRPr="20D8F946" w:rsidR="2573D0ED">
        <w:t>Iván Darío</w:t>
      </w:r>
    </w:p>
    <w:p xmlns:w14="http://schemas.microsoft.com/office/word/2010/wordml" xmlns:w="http://schemas.openxmlformats.org/wordprocessingml/2006/main" w:rsidR="64EA75F9" w:rsidRDefault="5474C1D1" w14:paraId="6CB53847" w14:textId="57D60E8F">
      <w:pPr>
        <w:pStyle w:val="CommentText"/>
      </w:pPr>
      <w:r w:rsidRPr="3F6AD23F" w:rsidR="1009E4F8">
        <w:t>Elia Cecilia Pérez Pérez</w:t>
      </w:r>
    </w:p>
    <w:p xmlns:w14="http://schemas.microsoft.com/office/word/2010/wordml" xmlns:w="http://schemas.openxmlformats.org/wordprocessingml/2006/main" w:rsidR="3D9EF66C" w:rsidRDefault="65D6C47F" w14:paraId="7E362586" w14:textId="0781409F">
      <w:pPr>
        <w:pStyle w:val="CommentText"/>
      </w:pPr>
      <w:r w:rsidRPr="5FE4CDAF" w:rsidR="1F136442">
        <w:rPr>
          <w:b w:val="1"/>
          <w:bCs w:val="1"/>
        </w:rPr>
        <w:t>jurisdicción coactiva</w:t>
      </w:r>
    </w:p>
    <w:p xmlns:w14="http://schemas.microsoft.com/office/word/2010/wordml" xmlns:w="http://schemas.openxmlformats.org/wordprocessingml/2006/main" w:rsidR="0226E17F" w:rsidRDefault="249AB87E" w14:paraId="3B57730C" w14:textId="7BE547BC">
      <w:pPr>
        <w:pStyle w:val="CommentText"/>
      </w:pPr>
      <w:r w:rsidRPr="7319AC4D" w:rsidR="5D776B24">
        <w:t>Grupo de Jurisdicción Coactiva (CRA 50)</w:t>
      </w:r>
    </w:p>
  </w:comment>
  <w:comment xmlns:w="http://schemas.openxmlformats.org/wordprocessingml/2006/main" w:initials="LR" w:author="LAURA MUÑOZ ROJAS" w:date="2026-07-05T16:26:15" w:id="1609538493">
    <w:p xmlns:w14="http://schemas.microsoft.com/office/word/2010/wordml" xmlns:w="http://schemas.openxmlformats.org/wordprocessingml/2006/main" w:rsidR="4CCB911D" w:rsidRDefault="152AC94D" w14:paraId="57156920" w14:textId="44E9319B">
      <w:pPr>
        <w:pStyle w:val="CommentText"/>
      </w:pPr>
      <w:r>
        <w:rPr>
          <w:rStyle w:val="CommentReference"/>
        </w:rPr>
        <w:annotationRef/>
      </w:r>
      <w:r w:rsidRPr="21778767" w:rsidR="5CB9ACE5">
        <w:rPr>
          <w:b w:val="1"/>
          <w:bCs w:val="1"/>
        </w:rPr>
        <w:t>31 de abril 2026 no hubo.</w:t>
      </w:r>
      <w:r w:rsidRPr="3EBFD5F9" w:rsidR="58D6310D">
        <w:t xml:space="preserve"> Comprobar si se ajusta la fecha que corresponde al </w:t>
      </w:r>
      <w:r w:rsidRPr="12A095EF" w:rsidR="7A1C9FBE">
        <w:rPr>
          <w:b w:val="1"/>
          <w:bCs w:val="1"/>
        </w:rPr>
        <w:t>30 de abril de 2026 o sí se queda tal como esta</w:t>
      </w:r>
    </w:p>
  </w:comment>
  <w:comment xmlns:w="http://schemas.openxmlformats.org/wordprocessingml/2006/main" w:initials="LR" w:author="LAURA MUÑOZ ROJAS" w:date="2026-07-05T16:45:37" w:id="19731430">
    <w:p xmlns:w14="http://schemas.microsoft.com/office/word/2010/wordml" xmlns:w="http://schemas.openxmlformats.org/wordprocessingml/2006/main" w:rsidR="5EF16847" w:rsidRDefault="74721287" w14:paraId="63993484" w14:textId="7AF8C3E2">
      <w:pPr>
        <w:pStyle w:val="CommentText"/>
      </w:pPr>
      <w:r>
        <w:rPr>
          <w:rStyle w:val="CommentReference"/>
        </w:rPr>
        <w:annotationRef/>
      </w:r>
      <w:r w:rsidRPr="7CC0122C" w:rsidR="3CD275A8">
        <w:t>Por favor, validar las cifras reportadas. Aparentemente, el valor comprometido supera la apropiación vigente, por lo que podría existir una inconsistencia en alguno de los valores.</w:t>
      </w:r>
    </w:p>
  </w:comment>
  <w:comment xmlns:w="http://schemas.openxmlformats.org/wordprocessingml/2006/main" w:initials="LR" w:author="LAURA MUÑOZ ROJAS" w:date="2026-07-05T17:09:23" w:id="670890444">
    <w:p xmlns:w14="http://schemas.microsoft.com/office/word/2010/wordml" xmlns:w="http://schemas.openxmlformats.org/wordprocessingml/2006/main" w:rsidR="341BAC2E" w:rsidRDefault="6EDD62ED" w14:paraId="45025923" w14:textId="1EC1652D">
      <w:pPr>
        <w:pStyle w:val="CommentText"/>
      </w:pPr>
      <w:r>
        <w:rPr>
          <w:rStyle w:val="CommentReference"/>
        </w:rPr>
        <w:annotationRef/>
      </w:r>
      <w:r w:rsidRPr="6FE38866" w:rsidR="5DCFB4DA">
        <w:t xml:space="preserve">Debería decir: </w:t>
      </w:r>
      <w:r w:rsidRPr="1AB2619E" w:rsidR="72AEC982">
        <w:rPr>
          <w:b w:val="1"/>
          <w:bCs w:val="1"/>
        </w:rPr>
        <w:t>el rubro de Subsidios de Energía registró</w:t>
      </w:r>
      <w:r w:rsidRPr="430D5816" w:rsidR="205D2120">
        <w:t xml:space="preserve"> o </w:t>
      </w:r>
      <w:r w:rsidRPr="41BC11B8" w:rsidR="2F84AAE5">
        <w:rPr>
          <w:b w:val="1"/>
          <w:bCs w:val="1"/>
        </w:rPr>
        <w:t>los Subsidios de Energía registraron</w:t>
      </w:r>
      <w:r w:rsidRPr="3BBFFC6C" w:rsidR="21DF8025">
        <w:t>.</w:t>
      </w:r>
    </w:p>
  </w:comment>
  <w:comment xmlns:w="http://schemas.openxmlformats.org/wordprocessingml/2006/main" w:initials="LR" w:author="LAURA MUÑOZ ROJAS" w:date="2026-07-05T17:16:12" w:id="1223093710">
    <w:p xmlns:w14="http://schemas.microsoft.com/office/word/2010/wordml" xmlns:w="http://schemas.openxmlformats.org/wordprocessingml/2006/main" w:rsidR="21CA3C3F" w:rsidRDefault="47EFBF3A" w14:paraId="774D5FBE" w14:textId="3E5E8827">
      <w:pPr>
        <w:pStyle w:val="CommentText"/>
      </w:pPr>
      <w:r>
        <w:rPr>
          <w:rStyle w:val="CommentReference"/>
        </w:rPr>
        <w:annotationRef/>
      </w:r>
      <w:r w:rsidRPr="1B85B0E5" w:rsidR="464DB83C">
        <w:t>Por favor, validar esta cifra, ya que me genera duda. ¿El valor reportado es correcto o podría haber un error de digitación?</w:t>
      </w:r>
    </w:p>
  </w:comment>
  <w:comment xmlns:w="http://schemas.openxmlformats.org/wordprocessingml/2006/main" w:initials="LR" w:author="LAURA MUÑOZ ROJAS" w:date="2026-07-06T10:04:03" w:id="1800106833">
    <w:p xmlns:w14="http://schemas.microsoft.com/office/word/2010/wordml" xmlns:w="http://schemas.openxmlformats.org/wordprocessingml/2006/main" w:rsidR="174C59A0" w:rsidRDefault="5C44A416" w14:paraId="095B5EF0" w14:textId="171628C8">
      <w:pPr>
        <w:pStyle w:val="CommentText"/>
      </w:pPr>
      <w:r>
        <w:rPr>
          <w:rStyle w:val="CommentReference"/>
        </w:rPr>
        <w:annotationRef/>
      </w:r>
      <w:r w:rsidRPr="70F2CE9D" w:rsidR="2807FE80">
        <w:t xml:space="preserve">Se repite </w:t>
      </w:r>
      <w:r w:rsidRPr="13259AA8" w:rsidR="5E82C9C9">
        <w:rPr>
          <w:b w:val="1"/>
          <w:bCs w:val="1"/>
        </w:rPr>
        <w:t>"enfocada"</w:t>
      </w:r>
      <w:r w:rsidRPr="6706B9C6" w:rsidR="49AD247A">
        <w:t xml:space="preserve">. Mejor reemplazar la segunda por </w:t>
      </w:r>
      <w:r w:rsidRPr="775E31EA" w:rsidR="6118A6D6">
        <w:rPr>
          <w:b w:val="1"/>
          <w:bCs w:val="1"/>
        </w:rPr>
        <w:t>alineada con</w:t>
      </w:r>
      <w:r w:rsidRPr="262E6678" w:rsidR="74249662">
        <w:t xml:space="preserve"> o </w:t>
      </w:r>
      <w:r w:rsidRPr="2E247C40" w:rsidR="02FF9DAE">
        <w:rPr>
          <w:b w:val="1"/>
          <w:bCs w:val="1"/>
        </w:rPr>
        <w:t>orientada al</w:t>
      </w:r>
      <w:r w:rsidRPr="65F7547C" w:rsidR="34DA2674">
        <w:t>.</w:t>
      </w:r>
    </w:p>
  </w:comment>
</w:comments>
</file>

<file path=word/commentsExtended.xml><?xml version="1.0" encoding="utf-8"?>
<w15:commentsEx xmlns:mc="http://schemas.openxmlformats.org/markup-compatibility/2006" xmlns:w15="http://schemas.microsoft.com/office/word/2012/wordml" mc:Ignorable="w15">
  <w15:commentEx w15:done="0" w15:paraId="138582BE"/>
  <w15:commentEx w15:done="0" w15:paraId="3F6B0ACF"/>
  <w15:commentEx w15:done="0" w15:paraId="027EFE4A"/>
  <w15:commentEx w15:done="0" w15:paraId="50FDCC47"/>
  <w15:commentEx w15:done="0" w15:paraId="0F263D2E"/>
  <w15:commentEx w15:done="0" w15:paraId="5C0B816C"/>
  <w15:commentEx w15:done="0" w15:paraId="616A7926"/>
  <w15:commentEx w15:done="0" w15:paraId="272C278E"/>
  <w15:commentEx w15:done="0" w15:paraId="1C4C491B"/>
  <w15:commentEx w15:done="0" w15:paraId="5EEDE594"/>
  <w15:commentEx w15:done="0" w15:paraId="69B4ECE4"/>
  <w15:commentEx w15:done="0" w15:paraId="3B57730C"/>
  <w15:commentEx w15:done="0" w15:paraId="57156920"/>
  <w15:commentEx w15:done="0" w15:paraId="63993484"/>
  <w15:commentEx w15:done="0" w15:paraId="45025923"/>
  <w15:commentEx w15:done="0" w15:paraId="774D5FBE"/>
  <w15:commentEx w15:done="0" w15:paraId="095B5EF0"/>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66757FAD" w16cex:dateUtc="2026-07-04T17:50:42.826Z"/>
  <w16cex:commentExtensible w16cex:durableId="3D935C1E" w16cex:dateUtc="2026-07-04T18:06:43.386Z"/>
  <w16cex:commentExtensible w16cex:durableId="16F46C4F" w16cex:dateUtc="2026-07-04T18:07:49.643Z"/>
  <w16cex:commentExtensible w16cex:durableId="49AD9DF2" w16cex:dateUtc="2026-07-04T20:01:05.525Z"/>
  <w16cex:commentExtensible w16cex:durableId="0F19D96D" w16cex:dateUtc="2026-07-04T20:29:43.384Z"/>
  <w16cex:commentExtensible w16cex:durableId="62168925" w16cex:dateUtc="2026-07-04T20:33:09.406Z"/>
  <w16cex:commentExtensible w16cex:durableId="5A290365" w16cex:dateUtc="2026-07-05T17:19:58.393Z"/>
  <w16cex:commentExtensible w16cex:durableId="1B999C26" w16cex:dateUtc="2026-07-05T17:27:25.815Z"/>
  <w16cex:commentExtensible w16cex:durableId="543057E1" w16cex:dateUtc="2026-07-05T17:41:32.536Z"/>
  <w16cex:commentExtensible w16cex:durableId="0E1C0CF3" w16cex:dateUtc="2026-07-05T17:42:05.622Z"/>
  <w16cex:commentExtensible w16cex:durableId="5EA6F012" w16cex:dateUtc="2026-07-05T17:56:48.114Z"/>
  <w16cex:commentExtensible w16cex:durableId="4A65CA8A" w16cex:dateUtc="2026-07-05T20:58:52.576Z"/>
  <w16cex:commentExtensible w16cex:durableId="38F8BC01" w16cex:dateUtc="2026-07-05T21:26:15.286Z"/>
  <w16cex:commentExtensible w16cex:durableId="57E3F06E" w16cex:dateUtc="2026-07-05T21:45:37.082Z"/>
  <w16cex:commentExtensible w16cex:durableId="5199163F" w16cex:dateUtc="2026-07-05T22:09:23.184Z"/>
  <w16cex:commentExtensible w16cex:durableId="7075DA32" w16cex:dateUtc="2026-07-05T22:16:12.765Z"/>
  <w16cex:commentExtensible w16cex:durableId="59EEAA4F" w16cex:dateUtc="2026-07-06T15:04:03.248Z"/>
</w16cex:commentsExtensible>
</file>

<file path=word/commentsIds.xml><?xml version="1.0" encoding="utf-8"?>
<w16cid:commentsIds xmlns:mc="http://schemas.openxmlformats.org/markup-compatibility/2006" xmlns:w16cid="http://schemas.microsoft.com/office/word/2016/wordml/cid" mc:Ignorable="w16cid">
  <w16cid:commentId w16cid:paraId="138582BE" w16cid:durableId="66757FAD"/>
  <w16cid:commentId w16cid:paraId="3F6B0ACF" w16cid:durableId="3D935C1E"/>
  <w16cid:commentId w16cid:paraId="027EFE4A" w16cid:durableId="16F46C4F"/>
  <w16cid:commentId w16cid:paraId="50FDCC47" w16cid:durableId="49AD9DF2"/>
  <w16cid:commentId w16cid:paraId="0F263D2E" w16cid:durableId="0F19D96D"/>
  <w16cid:commentId w16cid:paraId="5C0B816C" w16cid:durableId="62168925"/>
  <w16cid:commentId w16cid:paraId="616A7926" w16cid:durableId="5A290365"/>
  <w16cid:commentId w16cid:paraId="272C278E" w16cid:durableId="1B999C26"/>
  <w16cid:commentId w16cid:paraId="1C4C491B" w16cid:durableId="543057E1"/>
  <w16cid:commentId w16cid:paraId="5EEDE594" w16cid:durableId="0E1C0CF3"/>
  <w16cid:commentId w16cid:paraId="69B4ECE4" w16cid:durableId="5EA6F012"/>
  <w16cid:commentId w16cid:paraId="3B57730C" w16cid:durableId="4A65CA8A"/>
  <w16cid:commentId w16cid:paraId="57156920" w16cid:durableId="38F8BC01"/>
  <w16cid:commentId w16cid:paraId="63993484" w16cid:durableId="57E3F06E"/>
  <w16cid:commentId w16cid:paraId="45025923" w16cid:durableId="5199163F"/>
  <w16cid:commentId w16cid:paraId="774D5FBE" w16cid:durableId="7075DA32"/>
  <w16cid:commentId w16cid:paraId="095B5EF0" w16cid:durableId="59EEAA4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D5504D" w:rsidP="00675CD4" w:rsidRDefault="00D5504D" w14:paraId="4E218E56" w14:textId="77777777">
      <w:pPr>
        <w:spacing w:after="0" w:line="240" w:lineRule="auto"/>
      </w:pPr>
      <w:r>
        <w:separator/>
      </w:r>
    </w:p>
  </w:endnote>
  <w:endnote w:type="continuationSeparator" w:id="0">
    <w:p w:rsidR="00D5504D" w:rsidP="00675CD4" w:rsidRDefault="00D5504D" w14:paraId="58EA98AA"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Arial Narrow">
    <w:panose1 w:val="020B0606020202030204"/>
    <w:charset w:val="00"/>
    <w:family w:val="swiss"/>
    <w:pitch w:val="variable"/>
    <w:sig w:usb0="00000287" w:usb1="00000800" w:usb2="00000000" w:usb3="00000000" w:csb0="0000009F" w:csb1="00000000"/>
  </w:font>
  <w:font w:name="Nunito Sans Normal ExtraLight">
    <w:altName w:val="Calibri"/>
    <w:charset w:val="00"/>
    <w:family w:val="swiss"/>
    <w:pitch w:val="default"/>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84928217"/>
      <w:docPartObj>
        <w:docPartGallery w:val="Page Numbers (Bottom of Page)"/>
        <w:docPartUnique/>
      </w:docPartObj>
    </w:sdtPr>
    <w:sdtContent>
      <w:p w:rsidR="00675CD4" w:rsidRDefault="00675CD4" w14:paraId="419F84CD" w14:textId="77777777">
        <w:pPr>
          <w:pStyle w:val="Piedepgina"/>
          <w:jc w:val="center"/>
        </w:pPr>
        <w:r>
          <w:fldChar w:fldCharType="begin"/>
        </w:r>
        <w:r>
          <w:instrText>PAGE   \* MERGEFORMAT</w:instrText>
        </w:r>
        <w:r>
          <w:fldChar w:fldCharType="separate"/>
        </w:r>
        <w:r>
          <w:rPr>
            <w:lang w:val="es-ES"/>
          </w:rPr>
          <w:t>2</w:t>
        </w:r>
        <w:r>
          <w:fldChar w:fldCharType="end"/>
        </w:r>
      </w:p>
    </w:sdtContent>
  </w:sdt>
  <w:p w:rsidR="00675CD4" w:rsidRDefault="00675CD4" w14:paraId="1FB6821E" w14:textId="7777777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D5504D" w:rsidP="00675CD4" w:rsidRDefault="00D5504D" w14:paraId="5645D6AE" w14:textId="77777777">
      <w:pPr>
        <w:spacing w:after="0" w:line="240" w:lineRule="auto"/>
      </w:pPr>
      <w:r>
        <w:separator/>
      </w:r>
    </w:p>
  </w:footnote>
  <w:footnote w:type="continuationSeparator" w:id="0">
    <w:p w:rsidR="00D5504D" w:rsidP="00675CD4" w:rsidRDefault="00D5504D" w14:paraId="372AECC3"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11835F2D" w:rsidP="11835F2D" w:rsidRDefault="11835F2D" w14:paraId="2CCD1D8F" w14:textId="77777777">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214C9"/>
    <w:multiLevelType w:val="multilevel"/>
    <w:tmpl w:val="1FFED55A"/>
    <w:lvl w:ilvl="0">
      <w:start w:val="1"/>
      <w:numFmt w:val="bullet"/>
      <w:lvlText w:val=""/>
      <w:lvlJc w:val="left"/>
      <w:pPr>
        <w:tabs>
          <w:tab w:val="num" w:pos="644"/>
        </w:tabs>
        <w:ind w:left="644" w:hanging="360"/>
      </w:pPr>
      <w:rPr>
        <w:rFonts w:hint="default" w:ascii="Symbol" w:hAnsi="Symbol"/>
        <w:sz w:val="20"/>
      </w:rPr>
    </w:lvl>
    <w:lvl w:ilvl="1" w:tentative="1">
      <w:start w:val="1"/>
      <w:numFmt w:val="bullet"/>
      <w:lvlText w:val=""/>
      <w:lvlJc w:val="left"/>
      <w:pPr>
        <w:tabs>
          <w:tab w:val="num" w:pos="1364"/>
        </w:tabs>
        <w:ind w:left="1364" w:hanging="360"/>
      </w:pPr>
      <w:rPr>
        <w:rFonts w:hint="default" w:ascii="Symbol" w:hAnsi="Symbol"/>
        <w:sz w:val="20"/>
      </w:rPr>
    </w:lvl>
    <w:lvl w:ilvl="2" w:tentative="1">
      <w:start w:val="1"/>
      <w:numFmt w:val="bullet"/>
      <w:lvlText w:val=""/>
      <w:lvlJc w:val="left"/>
      <w:pPr>
        <w:tabs>
          <w:tab w:val="num" w:pos="2084"/>
        </w:tabs>
        <w:ind w:left="2084" w:hanging="360"/>
      </w:pPr>
      <w:rPr>
        <w:rFonts w:hint="default" w:ascii="Symbol" w:hAnsi="Symbol"/>
        <w:sz w:val="20"/>
      </w:rPr>
    </w:lvl>
    <w:lvl w:ilvl="3" w:tentative="1">
      <w:start w:val="1"/>
      <w:numFmt w:val="bullet"/>
      <w:lvlText w:val=""/>
      <w:lvlJc w:val="left"/>
      <w:pPr>
        <w:tabs>
          <w:tab w:val="num" w:pos="2804"/>
        </w:tabs>
        <w:ind w:left="2804" w:hanging="360"/>
      </w:pPr>
      <w:rPr>
        <w:rFonts w:hint="default" w:ascii="Symbol" w:hAnsi="Symbol"/>
        <w:sz w:val="20"/>
      </w:rPr>
    </w:lvl>
    <w:lvl w:ilvl="4" w:tentative="1">
      <w:start w:val="1"/>
      <w:numFmt w:val="bullet"/>
      <w:lvlText w:val=""/>
      <w:lvlJc w:val="left"/>
      <w:pPr>
        <w:tabs>
          <w:tab w:val="num" w:pos="3524"/>
        </w:tabs>
        <w:ind w:left="3524" w:hanging="360"/>
      </w:pPr>
      <w:rPr>
        <w:rFonts w:hint="default" w:ascii="Symbol" w:hAnsi="Symbol"/>
        <w:sz w:val="20"/>
      </w:rPr>
    </w:lvl>
    <w:lvl w:ilvl="5" w:tentative="1">
      <w:start w:val="1"/>
      <w:numFmt w:val="bullet"/>
      <w:lvlText w:val=""/>
      <w:lvlJc w:val="left"/>
      <w:pPr>
        <w:tabs>
          <w:tab w:val="num" w:pos="4244"/>
        </w:tabs>
        <w:ind w:left="4244" w:hanging="360"/>
      </w:pPr>
      <w:rPr>
        <w:rFonts w:hint="default" w:ascii="Symbol" w:hAnsi="Symbol"/>
        <w:sz w:val="20"/>
      </w:rPr>
    </w:lvl>
    <w:lvl w:ilvl="6" w:tentative="1">
      <w:start w:val="1"/>
      <w:numFmt w:val="bullet"/>
      <w:lvlText w:val=""/>
      <w:lvlJc w:val="left"/>
      <w:pPr>
        <w:tabs>
          <w:tab w:val="num" w:pos="4964"/>
        </w:tabs>
        <w:ind w:left="4964" w:hanging="360"/>
      </w:pPr>
      <w:rPr>
        <w:rFonts w:hint="default" w:ascii="Symbol" w:hAnsi="Symbol"/>
        <w:sz w:val="20"/>
      </w:rPr>
    </w:lvl>
    <w:lvl w:ilvl="7" w:tentative="1">
      <w:start w:val="1"/>
      <w:numFmt w:val="bullet"/>
      <w:lvlText w:val=""/>
      <w:lvlJc w:val="left"/>
      <w:pPr>
        <w:tabs>
          <w:tab w:val="num" w:pos="5684"/>
        </w:tabs>
        <w:ind w:left="5684" w:hanging="360"/>
      </w:pPr>
      <w:rPr>
        <w:rFonts w:hint="default" w:ascii="Symbol" w:hAnsi="Symbol"/>
        <w:sz w:val="20"/>
      </w:rPr>
    </w:lvl>
    <w:lvl w:ilvl="8" w:tentative="1">
      <w:start w:val="1"/>
      <w:numFmt w:val="bullet"/>
      <w:lvlText w:val=""/>
      <w:lvlJc w:val="left"/>
      <w:pPr>
        <w:tabs>
          <w:tab w:val="num" w:pos="6404"/>
        </w:tabs>
        <w:ind w:left="6404" w:hanging="360"/>
      </w:pPr>
      <w:rPr>
        <w:rFonts w:hint="default" w:ascii="Symbol" w:hAnsi="Symbol"/>
        <w:sz w:val="20"/>
      </w:rPr>
    </w:lvl>
  </w:abstractNum>
  <w:abstractNum w:abstractNumId="1" w15:restartNumberingAfterBreak="0">
    <w:nsid w:val="01A83FA2"/>
    <w:multiLevelType w:val="multilevel"/>
    <w:tmpl w:val="F91E81B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 w15:restartNumberingAfterBreak="0">
    <w:nsid w:val="01D09D4E"/>
    <w:multiLevelType w:val="hybridMultilevel"/>
    <w:tmpl w:val="5B182B48"/>
    <w:lvl w:ilvl="0" w:tplc="B4FE0116">
      <w:start w:val="1"/>
      <w:numFmt w:val="bullet"/>
      <w:lvlText w:val="·"/>
      <w:lvlJc w:val="left"/>
      <w:pPr>
        <w:ind w:left="720" w:hanging="360"/>
      </w:pPr>
      <w:rPr>
        <w:rFonts w:hint="default" w:ascii="Symbol" w:hAnsi="Symbol"/>
      </w:rPr>
    </w:lvl>
    <w:lvl w:ilvl="1" w:tplc="1DDE20CE">
      <w:start w:val="1"/>
      <w:numFmt w:val="bullet"/>
      <w:lvlText w:val="o"/>
      <w:lvlJc w:val="left"/>
      <w:pPr>
        <w:ind w:left="1440" w:hanging="360"/>
      </w:pPr>
      <w:rPr>
        <w:rFonts w:hint="default" w:ascii="Courier New" w:hAnsi="Courier New"/>
      </w:rPr>
    </w:lvl>
    <w:lvl w:ilvl="2" w:tplc="C5304A4A">
      <w:start w:val="1"/>
      <w:numFmt w:val="bullet"/>
      <w:lvlText w:val=""/>
      <w:lvlJc w:val="left"/>
      <w:pPr>
        <w:ind w:left="2160" w:hanging="360"/>
      </w:pPr>
      <w:rPr>
        <w:rFonts w:hint="default" w:ascii="Wingdings" w:hAnsi="Wingdings"/>
      </w:rPr>
    </w:lvl>
    <w:lvl w:ilvl="3" w:tplc="4CFCCA3E">
      <w:start w:val="1"/>
      <w:numFmt w:val="bullet"/>
      <w:lvlText w:val=""/>
      <w:lvlJc w:val="left"/>
      <w:pPr>
        <w:ind w:left="2880" w:hanging="360"/>
      </w:pPr>
      <w:rPr>
        <w:rFonts w:hint="default" w:ascii="Symbol" w:hAnsi="Symbol"/>
      </w:rPr>
    </w:lvl>
    <w:lvl w:ilvl="4" w:tplc="2E0286D0">
      <w:start w:val="1"/>
      <w:numFmt w:val="bullet"/>
      <w:lvlText w:val="o"/>
      <w:lvlJc w:val="left"/>
      <w:pPr>
        <w:ind w:left="3600" w:hanging="360"/>
      </w:pPr>
      <w:rPr>
        <w:rFonts w:hint="default" w:ascii="Courier New" w:hAnsi="Courier New"/>
      </w:rPr>
    </w:lvl>
    <w:lvl w:ilvl="5" w:tplc="513CC772">
      <w:start w:val="1"/>
      <w:numFmt w:val="bullet"/>
      <w:lvlText w:val=""/>
      <w:lvlJc w:val="left"/>
      <w:pPr>
        <w:ind w:left="4320" w:hanging="360"/>
      </w:pPr>
      <w:rPr>
        <w:rFonts w:hint="default" w:ascii="Wingdings" w:hAnsi="Wingdings"/>
      </w:rPr>
    </w:lvl>
    <w:lvl w:ilvl="6" w:tplc="FD762CCC">
      <w:start w:val="1"/>
      <w:numFmt w:val="bullet"/>
      <w:lvlText w:val=""/>
      <w:lvlJc w:val="left"/>
      <w:pPr>
        <w:ind w:left="5040" w:hanging="360"/>
      </w:pPr>
      <w:rPr>
        <w:rFonts w:hint="default" w:ascii="Symbol" w:hAnsi="Symbol"/>
      </w:rPr>
    </w:lvl>
    <w:lvl w:ilvl="7" w:tplc="F72CDC5C">
      <w:start w:val="1"/>
      <w:numFmt w:val="bullet"/>
      <w:lvlText w:val="o"/>
      <w:lvlJc w:val="left"/>
      <w:pPr>
        <w:ind w:left="5760" w:hanging="360"/>
      </w:pPr>
      <w:rPr>
        <w:rFonts w:hint="default" w:ascii="Courier New" w:hAnsi="Courier New"/>
      </w:rPr>
    </w:lvl>
    <w:lvl w:ilvl="8" w:tplc="50F2C916">
      <w:start w:val="1"/>
      <w:numFmt w:val="bullet"/>
      <w:lvlText w:val=""/>
      <w:lvlJc w:val="left"/>
      <w:pPr>
        <w:ind w:left="6480" w:hanging="360"/>
      </w:pPr>
      <w:rPr>
        <w:rFonts w:hint="default" w:ascii="Wingdings" w:hAnsi="Wingdings"/>
      </w:rPr>
    </w:lvl>
  </w:abstractNum>
  <w:abstractNum w:abstractNumId="3" w15:restartNumberingAfterBreak="0">
    <w:nsid w:val="020D5A7D"/>
    <w:multiLevelType w:val="multilevel"/>
    <w:tmpl w:val="765C3A8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 w15:restartNumberingAfterBreak="0">
    <w:nsid w:val="02D2A258"/>
    <w:multiLevelType w:val="multilevel"/>
    <w:tmpl w:val="FFFFFFFF"/>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5" w15:restartNumberingAfterBreak="0">
    <w:nsid w:val="045858D8"/>
    <w:multiLevelType w:val="hybridMultilevel"/>
    <w:tmpl w:val="4206369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6" w15:restartNumberingAfterBreak="0">
    <w:nsid w:val="047478BF"/>
    <w:multiLevelType w:val="multilevel"/>
    <w:tmpl w:val="01DC907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 w15:restartNumberingAfterBreak="0">
    <w:nsid w:val="05C75231"/>
    <w:multiLevelType w:val="multilevel"/>
    <w:tmpl w:val="C448831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8" w15:restartNumberingAfterBreak="0">
    <w:nsid w:val="061E5BB6"/>
    <w:multiLevelType w:val="hybridMultilevel"/>
    <w:tmpl w:val="5946352E"/>
    <w:lvl w:ilvl="0" w:tplc="A426D1BE">
      <w:numFmt w:val="bullet"/>
      <w:lvlText w:val=""/>
      <w:lvlJc w:val="left"/>
      <w:pPr>
        <w:ind w:left="1080" w:hanging="360"/>
      </w:pPr>
      <w:rPr>
        <w:rFonts w:hint="default" w:ascii="Symbol" w:hAnsi="Symbol" w:eastAsiaTheme="minorHAnsi" w:cstheme="minorBidi"/>
      </w:rPr>
    </w:lvl>
    <w:lvl w:ilvl="1" w:tplc="080A0003" w:tentative="1">
      <w:start w:val="1"/>
      <w:numFmt w:val="bullet"/>
      <w:lvlText w:val="o"/>
      <w:lvlJc w:val="left"/>
      <w:pPr>
        <w:ind w:left="1800" w:hanging="360"/>
      </w:pPr>
      <w:rPr>
        <w:rFonts w:hint="default" w:ascii="Courier New" w:hAnsi="Courier New" w:cs="Courier New"/>
      </w:rPr>
    </w:lvl>
    <w:lvl w:ilvl="2" w:tplc="080A0005" w:tentative="1">
      <w:start w:val="1"/>
      <w:numFmt w:val="bullet"/>
      <w:lvlText w:val=""/>
      <w:lvlJc w:val="left"/>
      <w:pPr>
        <w:ind w:left="2520" w:hanging="360"/>
      </w:pPr>
      <w:rPr>
        <w:rFonts w:hint="default" w:ascii="Wingdings" w:hAnsi="Wingdings"/>
      </w:rPr>
    </w:lvl>
    <w:lvl w:ilvl="3" w:tplc="080A0001" w:tentative="1">
      <w:start w:val="1"/>
      <w:numFmt w:val="bullet"/>
      <w:lvlText w:val=""/>
      <w:lvlJc w:val="left"/>
      <w:pPr>
        <w:ind w:left="3240" w:hanging="360"/>
      </w:pPr>
      <w:rPr>
        <w:rFonts w:hint="default" w:ascii="Symbol" w:hAnsi="Symbol"/>
      </w:rPr>
    </w:lvl>
    <w:lvl w:ilvl="4" w:tplc="080A0003" w:tentative="1">
      <w:start w:val="1"/>
      <w:numFmt w:val="bullet"/>
      <w:lvlText w:val="o"/>
      <w:lvlJc w:val="left"/>
      <w:pPr>
        <w:ind w:left="3960" w:hanging="360"/>
      </w:pPr>
      <w:rPr>
        <w:rFonts w:hint="default" w:ascii="Courier New" w:hAnsi="Courier New" w:cs="Courier New"/>
      </w:rPr>
    </w:lvl>
    <w:lvl w:ilvl="5" w:tplc="080A0005" w:tentative="1">
      <w:start w:val="1"/>
      <w:numFmt w:val="bullet"/>
      <w:lvlText w:val=""/>
      <w:lvlJc w:val="left"/>
      <w:pPr>
        <w:ind w:left="4680" w:hanging="360"/>
      </w:pPr>
      <w:rPr>
        <w:rFonts w:hint="default" w:ascii="Wingdings" w:hAnsi="Wingdings"/>
      </w:rPr>
    </w:lvl>
    <w:lvl w:ilvl="6" w:tplc="080A0001" w:tentative="1">
      <w:start w:val="1"/>
      <w:numFmt w:val="bullet"/>
      <w:lvlText w:val=""/>
      <w:lvlJc w:val="left"/>
      <w:pPr>
        <w:ind w:left="5400" w:hanging="360"/>
      </w:pPr>
      <w:rPr>
        <w:rFonts w:hint="default" w:ascii="Symbol" w:hAnsi="Symbol"/>
      </w:rPr>
    </w:lvl>
    <w:lvl w:ilvl="7" w:tplc="080A0003" w:tentative="1">
      <w:start w:val="1"/>
      <w:numFmt w:val="bullet"/>
      <w:lvlText w:val="o"/>
      <w:lvlJc w:val="left"/>
      <w:pPr>
        <w:ind w:left="6120" w:hanging="360"/>
      </w:pPr>
      <w:rPr>
        <w:rFonts w:hint="default" w:ascii="Courier New" w:hAnsi="Courier New" w:cs="Courier New"/>
      </w:rPr>
    </w:lvl>
    <w:lvl w:ilvl="8" w:tplc="080A0005" w:tentative="1">
      <w:start w:val="1"/>
      <w:numFmt w:val="bullet"/>
      <w:lvlText w:val=""/>
      <w:lvlJc w:val="left"/>
      <w:pPr>
        <w:ind w:left="6840" w:hanging="360"/>
      </w:pPr>
      <w:rPr>
        <w:rFonts w:hint="default" w:ascii="Wingdings" w:hAnsi="Wingdings"/>
      </w:rPr>
    </w:lvl>
  </w:abstractNum>
  <w:abstractNum w:abstractNumId="9" w15:restartNumberingAfterBreak="0">
    <w:nsid w:val="0696EA7C"/>
    <w:multiLevelType w:val="hybridMultilevel"/>
    <w:tmpl w:val="19F65086"/>
    <w:lvl w:ilvl="0" w:tplc="AA38AAE8">
      <w:start w:val="1"/>
      <w:numFmt w:val="bullet"/>
      <w:lvlText w:val="·"/>
      <w:lvlJc w:val="left"/>
      <w:pPr>
        <w:ind w:left="720" w:hanging="360"/>
      </w:pPr>
      <w:rPr>
        <w:rFonts w:hint="default" w:ascii="Symbol" w:hAnsi="Symbol"/>
      </w:rPr>
    </w:lvl>
    <w:lvl w:ilvl="1" w:tplc="29E24DDE">
      <w:start w:val="1"/>
      <w:numFmt w:val="bullet"/>
      <w:lvlText w:val="o"/>
      <w:lvlJc w:val="left"/>
      <w:pPr>
        <w:ind w:left="1440" w:hanging="360"/>
      </w:pPr>
      <w:rPr>
        <w:rFonts w:hint="default" w:ascii="Courier New" w:hAnsi="Courier New"/>
      </w:rPr>
    </w:lvl>
    <w:lvl w:ilvl="2" w:tplc="930A76B2">
      <w:start w:val="1"/>
      <w:numFmt w:val="bullet"/>
      <w:lvlText w:val=""/>
      <w:lvlJc w:val="left"/>
      <w:pPr>
        <w:ind w:left="2160" w:hanging="360"/>
      </w:pPr>
      <w:rPr>
        <w:rFonts w:hint="default" w:ascii="Wingdings" w:hAnsi="Wingdings"/>
      </w:rPr>
    </w:lvl>
    <w:lvl w:ilvl="3" w:tplc="0BC8648C">
      <w:start w:val="1"/>
      <w:numFmt w:val="bullet"/>
      <w:lvlText w:val=""/>
      <w:lvlJc w:val="left"/>
      <w:pPr>
        <w:ind w:left="2880" w:hanging="360"/>
      </w:pPr>
      <w:rPr>
        <w:rFonts w:hint="default" w:ascii="Symbol" w:hAnsi="Symbol"/>
      </w:rPr>
    </w:lvl>
    <w:lvl w:ilvl="4" w:tplc="DB200EE0">
      <w:start w:val="1"/>
      <w:numFmt w:val="bullet"/>
      <w:lvlText w:val="o"/>
      <w:lvlJc w:val="left"/>
      <w:pPr>
        <w:ind w:left="3600" w:hanging="360"/>
      </w:pPr>
      <w:rPr>
        <w:rFonts w:hint="default" w:ascii="Courier New" w:hAnsi="Courier New"/>
      </w:rPr>
    </w:lvl>
    <w:lvl w:ilvl="5" w:tplc="F26498D2">
      <w:start w:val="1"/>
      <w:numFmt w:val="bullet"/>
      <w:lvlText w:val=""/>
      <w:lvlJc w:val="left"/>
      <w:pPr>
        <w:ind w:left="4320" w:hanging="360"/>
      </w:pPr>
      <w:rPr>
        <w:rFonts w:hint="default" w:ascii="Wingdings" w:hAnsi="Wingdings"/>
      </w:rPr>
    </w:lvl>
    <w:lvl w:ilvl="6" w:tplc="4C0CD0A4">
      <w:start w:val="1"/>
      <w:numFmt w:val="bullet"/>
      <w:lvlText w:val=""/>
      <w:lvlJc w:val="left"/>
      <w:pPr>
        <w:ind w:left="5040" w:hanging="360"/>
      </w:pPr>
      <w:rPr>
        <w:rFonts w:hint="default" w:ascii="Symbol" w:hAnsi="Symbol"/>
      </w:rPr>
    </w:lvl>
    <w:lvl w:ilvl="7" w:tplc="BFEEACA2">
      <w:start w:val="1"/>
      <w:numFmt w:val="bullet"/>
      <w:lvlText w:val="o"/>
      <w:lvlJc w:val="left"/>
      <w:pPr>
        <w:ind w:left="5760" w:hanging="360"/>
      </w:pPr>
      <w:rPr>
        <w:rFonts w:hint="default" w:ascii="Courier New" w:hAnsi="Courier New"/>
      </w:rPr>
    </w:lvl>
    <w:lvl w:ilvl="8" w:tplc="7942440E">
      <w:start w:val="1"/>
      <w:numFmt w:val="bullet"/>
      <w:lvlText w:val=""/>
      <w:lvlJc w:val="left"/>
      <w:pPr>
        <w:ind w:left="6480" w:hanging="360"/>
      </w:pPr>
      <w:rPr>
        <w:rFonts w:hint="default" w:ascii="Wingdings" w:hAnsi="Wingdings"/>
      </w:rPr>
    </w:lvl>
  </w:abstractNum>
  <w:abstractNum w:abstractNumId="10" w15:restartNumberingAfterBreak="0">
    <w:nsid w:val="07BB40E8"/>
    <w:multiLevelType w:val="multilevel"/>
    <w:tmpl w:val="7A42DC9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1" w15:restartNumberingAfterBreak="0">
    <w:nsid w:val="08030B05"/>
    <w:multiLevelType w:val="multilevel"/>
    <w:tmpl w:val="BB2E436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2" w15:restartNumberingAfterBreak="0">
    <w:nsid w:val="087199D5"/>
    <w:multiLevelType w:val="hybridMultilevel"/>
    <w:tmpl w:val="88DE55CE"/>
    <w:lvl w:ilvl="0" w:tplc="3D10ED8E">
      <w:start w:val="1"/>
      <w:numFmt w:val="bullet"/>
      <w:lvlText w:val="·"/>
      <w:lvlJc w:val="left"/>
      <w:pPr>
        <w:ind w:left="720" w:hanging="360"/>
      </w:pPr>
      <w:rPr>
        <w:rFonts w:hint="default" w:ascii="Symbol" w:hAnsi="Symbol"/>
      </w:rPr>
    </w:lvl>
    <w:lvl w:ilvl="1" w:tplc="EC029098">
      <w:start w:val="1"/>
      <w:numFmt w:val="bullet"/>
      <w:lvlText w:val="o"/>
      <w:lvlJc w:val="left"/>
      <w:pPr>
        <w:ind w:left="1440" w:hanging="360"/>
      </w:pPr>
      <w:rPr>
        <w:rFonts w:hint="default" w:ascii="Courier New" w:hAnsi="Courier New"/>
      </w:rPr>
    </w:lvl>
    <w:lvl w:ilvl="2" w:tplc="8B0271B6">
      <w:start w:val="1"/>
      <w:numFmt w:val="bullet"/>
      <w:lvlText w:val=""/>
      <w:lvlJc w:val="left"/>
      <w:pPr>
        <w:ind w:left="2160" w:hanging="360"/>
      </w:pPr>
      <w:rPr>
        <w:rFonts w:hint="default" w:ascii="Wingdings" w:hAnsi="Wingdings"/>
      </w:rPr>
    </w:lvl>
    <w:lvl w:ilvl="3" w:tplc="BA142056">
      <w:start w:val="1"/>
      <w:numFmt w:val="bullet"/>
      <w:lvlText w:val=""/>
      <w:lvlJc w:val="left"/>
      <w:pPr>
        <w:ind w:left="2880" w:hanging="360"/>
      </w:pPr>
      <w:rPr>
        <w:rFonts w:hint="default" w:ascii="Symbol" w:hAnsi="Symbol"/>
      </w:rPr>
    </w:lvl>
    <w:lvl w:ilvl="4" w:tplc="050AB8A0">
      <w:start w:val="1"/>
      <w:numFmt w:val="bullet"/>
      <w:lvlText w:val="o"/>
      <w:lvlJc w:val="left"/>
      <w:pPr>
        <w:ind w:left="3600" w:hanging="360"/>
      </w:pPr>
      <w:rPr>
        <w:rFonts w:hint="default" w:ascii="Courier New" w:hAnsi="Courier New"/>
      </w:rPr>
    </w:lvl>
    <w:lvl w:ilvl="5" w:tplc="4746D3F2">
      <w:start w:val="1"/>
      <w:numFmt w:val="bullet"/>
      <w:lvlText w:val=""/>
      <w:lvlJc w:val="left"/>
      <w:pPr>
        <w:ind w:left="4320" w:hanging="360"/>
      </w:pPr>
      <w:rPr>
        <w:rFonts w:hint="default" w:ascii="Wingdings" w:hAnsi="Wingdings"/>
      </w:rPr>
    </w:lvl>
    <w:lvl w:ilvl="6" w:tplc="80D6F9BE">
      <w:start w:val="1"/>
      <w:numFmt w:val="bullet"/>
      <w:lvlText w:val=""/>
      <w:lvlJc w:val="left"/>
      <w:pPr>
        <w:ind w:left="5040" w:hanging="360"/>
      </w:pPr>
      <w:rPr>
        <w:rFonts w:hint="default" w:ascii="Symbol" w:hAnsi="Symbol"/>
      </w:rPr>
    </w:lvl>
    <w:lvl w:ilvl="7" w:tplc="86887C84">
      <w:start w:val="1"/>
      <w:numFmt w:val="bullet"/>
      <w:lvlText w:val="o"/>
      <w:lvlJc w:val="left"/>
      <w:pPr>
        <w:ind w:left="5760" w:hanging="360"/>
      </w:pPr>
      <w:rPr>
        <w:rFonts w:hint="default" w:ascii="Courier New" w:hAnsi="Courier New"/>
      </w:rPr>
    </w:lvl>
    <w:lvl w:ilvl="8" w:tplc="391C5C46">
      <w:start w:val="1"/>
      <w:numFmt w:val="bullet"/>
      <w:lvlText w:val=""/>
      <w:lvlJc w:val="left"/>
      <w:pPr>
        <w:ind w:left="6480" w:hanging="360"/>
      </w:pPr>
      <w:rPr>
        <w:rFonts w:hint="default" w:ascii="Wingdings" w:hAnsi="Wingdings"/>
      </w:rPr>
    </w:lvl>
  </w:abstractNum>
  <w:abstractNum w:abstractNumId="13" w15:restartNumberingAfterBreak="0">
    <w:nsid w:val="09B47F6C"/>
    <w:multiLevelType w:val="multilevel"/>
    <w:tmpl w:val="27A096D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4" w15:restartNumberingAfterBreak="0">
    <w:nsid w:val="09C15990"/>
    <w:multiLevelType w:val="multilevel"/>
    <w:tmpl w:val="7452F2C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5" w15:restartNumberingAfterBreak="0">
    <w:nsid w:val="0A546BBE"/>
    <w:multiLevelType w:val="multilevel"/>
    <w:tmpl w:val="2E2498C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6" w15:restartNumberingAfterBreak="0">
    <w:nsid w:val="0ADF4023"/>
    <w:multiLevelType w:val="multilevel"/>
    <w:tmpl w:val="6FE882B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7" w15:restartNumberingAfterBreak="0">
    <w:nsid w:val="0B671A41"/>
    <w:multiLevelType w:val="multilevel"/>
    <w:tmpl w:val="F1AE577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8" w15:restartNumberingAfterBreak="0">
    <w:nsid w:val="0B992D91"/>
    <w:multiLevelType w:val="hybridMultilevel"/>
    <w:tmpl w:val="FB2C5A40"/>
    <w:lvl w:ilvl="0" w:tplc="DF8A3082">
      <w:start w:val="1"/>
      <w:numFmt w:val="bullet"/>
      <w:lvlText w:val="·"/>
      <w:lvlJc w:val="left"/>
      <w:pPr>
        <w:ind w:left="720" w:hanging="360"/>
      </w:pPr>
      <w:rPr>
        <w:rFonts w:hint="default" w:ascii="Symbol" w:hAnsi="Symbol"/>
      </w:rPr>
    </w:lvl>
    <w:lvl w:ilvl="1" w:tplc="6ED2E84A">
      <w:start w:val="1"/>
      <w:numFmt w:val="bullet"/>
      <w:lvlText w:val="o"/>
      <w:lvlJc w:val="left"/>
      <w:pPr>
        <w:ind w:left="1440" w:hanging="360"/>
      </w:pPr>
      <w:rPr>
        <w:rFonts w:hint="default" w:ascii="Courier New" w:hAnsi="Courier New"/>
      </w:rPr>
    </w:lvl>
    <w:lvl w:ilvl="2" w:tplc="DCEE18D2">
      <w:start w:val="1"/>
      <w:numFmt w:val="bullet"/>
      <w:lvlText w:val=""/>
      <w:lvlJc w:val="left"/>
      <w:pPr>
        <w:ind w:left="2160" w:hanging="360"/>
      </w:pPr>
      <w:rPr>
        <w:rFonts w:hint="default" w:ascii="Wingdings" w:hAnsi="Wingdings"/>
      </w:rPr>
    </w:lvl>
    <w:lvl w:ilvl="3" w:tplc="AFCA49B0">
      <w:start w:val="1"/>
      <w:numFmt w:val="bullet"/>
      <w:lvlText w:val=""/>
      <w:lvlJc w:val="left"/>
      <w:pPr>
        <w:ind w:left="2880" w:hanging="360"/>
      </w:pPr>
      <w:rPr>
        <w:rFonts w:hint="default" w:ascii="Symbol" w:hAnsi="Symbol"/>
      </w:rPr>
    </w:lvl>
    <w:lvl w:ilvl="4" w:tplc="32706B72">
      <w:start w:val="1"/>
      <w:numFmt w:val="bullet"/>
      <w:lvlText w:val="o"/>
      <w:lvlJc w:val="left"/>
      <w:pPr>
        <w:ind w:left="3600" w:hanging="360"/>
      </w:pPr>
      <w:rPr>
        <w:rFonts w:hint="default" w:ascii="Courier New" w:hAnsi="Courier New"/>
      </w:rPr>
    </w:lvl>
    <w:lvl w:ilvl="5" w:tplc="8AF8EBC0">
      <w:start w:val="1"/>
      <w:numFmt w:val="bullet"/>
      <w:lvlText w:val=""/>
      <w:lvlJc w:val="left"/>
      <w:pPr>
        <w:ind w:left="4320" w:hanging="360"/>
      </w:pPr>
      <w:rPr>
        <w:rFonts w:hint="default" w:ascii="Wingdings" w:hAnsi="Wingdings"/>
      </w:rPr>
    </w:lvl>
    <w:lvl w:ilvl="6" w:tplc="C26C3E18">
      <w:start w:val="1"/>
      <w:numFmt w:val="bullet"/>
      <w:lvlText w:val=""/>
      <w:lvlJc w:val="left"/>
      <w:pPr>
        <w:ind w:left="5040" w:hanging="360"/>
      </w:pPr>
      <w:rPr>
        <w:rFonts w:hint="default" w:ascii="Symbol" w:hAnsi="Symbol"/>
      </w:rPr>
    </w:lvl>
    <w:lvl w:ilvl="7" w:tplc="9E965848">
      <w:start w:val="1"/>
      <w:numFmt w:val="bullet"/>
      <w:lvlText w:val="o"/>
      <w:lvlJc w:val="left"/>
      <w:pPr>
        <w:ind w:left="5760" w:hanging="360"/>
      </w:pPr>
      <w:rPr>
        <w:rFonts w:hint="default" w:ascii="Courier New" w:hAnsi="Courier New"/>
      </w:rPr>
    </w:lvl>
    <w:lvl w:ilvl="8" w:tplc="17E40750">
      <w:start w:val="1"/>
      <w:numFmt w:val="bullet"/>
      <w:lvlText w:val=""/>
      <w:lvlJc w:val="left"/>
      <w:pPr>
        <w:ind w:left="6480" w:hanging="360"/>
      </w:pPr>
      <w:rPr>
        <w:rFonts w:hint="default" w:ascii="Wingdings" w:hAnsi="Wingdings"/>
      </w:rPr>
    </w:lvl>
  </w:abstractNum>
  <w:abstractNum w:abstractNumId="19" w15:restartNumberingAfterBreak="0">
    <w:nsid w:val="0C166218"/>
    <w:multiLevelType w:val="hybridMultilevel"/>
    <w:tmpl w:val="8CECB58C"/>
    <w:lvl w:ilvl="0" w:tplc="317CAB86">
      <w:start w:val="1"/>
      <w:numFmt w:val="bullet"/>
      <w:lvlText w:val="·"/>
      <w:lvlJc w:val="left"/>
      <w:pPr>
        <w:ind w:left="720" w:hanging="360"/>
      </w:pPr>
      <w:rPr>
        <w:rFonts w:hint="default" w:ascii="Symbol" w:hAnsi="Symbol"/>
      </w:rPr>
    </w:lvl>
    <w:lvl w:ilvl="1" w:tplc="D2083372">
      <w:start w:val="1"/>
      <w:numFmt w:val="bullet"/>
      <w:lvlText w:val="o"/>
      <w:lvlJc w:val="left"/>
      <w:pPr>
        <w:ind w:left="1440" w:hanging="360"/>
      </w:pPr>
      <w:rPr>
        <w:rFonts w:hint="default" w:ascii="Courier New" w:hAnsi="Courier New"/>
      </w:rPr>
    </w:lvl>
    <w:lvl w:ilvl="2" w:tplc="227444D4">
      <w:start w:val="1"/>
      <w:numFmt w:val="bullet"/>
      <w:lvlText w:val=""/>
      <w:lvlJc w:val="left"/>
      <w:pPr>
        <w:ind w:left="2160" w:hanging="360"/>
      </w:pPr>
      <w:rPr>
        <w:rFonts w:hint="default" w:ascii="Wingdings" w:hAnsi="Wingdings"/>
      </w:rPr>
    </w:lvl>
    <w:lvl w:ilvl="3" w:tplc="051C63FE">
      <w:start w:val="1"/>
      <w:numFmt w:val="bullet"/>
      <w:lvlText w:val=""/>
      <w:lvlJc w:val="left"/>
      <w:pPr>
        <w:ind w:left="2880" w:hanging="360"/>
      </w:pPr>
      <w:rPr>
        <w:rFonts w:hint="default" w:ascii="Symbol" w:hAnsi="Symbol"/>
      </w:rPr>
    </w:lvl>
    <w:lvl w:ilvl="4" w:tplc="9366377E">
      <w:start w:val="1"/>
      <w:numFmt w:val="bullet"/>
      <w:lvlText w:val="o"/>
      <w:lvlJc w:val="left"/>
      <w:pPr>
        <w:ind w:left="3600" w:hanging="360"/>
      </w:pPr>
      <w:rPr>
        <w:rFonts w:hint="default" w:ascii="Courier New" w:hAnsi="Courier New"/>
      </w:rPr>
    </w:lvl>
    <w:lvl w:ilvl="5" w:tplc="6E0E7CC2">
      <w:start w:val="1"/>
      <w:numFmt w:val="bullet"/>
      <w:lvlText w:val=""/>
      <w:lvlJc w:val="left"/>
      <w:pPr>
        <w:ind w:left="4320" w:hanging="360"/>
      </w:pPr>
      <w:rPr>
        <w:rFonts w:hint="default" w:ascii="Wingdings" w:hAnsi="Wingdings"/>
      </w:rPr>
    </w:lvl>
    <w:lvl w:ilvl="6" w:tplc="BFB2B4E2">
      <w:start w:val="1"/>
      <w:numFmt w:val="bullet"/>
      <w:lvlText w:val=""/>
      <w:lvlJc w:val="left"/>
      <w:pPr>
        <w:ind w:left="5040" w:hanging="360"/>
      </w:pPr>
      <w:rPr>
        <w:rFonts w:hint="default" w:ascii="Symbol" w:hAnsi="Symbol"/>
      </w:rPr>
    </w:lvl>
    <w:lvl w:ilvl="7" w:tplc="BAAAA48A">
      <w:start w:val="1"/>
      <w:numFmt w:val="bullet"/>
      <w:lvlText w:val="o"/>
      <w:lvlJc w:val="left"/>
      <w:pPr>
        <w:ind w:left="5760" w:hanging="360"/>
      </w:pPr>
      <w:rPr>
        <w:rFonts w:hint="default" w:ascii="Courier New" w:hAnsi="Courier New"/>
      </w:rPr>
    </w:lvl>
    <w:lvl w:ilvl="8" w:tplc="C316D64C">
      <w:start w:val="1"/>
      <w:numFmt w:val="bullet"/>
      <w:lvlText w:val=""/>
      <w:lvlJc w:val="left"/>
      <w:pPr>
        <w:ind w:left="6480" w:hanging="360"/>
      </w:pPr>
      <w:rPr>
        <w:rFonts w:hint="default" w:ascii="Wingdings" w:hAnsi="Wingdings"/>
      </w:rPr>
    </w:lvl>
  </w:abstractNum>
  <w:abstractNum w:abstractNumId="20" w15:restartNumberingAfterBreak="0">
    <w:nsid w:val="0D1F0E87"/>
    <w:multiLevelType w:val="multilevel"/>
    <w:tmpl w:val="08AC0C3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1" w15:restartNumberingAfterBreak="0">
    <w:nsid w:val="0D24413D"/>
    <w:multiLevelType w:val="multilevel"/>
    <w:tmpl w:val="FAB6BDD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2" w15:restartNumberingAfterBreak="0">
    <w:nsid w:val="0E0519C4"/>
    <w:multiLevelType w:val="hybridMultilevel"/>
    <w:tmpl w:val="42366F20"/>
    <w:lvl w:ilvl="0" w:tplc="A426D1BE">
      <w:numFmt w:val="bullet"/>
      <w:lvlText w:val=""/>
      <w:lvlJc w:val="left"/>
      <w:pPr>
        <w:ind w:left="1070" w:hanging="360"/>
      </w:pPr>
      <w:rPr>
        <w:rFonts w:hint="default" w:ascii="Symbol" w:hAnsi="Symbol" w:eastAsiaTheme="minorHAnsi" w:cstheme="minorBidi"/>
      </w:rPr>
    </w:lvl>
    <w:lvl w:ilvl="1" w:tplc="240A0003" w:tentative="1">
      <w:start w:val="1"/>
      <w:numFmt w:val="bullet"/>
      <w:lvlText w:val="o"/>
      <w:lvlJc w:val="left"/>
      <w:pPr>
        <w:ind w:left="1790" w:hanging="360"/>
      </w:pPr>
      <w:rPr>
        <w:rFonts w:hint="default" w:ascii="Courier New" w:hAnsi="Courier New" w:cs="Courier New"/>
      </w:rPr>
    </w:lvl>
    <w:lvl w:ilvl="2" w:tplc="240A0005" w:tentative="1">
      <w:start w:val="1"/>
      <w:numFmt w:val="bullet"/>
      <w:lvlText w:val=""/>
      <w:lvlJc w:val="left"/>
      <w:pPr>
        <w:ind w:left="2510" w:hanging="360"/>
      </w:pPr>
      <w:rPr>
        <w:rFonts w:hint="default" w:ascii="Wingdings" w:hAnsi="Wingdings"/>
      </w:rPr>
    </w:lvl>
    <w:lvl w:ilvl="3" w:tplc="240A0001" w:tentative="1">
      <w:start w:val="1"/>
      <w:numFmt w:val="bullet"/>
      <w:lvlText w:val=""/>
      <w:lvlJc w:val="left"/>
      <w:pPr>
        <w:ind w:left="3230" w:hanging="360"/>
      </w:pPr>
      <w:rPr>
        <w:rFonts w:hint="default" w:ascii="Symbol" w:hAnsi="Symbol"/>
      </w:rPr>
    </w:lvl>
    <w:lvl w:ilvl="4" w:tplc="240A0003" w:tentative="1">
      <w:start w:val="1"/>
      <w:numFmt w:val="bullet"/>
      <w:lvlText w:val="o"/>
      <w:lvlJc w:val="left"/>
      <w:pPr>
        <w:ind w:left="3950" w:hanging="360"/>
      </w:pPr>
      <w:rPr>
        <w:rFonts w:hint="default" w:ascii="Courier New" w:hAnsi="Courier New" w:cs="Courier New"/>
      </w:rPr>
    </w:lvl>
    <w:lvl w:ilvl="5" w:tplc="240A0005" w:tentative="1">
      <w:start w:val="1"/>
      <w:numFmt w:val="bullet"/>
      <w:lvlText w:val=""/>
      <w:lvlJc w:val="left"/>
      <w:pPr>
        <w:ind w:left="4670" w:hanging="360"/>
      </w:pPr>
      <w:rPr>
        <w:rFonts w:hint="default" w:ascii="Wingdings" w:hAnsi="Wingdings"/>
      </w:rPr>
    </w:lvl>
    <w:lvl w:ilvl="6" w:tplc="240A0001" w:tentative="1">
      <w:start w:val="1"/>
      <w:numFmt w:val="bullet"/>
      <w:lvlText w:val=""/>
      <w:lvlJc w:val="left"/>
      <w:pPr>
        <w:ind w:left="5390" w:hanging="360"/>
      </w:pPr>
      <w:rPr>
        <w:rFonts w:hint="default" w:ascii="Symbol" w:hAnsi="Symbol"/>
      </w:rPr>
    </w:lvl>
    <w:lvl w:ilvl="7" w:tplc="240A0003" w:tentative="1">
      <w:start w:val="1"/>
      <w:numFmt w:val="bullet"/>
      <w:lvlText w:val="o"/>
      <w:lvlJc w:val="left"/>
      <w:pPr>
        <w:ind w:left="6110" w:hanging="360"/>
      </w:pPr>
      <w:rPr>
        <w:rFonts w:hint="default" w:ascii="Courier New" w:hAnsi="Courier New" w:cs="Courier New"/>
      </w:rPr>
    </w:lvl>
    <w:lvl w:ilvl="8" w:tplc="240A0005" w:tentative="1">
      <w:start w:val="1"/>
      <w:numFmt w:val="bullet"/>
      <w:lvlText w:val=""/>
      <w:lvlJc w:val="left"/>
      <w:pPr>
        <w:ind w:left="6830" w:hanging="360"/>
      </w:pPr>
      <w:rPr>
        <w:rFonts w:hint="default" w:ascii="Wingdings" w:hAnsi="Wingdings"/>
      </w:rPr>
    </w:lvl>
  </w:abstractNum>
  <w:abstractNum w:abstractNumId="23" w15:restartNumberingAfterBreak="0">
    <w:nsid w:val="0F350DC4"/>
    <w:multiLevelType w:val="multilevel"/>
    <w:tmpl w:val="8E748AA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4" w15:restartNumberingAfterBreak="0">
    <w:nsid w:val="105CAEE8"/>
    <w:multiLevelType w:val="hybridMultilevel"/>
    <w:tmpl w:val="E2207E26"/>
    <w:lvl w:ilvl="0" w:tplc="11821A70">
      <w:start w:val="1"/>
      <w:numFmt w:val="bullet"/>
      <w:lvlText w:val="·"/>
      <w:lvlJc w:val="left"/>
      <w:pPr>
        <w:ind w:left="720" w:hanging="360"/>
      </w:pPr>
      <w:rPr>
        <w:rFonts w:hint="default" w:ascii="Symbol" w:hAnsi="Symbol"/>
      </w:rPr>
    </w:lvl>
    <w:lvl w:ilvl="1" w:tplc="9AB246DA">
      <w:start w:val="1"/>
      <w:numFmt w:val="bullet"/>
      <w:lvlText w:val="o"/>
      <w:lvlJc w:val="left"/>
      <w:pPr>
        <w:ind w:left="1440" w:hanging="360"/>
      </w:pPr>
      <w:rPr>
        <w:rFonts w:hint="default" w:ascii="Courier New" w:hAnsi="Courier New"/>
      </w:rPr>
    </w:lvl>
    <w:lvl w:ilvl="2" w:tplc="7A1052E2">
      <w:start w:val="1"/>
      <w:numFmt w:val="bullet"/>
      <w:lvlText w:val=""/>
      <w:lvlJc w:val="left"/>
      <w:pPr>
        <w:ind w:left="2160" w:hanging="360"/>
      </w:pPr>
      <w:rPr>
        <w:rFonts w:hint="default" w:ascii="Wingdings" w:hAnsi="Wingdings"/>
      </w:rPr>
    </w:lvl>
    <w:lvl w:ilvl="3" w:tplc="1736DDCC">
      <w:start w:val="1"/>
      <w:numFmt w:val="bullet"/>
      <w:lvlText w:val=""/>
      <w:lvlJc w:val="left"/>
      <w:pPr>
        <w:ind w:left="2880" w:hanging="360"/>
      </w:pPr>
      <w:rPr>
        <w:rFonts w:hint="default" w:ascii="Symbol" w:hAnsi="Symbol"/>
      </w:rPr>
    </w:lvl>
    <w:lvl w:ilvl="4" w:tplc="6422FF4A">
      <w:start w:val="1"/>
      <w:numFmt w:val="bullet"/>
      <w:lvlText w:val="o"/>
      <w:lvlJc w:val="left"/>
      <w:pPr>
        <w:ind w:left="3600" w:hanging="360"/>
      </w:pPr>
      <w:rPr>
        <w:rFonts w:hint="default" w:ascii="Courier New" w:hAnsi="Courier New"/>
      </w:rPr>
    </w:lvl>
    <w:lvl w:ilvl="5" w:tplc="7ADE1868">
      <w:start w:val="1"/>
      <w:numFmt w:val="bullet"/>
      <w:lvlText w:val=""/>
      <w:lvlJc w:val="left"/>
      <w:pPr>
        <w:ind w:left="4320" w:hanging="360"/>
      </w:pPr>
      <w:rPr>
        <w:rFonts w:hint="default" w:ascii="Wingdings" w:hAnsi="Wingdings"/>
      </w:rPr>
    </w:lvl>
    <w:lvl w:ilvl="6" w:tplc="D1F418D8">
      <w:start w:val="1"/>
      <w:numFmt w:val="bullet"/>
      <w:lvlText w:val=""/>
      <w:lvlJc w:val="left"/>
      <w:pPr>
        <w:ind w:left="5040" w:hanging="360"/>
      </w:pPr>
      <w:rPr>
        <w:rFonts w:hint="default" w:ascii="Symbol" w:hAnsi="Symbol"/>
      </w:rPr>
    </w:lvl>
    <w:lvl w:ilvl="7" w:tplc="A05C88D0">
      <w:start w:val="1"/>
      <w:numFmt w:val="bullet"/>
      <w:lvlText w:val="o"/>
      <w:lvlJc w:val="left"/>
      <w:pPr>
        <w:ind w:left="5760" w:hanging="360"/>
      </w:pPr>
      <w:rPr>
        <w:rFonts w:hint="default" w:ascii="Courier New" w:hAnsi="Courier New"/>
      </w:rPr>
    </w:lvl>
    <w:lvl w:ilvl="8" w:tplc="2EE444B6">
      <w:start w:val="1"/>
      <w:numFmt w:val="bullet"/>
      <w:lvlText w:val=""/>
      <w:lvlJc w:val="left"/>
      <w:pPr>
        <w:ind w:left="6480" w:hanging="360"/>
      </w:pPr>
      <w:rPr>
        <w:rFonts w:hint="default" w:ascii="Wingdings" w:hAnsi="Wingdings"/>
      </w:rPr>
    </w:lvl>
  </w:abstractNum>
  <w:abstractNum w:abstractNumId="25" w15:restartNumberingAfterBreak="0">
    <w:nsid w:val="14774812"/>
    <w:multiLevelType w:val="multilevel"/>
    <w:tmpl w:val="2D24065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6" w15:restartNumberingAfterBreak="0">
    <w:nsid w:val="14BF87F5"/>
    <w:multiLevelType w:val="hybridMultilevel"/>
    <w:tmpl w:val="555641D0"/>
    <w:lvl w:ilvl="0" w:tplc="594ACBB6">
      <w:start w:val="1"/>
      <w:numFmt w:val="bullet"/>
      <w:lvlText w:val="·"/>
      <w:lvlJc w:val="left"/>
      <w:pPr>
        <w:ind w:left="720" w:hanging="360"/>
      </w:pPr>
      <w:rPr>
        <w:rFonts w:hint="default" w:ascii="Symbol" w:hAnsi="Symbol"/>
      </w:rPr>
    </w:lvl>
    <w:lvl w:ilvl="1" w:tplc="B824DD8C">
      <w:start w:val="1"/>
      <w:numFmt w:val="bullet"/>
      <w:lvlText w:val="o"/>
      <w:lvlJc w:val="left"/>
      <w:pPr>
        <w:ind w:left="1440" w:hanging="360"/>
      </w:pPr>
      <w:rPr>
        <w:rFonts w:hint="default" w:ascii="Courier New" w:hAnsi="Courier New"/>
      </w:rPr>
    </w:lvl>
    <w:lvl w:ilvl="2" w:tplc="046C21FA">
      <w:start w:val="1"/>
      <w:numFmt w:val="bullet"/>
      <w:lvlText w:val=""/>
      <w:lvlJc w:val="left"/>
      <w:pPr>
        <w:ind w:left="2160" w:hanging="360"/>
      </w:pPr>
      <w:rPr>
        <w:rFonts w:hint="default" w:ascii="Wingdings" w:hAnsi="Wingdings"/>
      </w:rPr>
    </w:lvl>
    <w:lvl w:ilvl="3" w:tplc="B680F79E">
      <w:start w:val="1"/>
      <w:numFmt w:val="bullet"/>
      <w:lvlText w:val=""/>
      <w:lvlJc w:val="left"/>
      <w:pPr>
        <w:ind w:left="2880" w:hanging="360"/>
      </w:pPr>
      <w:rPr>
        <w:rFonts w:hint="default" w:ascii="Symbol" w:hAnsi="Symbol"/>
      </w:rPr>
    </w:lvl>
    <w:lvl w:ilvl="4" w:tplc="05862C14">
      <w:start w:val="1"/>
      <w:numFmt w:val="bullet"/>
      <w:lvlText w:val="o"/>
      <w:lvlJc w:val="left"/>
      <w:pPr>
        <w:ind w:left="3600" w:hanging="360"/>
      </w:pPr>
      <w:rPr>
        <w:rFonts w:hint="default" w:ascii="Courier New" w:hAnsi="Courier New"/>
      </w:rPr>
    </w:lvl>
    <w:lvl w:ilvl="5" w:tplc="5B46FB98">
      <w:start w:val="1"/>
      <w:numFmt w:val="bullet"/>
      <w:lvlText w:val=""/>
      <w:lvlJc w:val="left"/>
      <w:pPr>
        <w:ind w:left="4320" w:hanging="360"/>
      </w:pPr>
      <w:rPr>
        <w:rFonts w:hint="default" w:ascii="Wingdings" w:hAnsi="Wingdings"/>
      </w:rPr>
    </w:lvl>
    <w:lvl w:ilvl="6" w:tplc="9072C6E8">
      <w:start w:val="1"/>
      <w:numFmt w:val="bullet"/>
      <w:lvlText w:val=""/>
      <w:lvlJc w:val="left"/>
      <w:pPr>
        <w:ind w:left="5040" w:hanging="360"/>
      </w:pPr>
      <w:rPr>
        <w:rFonts w:hint="default" w:ascii="Symbol" w:hAnsi="Symbol"/>
      </w:rPr>
    </w:lvl>
    <w:lvl w:ilvl="7" w:tplc="4AA87CAE">
      <w:start w:val="1"/>
      <w:numFmt w:val="bullet"/>
      <w:lvlText w:val="o"/>
      <w:lvlJc w:val="left"/>
      <w:pPr>
        <w:ind w:left="5760" w:hanging="360"/>
      </w:pPr>
      <w:rPr>
        <w:rFonts w:hint="default" w:ascii="Courier New" w:hAnsi="Courier New"/>
      </w:rPr>
    </w:lvl>
    <w:lvl w:ilvl="8" w:tplc="B0D8CF86">
      <w:start w:val="1"/>
      <w:numFmt w:val="bullet"/>
      <w:lvlText w:val=""/>
      <w:lvlJc w:val="left"/>
      <w:pPr>
        <w:ind w:left="6480" w:hanging="360"/>
      </w:pPr>
      <w:rPr>
        <w:rFonts w:hint="default" w:ascii="Wingdings" w:hAnsi="Wingdings"/>
      </w:rPr>
    </w:lvl>
  </w:abstractNum>
  <w:abstractNum w:abstractNumId="27" w15:restartNumberingAfterBreak="0">
    <w:nsid w:val="14DC606E"/>
    <w:multiLevelType w:val="hybridMultilevel"/>
    <w:tmpl w:val="0CD4994A"/>
    <w:lvl w:ilvl="0" w:tplc="240A0019">
      <w:start w:val="1"/>
      <w:numFmt w:val="lowerLetter"/>
      <w:lvlText w:val="%1."/>
      <w:lvlJc w:val="left"/>
      <w:pPr>
        <w:ind w:left="720" w:hanging="360"/>
      </w:pPr>
      <w:rPr>
        <w:rFonts w:hint="default"/>
      </w:rPr>
    </w:lvl>
    <w:lvl w:ilvl="1" w:tplc="1A2A004E">
      <w:start w:val="1"/>
      <w:numFmt w:val="lowerLetter"/>
      <w:lvlText w:val="%2)"/>
      <w:lvlJc w:val="left"/>
      <w:pPr>
        <w:ind w:left="1785" w:hanging="705"/>
      </w:pPr>
      <w:rPr>
        <w:rFonts w:hint="default"/>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14F93959"/>
    <w:multiLevelType w:val="multilevel"/>
    <w:tmpl w:val="8038447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9" w15:restartNumberingAfterBreak="0">
    <w:nsid w:val="169900EC"/>
    <w:multiLevelType w:val="hybridMultilevel"/>
    <w:tmpl w:val="8CAE617A"/>
    <w:lvl w:ilvl="0" w:tplc="FDD22F3A">
      <w:start w:val="1"/>
      <w:numFmt w:val="bullet"/>
      <w:lvlText w:val="·"/>
      <w:lvlJc w:val="left"/>
      <w:pPr>
        <w:ind w:left="720" w:hanging="360"/>
      </w:pPr>
      <w:rPr>
        <w:rFonts w:hint="default" w:ascii="Symbol" w:hAnsi="Symbol"/>
      </w:rPr>
    </w:lvl>
    <w:lvl w:ilvl="1" w:tplc="141A9DC0">
      <w:start w:val="1"/>
      <w:numFmt w:val="bullet"/>
      <w:lvlText w:val="o"/>
      <w:lvlJc w:val="left"/>
      <w:pPr>
        <w:ind w:left="1440" w:hanging="360"/>
      </w:pPr>
      <w:rPr>
        <w:rFonts w:hint="default" w:ascii="Courier New" w:hAnsi="Courier New"/>
      </w:rPr>
    </w:lvl>
    <w:lvl w:ilvl="2" w:tplc="359292FE">
      <w:start w:val="1"/>
      <w:numFmt w:val="bullet"/>
      <w:lvlText w:val=""/>
      <w:lvlJc w:val="left"/>
      <w:pPr>
        <w:ind w:left="2160" w:hanging="360"/>
      </w:pPr>
      <w:rPr>
        <w:rFonts w:hint="default" w:ascii="Wingdings" w:hAnsi="Wingdings"/>
      </w:rPr>
    </w:lvl>
    <w:lvl w:ilvl="3" w:tplc="888A89BC">
      <w:start w:val="1"/>
      <w:numFmt w:val="bullet"/>
      <w:lvlText w:val=""/>
      <w:lvlJc w:val="left"/>
      <w:pPr>
        <w:ind w:left="2880" w:hanging="360"/>
      </w:pPr>
      <w:rPr>
        <w:rFonts w:hint="default" w:ascii="Symbol" w:hAnsi="Symbol"/>
      </w:rPr>
    </w:lvl>
    <w:lvl w:ilvl="4" w:tplc="5184A4FE">
      <w:start w:val="1"/>
      <w:numFmt w:val="bullet"/>
      <w:lvlText w:val="o"/>
      <w:lvlJc w:val="left"/>
      <w:pPr>
        <w:ind w:left="3600" w:hanging="360"/>
      </w:pPr>
      <w:rPr>
        <w:rFonts w:hint="default" w:ascii="Courier New" w:hAnsi="Courier New"/>
      </w:rPr>
    </w:lvl>
    <w:lvl w:ilvl="5" w:tplc="11843F78">
      <w:start w:val="1"/>
      <w:numFmt w:val="bullet"/>
      <w:lvlText w:val=""/>
      <w:lvlJc w:val="left"/>
      <w:pPr>
        <w:ind w:left="4320" w:hanging="360"/>
      </w:pPr>
      <w:rPr>
        <w:rFonts w:hint="default" w:ascii="Wingdings" w:hAnsi="Wingdings"/>
      </w:rPr>
    </w:lvl>
    <w:lvl w:ilvl="6" w:tplc="6770D168">
      <w:start w:val="1"/>
      <w:numFmt w:val="bullet"/>
      <w:lvlText w:val=""/>
      <w:lvlJc w:val="left"/>
      <w:pPr>
        <w:ind w:left="5040" w:hanging="360"/>
      </w:pPr>
      <w:rPr>
        <w:rFonts w:hint="default" w:ascii="Symbol" w:hAnsi="Symbol"/>
      </w:rPr>
    </w:lvl>
    <w:lvl w:ilvl="7" w:tplc="06CAC50E">
      <w:start w:val="1"/>
      <w:numFmt w:val="bullet"/>
      <w:lvlText w:val="o"/>
      <w:lvlJc w:val="left"/>
      <w:pPr>
        <w:ind w:left="5760" w:hanging="360"/>
      </w:pPr>
      <w:rPr>
        <w:rFonts w:hint="default" w:ascii="Courier New" w:hAnsi="Courier New"/>
      </w:rPr>
    </w:lvl>
    <w:lvl w:ilvl="8" w:tplc="22BA7F48">
      <w:start w:val="1"/>
      <w:numFmt w:val="bullet"/>
      <w:lvlText w:val=""/>
      <w:lvlJc w:val="left"/>
      <w:pPr>
        <w:ind w:left="6480" w:hanging="360"/>
      </w:pPr>
      <w:rPr>
        <w:rFonts w:hint="default" w:ascii="Wingdings" w:hAnsi="Wingdings"/>
      </w:rPr>
    </w:lvl>
  </w:abstractNum>
  <w:abstractNum w:abstractNumId="30" w15:restartNumberingAfterBreak="0">
    <w:nsid w:val="17624C99"/>
    <w:multiLevelType w:val="multilevel"/>
    <w:tmpl w:val="AB3EEB3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1" w15:restartNumberingAfterBreak="0">
    <w:nsid w:val="17DE5ABD"/>
    <w:multiLevelType w:val="hybridMultilevel"/>
    <w:tmpl w:val="B6960D64"/>
    <w:lvl w:ilvl="0" w:tplc="A426D1BE">
      <w:numFmt w:val="bullet"/>
      <w:lvlText w:val=""/>
      <w:lvlJc w:val="left"/>
      <w:pPr>
        <w:ind w:left="720" w:hanging="360"/>
      </w:pPr>
      <w:rPr>
        <w:rFonts w:hint="default" w:ascii="Symbol" w:hAnsi="Symbol" w:eastAsiaTheme="minorHAnsi" w:cstheme="minorBidi"/>
      </w:rPr>
    </w:lvl>
    <w:lvl w:ilvl="1" w:tplc="080A0003" w:tentative="1">
      <w:start w:val="1"/>
      <w:numFmt w:val="bullet"/>
      <w:lvlText w:val="o"/>
      <w:lvlJc w:val="left"/>
      <w:pPr>
        <w:ind w:left="1440" w:hanging="360"/>
      </w:pPr>
      <w:rPr>
        <w:rFonts w:hint="default" w:ascii="Courier New" w:hAnsi="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rPr>
    </w:lvl>
    <w:lvl w:ilvl="8" w:tplc="080A0005" w:tentative="1">
      <w:start w:val="1"/>
      <w:numFmt w:val="bullet"/>
      <w:lvlText w:val=""/>
      <w:lvlJc w:val="left"/>
      <w:pPr>
        <w:ind w:left="6480" w:hanging="360"/>
      </w:pPr>
      <w:rPr>
        <w:rFonts w:hint="default" w:ascii="Wingdings" w:hAnsi="Wingdings"/>
      </w:rPr>
    </w:lvl>
  </w:abstractNum>
  <w:abstractNum w:abstractNumId="32" w15:restartNumberingAfterBreak="0">
    <w:nsid w:val="17F834D5"/>
    <w:multiLevelType w:val="multilevel"/>
    <w:tmpl w:val="3FB0A62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3" w15:restartNumberingAfterBreak="0">
    <w:nsid w:val="19477513"/>
    <w:multiLevelType w:val="multilevel"/>
    <w:tmpl w:val="5A7CDFF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4" w15:restartNumberingAfterBreak="0">
    <w:nsid w:val="1A25298B"/>
    <w:multiLevelType w:val="multilevel"/>
    <w:tmpl w:val="FB2A30A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5" w15:restartNumberingAfterBreak="0">
    <w:nsid w:val="1A3B7A8C"/>
    <w:multiLevelType w:val="hybridMultilevel"/>
    <w:tmpl w:val="5BF2B5D0"/>
    <w:lvl w:ilvl="0" w:tplc="A426D1BE">
      <w:numFmt w:val="bullet"/>
      <w:lvlText w:val=""/>
      <w:lvlJc w:val="left"/>
      <w:pPr>
        <w:ind w:left="928" w:hanging="360"/>
      </w:pPr>
      <w:rPr>
        <w:rFonts w:hint="default" w:ascii="Symbol" w:hAnsi="Symbol" w:eastAsiaTheme="minorHAnsi" w:cstheme="minorBidi"/>
      </w:rPr>
    </w:lvl>
    <w:lvl w:ilvl="1" w:tplc="240A0003" w:tentative="1">
      <w:start w:val="1"/>
      <w:numFmt w:val="bullet"/>
      <w:lvlText w:val="o"/>
      <w:lvlJc w:val="left"/>
      <w:pPr>
        <w:ind w:left="1648" w:hanging="360"/>
      </w:pPr>
      <w:rPr>
        <w:rFonts w:hint="default" w:ascii="Courier New" w:hAnsi="Courier New" w:cs="Courier New"/>
      </w:rPr>
    </w:lvl>
    <w:lvl w:ilvl="2" w:tplc="240A0005" w:tentative="1">
      <w:start w:val="1"/>
      <w:numFmt w:val="bullet"/>
      <w:lvlText w:val=""/>
      <w:lvlJc w:val="left"/>
      <w:pPr>
        <w:ind w:left="2368" w:hanging="360"/>
      </w:pPr>
      <w:rPr>
        <w:rFonts w:hint="default" w:ascii="Wingdings" w:hAnsi="Wingdings"/>
      </w:rPr>
    </w:lvl>
    <w:lvl w:ilvl="3" w:tplc="240A0001" w:tentative="1">
      <w:start w:val="1"/>
      <w:numFmt w:val="bullet"/>
      <w:lvlText w:val=""/>
      <w:lvlJc w:val="left"/>
      <w:pPr>
        <w:ind w:left="3088" w:hanging="360"/>
      </w:pPr>
      <w:rPr>
        <w:rFonts w:hint="default" w:ascii="Symbol" w:hAnsi="Symbol"/>
      </w:rPr>
    </w:lvl>
    <w:lvl w:ilvl="4" w:tplc="240A0003" w:tentative="1">
      <w:start w:val="1"/>
      <w:numFmt w:val="bullet"/>
      <w:lvlText w:val="o"/>
      <w:lvlJc w:val="left"/>
      <w:pPr>
        <w:ind w:left="3808" w:hanging="360"/>
      </w:pPr>
      <w:rPr>
        <w:rFonts w:hint="default" w:ascii="Courier New" w:hAnsi="Courier New" w:cs="Courier New"/>
      </w:rPr>
    </w:lvl>
    <w:lvl w:ilvl="5" w:tplc="240A0005" w:tentative="1">
      <w:start w:val="1"/>
      <w:numFmt w:val="bullet"/>
      <w:lvlText w:val=""/>
      <w:lvlJc w:val="left"/>
      <w:pPr>
        <w:ind w:left="4528" w:hanging="360"/>
      </w:pPr>
      <w:rPr>
        <w:rFonts w:hint="default" w:ascii="Wingdings" w:hAnsi="Wingdings"/>
      </w:rPr>
    </w:lvl>
    <w:lvl w:ilvl="6" w:tplc="240A0001" w:tentative="1">
      <w:start w:val="1"/>
      <w:numFmt w:val="bullet"/>
      <w:lvlText w:val=""/>
      <w:lvlJc w:val="left"/>
      <w:pPr>
        <w:ind w:left="5248" w:hanging="360"/>
      </w:pPr>
      <w:rPr>
        <w:rFonts w:hint="default" w:ascii="Symbol" w:hAnsi="Symbol"/>
      </w:rPr>
    </w:lvl>
    <w:lvl w:ilvl="7" w:tplc="240A0003" w:tentative="1">
      <w:start w:val="1"/>
      <w:numFmt w:val="bullet"/>
      <w:lvlText w:val="o"/>
      <w:lvlJc w:val="left"/>
      <w:pPr>
        <w:ind w:left="5968" w:hanging="360"/>
      </w:pPr>
      <w:rPr>
        <w:rFonts w:hint="default" w:ascii="Courier New" w:hAnsi="Courier New" w:cs="Courier New"/>
      </w:rPr>
    </w:lvl>
    <w:lvl w:ilvl="8" w:tplc="240A0005" w:tentative="1">
      <w:start w:val="1"/>
      <w:numFmt w:val="bullet"/>
      <w:lvlText w:val=""/>
      <w:lvlJc w:val="left"/>
      <w:pPr>
        <w:ind w:left="6688" w:hanging="360"/>
      </w:pPr>
      <w:rPr>
        <w:rFonts w:hint="default" w:ascii="Wingdings" w:hAnsi="Wingdings"/>
      </w:rPr>
    </w:lvl>
  </w:abstractNum>
  <w:abstractNum w:abstractNumId="36" w15:restartNumberingAfterBreak="0">
    <w:nsid w:val="1A5A20F6"/>
    <w:multiLevelType w:val="multilevel"/>
    <w:tmpl w:val="61BCEFC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7" w15:restartNumberingAfterBreak="0">
    <w:nsid w:val="1B0003D8"/>
    <w:multiLevelType w:val="hybridMultilevel"/>
    <w:tmpl w:val="32401C10"/>
    <w:lvl w:ilvl="0" w:tplc="C7EC43E0">
      <w:numFmt w:val="bullet"/>
      <w:lvlText w:val="•"/>
      <w:lvlJc w:val="left"/>
      <w:pPr>
        <w:ind w:left="989" w:hanging="705"/>
      </w:pPr>
      <w:rPr>
        <w:rFonts w:hint="default" w:ascii="Verdana" w:hAnsi="Verdana" w:cs="Arial" w:eastAsiaTheme="minorHAnsi"/>
      </w:rPr>
    </w:lvl>
    <w:lvl w:ilvl="1" w:tplc="240A0003" w:tentative="1">
      <w:start w:val="1"/>
      <w:numFmt w:val="bullet"/>
      <w:lvlText w:val="o"/>
      <w:lvlJc w:val="left"/>
      <w:pPr>
        <w:ind w:left="1364" w:hanging="360"/>
      </w:pPr>
      <w:rPr>
        <w:rFonts w:hint="default" w:ascii="Courier New" w:hAnsi="Courier New" w:cs="Courier New"/>
      </w:rPr>
    </w:lvl>
    <w:lvl w:ilvl="2" w:tplc="240A0005" w:tentative="1">
      <w:start w:val="1"/>
      <w:numFmt w:val="bullet"/>
      <w:lvlText w:val=""/>
      <w:lvlJc w:val="left"/>
      <w:pPr>
        <w:ind w:left="2084" w:hanging="360"/>
      </w:pPr>
      <w:rPr>
        <w:rFonts w:hint="default" w:ascii="Wingdings" w:hAnsi="Wingdings"/>
      </w:rPr>
    </w:lvl>
    <w:lvl w:ilvl="3" w:tplc="240A0001" w:tentative="1">
      <w:start w:val="1"/>
      <w:numFmt w:val="bullet"/>
      <w:lvlText w:val=""/>
      <w:lvlJc w:val="left"/>
      <w:pPr>
        <w:ind w:left="2804" w:hanging="360"/>
      </w:pPr>
      <w:rPr>
        <w:rFonts w:hint="default" w:ascii="Symbol" w:hAnsi="Symbol"/>
      </w:rPr>
    </w:lvl>
    <w:lvl w:ilvl="4" w:tplc="240A0003" w:tentative="1">
      <w:start w:val="1"/>
      <w:numFmt w:val="bullet"/>
      <w:lvlText w:val="o"/>
      <w:lvlJc w:val="left"/>
      <w:pPr>
        <w:ind w:left="3524" w:hanging="360"/>
      </w:pPr>
      <w:rPr>
        <w:rFonts w:hint="default" w:ascii="Courier New" w:hAnsi="Courier New" w:cs="Courier New"/>
      </w:rPr>
    </w:lvl>
    <w:lvl w:ilvl="5" w:tplc="240A0005" w:tentative="1">
      <w:start w:val="1"/>
      <w:numFmt w:val="bullet"/>
      <w:lvlText w:val=""/>
      <w:lvlJc w:val="left"/>
      <w:pPr>
        <w:ind w:left="4244" w:hanging="360"/>
      </w:pPr>
      <w:rPr>
        <w:rFonts w:hint="default" w:ascii="Wingdings" w:hAnsi="Wingdings"/>
      </w:rPr>
    </w:lvl>
    <w:lvl w:ilvl="6" w:tplc="240A0001" w:tentative="1">
      <w:start w:val="1"/>
      <w:numFmt w:val="bullet"/>
      <w:lvlText w:val=""/>
      <w:lvlJc w:val="left"/>
      <w:pPr>
        <w:ind w:left="4964" w:hanging="360"/>
      </w:pPr>
      <w:rPr>
        <w:rFonts w:hint="default" w:ascii="Symbol" w:hAnsi="Symbol"/>
      </w:rPr>
    </w:lvl>
    <w:lvl w:ilvl="7" w:tplc="240A0003" w:tentative="1">
      <w:start w:val="1"/>
      <w:numFmt w:val="bullet"/>
      <w:lvlText w:val="o"/>
      <w:lvlJc w:val="left"/>
      <w:pPr>
        <w:ind w:left="5684" w:hanging="360"/>
      </w:pPr>
      <w:rPr>
        <w:rFonts w:hint="default" w:ascii="Courier New" w:hAnsi="Courier New" w:cs="Courier New"/>
      </w:rPr>
    </w:lvl>
    <w:lvl w:ilvl="8" w:tplc="240A0005" w:tentative="1">
      <w:start w:val="1"/>
      <w:numFmt w:val="bullet"/>
      <w:lvlText w:val=""/>
      <w:lvlJc w:val="left"/>
      <w:pPr>
        <w:ind w:left="6404" w:hanging="360"/>
      </w:pPr>
      <w:rPr>
        <w:rFonts w:hint="default" w:ascii="Wingdings" w:hAnsi="Wingdings"/>
      </w:rPr>
    </w:lvl>
  </w:abstractNum>
  <w:abstractNum w:abstractNumId="38" w15:restartNumberingAfterBreak="0">
    <w:nsid w:val="1B42638A"/>
    <w:multiLevelType w:val="multilevel"/>
    <w:tmpl w:val="043E18A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39" w15:restartNumberingAfterBreak="0">
    <w:nsid w:val="1B8A450F"/>
    <w:multiLevelType w:val="hybridMultilevel"/>
    <w:tmpl w:val="2410F492"/>
    <w:lvl w:ilvl="0" w:tplc="A426D1BE">
      <w:numFmt w:val="bullet"/>
      <w:lvlText w:val=""/>
      <w:lvlJc w:val="left"/>
      <w:pPr>
        <w:ind w:left="720" w:hanging="360"/>
      </w:pPr>
      <w:rPr>
        <w:rFonts w:hint="default" w:ascii="Symbol" w:hAnsi="Symbol" w:eastAsiaTheme="minorHAnsi" w:cstheme="minorBidi"/>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40" w15:restartNumberingAfterBreak="0">
    <w:nsid w:val="1BD03642"/>
    <w:multiLevelType w:val="multilevel"/>
    <w:tmpl w:val="6B540A7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1" w15:restartNumberingAfterBreak="0">
    <w:nsid w:val="1C2038C4"/>
    <w:multiLevelType w:val="hybridMultilevel"/>
    <w:tmpl w:val="F0D82B64"/>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2" w15:restartNumberingAfterBreak="0">
    <w:nsid w:val="1C8541A1"/>
    <w:multiLevelType w:val="multilevel"/>
    <w:tmpl w:val="EFF8C6C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3" w15:restartNumberingAfterBreak="0">
    <w:nsid w:val="1C9F2C2D"/>
    <w:multiLevelType w:val="hybridMultilevel"/>
    <w:tmpl w:val="E382B72A"/>
    <w:lvl w:ilvl="0" w:tplc="A426D1BE">
      <w:numFmt w:val="bullet"/>
      <w:lvlText w:val=""/>
      <w:lvlJc w:val="left"/>
      <w:pPr>
        <w:ind w:left="720" w:hanging="360"/>
      </w:pPr>
      <w:rPr>
        <w:rFonts w:hint="default" w:ascii="Symbol" w:hAnsi="Symbol" w:eastAsiaTheme="minorHAnsi" w:cstheme="minorBidi"/>
      </w:rPr>
    </w:lvl>
    <w:lvl w:ilvl="1" w:tplc="080A0003" w:tentative="1">
      <w:start w:val="1"/>
      <w:numFmt w:val="bullet"/>
      <w:lvlText w:val="o"/>
      <w:lvlJc w:val="left"/>
      <w:pPr>
        <w:ind w:left="1440" w:hanging="360"/>
      </w:pPr>
      <w:rPr>
        <w:rFonts w:hint="default" w:ascii="Courier New" w:hAnsi="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rPr>
    </w:lvl>
    <w:lvl w:ilvl="8" w:tplc="080A0005" w:tentative="1">
      <w:start w:val="1"/>
      <w:numFmt w:val="bullet"/>
      <w:lvlText w:val=""/>
      <w:lvlJc w:val="left"/>
      <w:pPr>
        <w:ind w:left="6480" w:hanging="360"/>
      </w:pPr>
      <w:rPr>
        <w:rFonts w:hint="default" w:ascii="Wingdings" w:hAnsi="Wingdings"/>
      </w:rPr>
    </w:lvl>
  </w:abstractNum>
  <w:abstractNum w:abstractNumId="44" w15:restartNumberingAfterBreak="0">
    <w:nsid w:val="1DBCEC83"/>
    <w:multiLevelType w:val="hybridMultilevel"/>
    <w:tmpl w:val="584CE1E4"/>
    <w:lvl w:ilvl="0" w:tplc="627EE614">
      <w:start w:val="1"/>
      <w:numFmt w:val="bullet"/>
      <w:lvlText w:val="·"/>
      <w:lvlJc w:val="left"/>
      <w:pPr>
        <w:ind w:left="720" w:hanging="360"/>
      </w:pPr>
      <w:rPr>
        <w:rFonts w:hint="default" w:ascii="Symbol" w:hAnsi="Symbol"/>
      </w:rPr>
    </w:lvl>
    <w:lvl w:ilvl="1" w:tplc="21AACAD8">
      <w:start w:val="1"/>
      <w:numFmt w:val="bullet"/>
      <w:lvlText w:val="o"/>
      <w:lvlJc w:val="left"/>
      <w:pPr>
        <w:ind w:left="1440" w:hanging="360"/>
      </w:pPr>
      <w:rPr>
        <w:rFonts w:hint="default" w:ascii="Courier New" w:hAnsi="Courier New"/>
      </w:rPr>
    </w:lvl>
    <w:lvl w:ilvl="2" w:tplc="33FA4FA6">
      <w:start w:val="1"/>
      <w:numFmt w:val="bullet"/>
      <w:lvlText w:val=""/>
      <w:lvlJc w:val="left"/>
      <w:pPr>
        <w:ind w:left="2160" w:hanging="360"/>
      </w:pPr>
      <w:rPr>
        <w:rFonts w:hint="default" w:ascii="Wingdings" w:hAnsi="Wingdings"/>
      </w:rPr>
    </w:lvl>
    <w:lvl w:ilvl="3" w:tplc="0614AB86">
      <w:start w:val="1"/>
      <w:numFmt w:val="bullet"/>
      <w:lvlText w:val=""/>
      <w:lvlJc w:val="left"/>
      <w:pPr>
        <w:ind w:left="2880" w:hanging="360"/>
      </w:pPr>
      <w:rPr>
        <w:rFonts w:hint="default" w:ascii="Symbol" w:hAnsi="Symbol"/>
      </w:rPr>
    </w:lvl>
    <w:lvl w:ilvl="4" w:tplc="A600CE28">
      <w:start w:val="1"/>
      <w:numFmt w:val="bullet"/>
      <w:lvlText w:val="o"/>
      <w:lvlJc w:val="left"/>
      <w:pPr>
        <w:ind w:left="3600" w:hanging="360"/>
      </w:pPr>
      <w:rPr>
        <w:rFonts w:hint="default" w:ascii="Courier New" w:hAnsi="Courier New"/>
      </w:rPr>
    </w:lvl>
    <w:lvl w:ilvl="5" w:tplc="8C44AB4A">
      <w:start w:val="1"/>
      <w:numFmt w:val="bullet"/>
      <w:lvlText w:val=""/>
      <w:lvlJc w:val="left"/>
      <w:pPr>
        <w:ind w:left="4320" w:hanging="360"/>
      </w:pPr>
      <w:rPr>
        <w:rFonts w:hint="default" w:ascii="Wingdings" w:hAnsi="Wingdings"/>
      </w:rPr>
    </w:lvl>
    <w:lvl w:ilvl="6" w:tplc="D1680536">
      <w:start w:val="1"/>
      <w:numFmt w:val="bullet"/>
      <w:lvlText w:val=""/>
      <w:lvlJc w:val="left"/>
      <w:pPr>
        <w:ind w:left="5040" w:hanging="360"/>
      </w:pPr>
      <w:rPr>
        <w:rFonts w:hint="default" w:ascii="Symbol" w:hAnsi="Symbol"/>
      </w:rPr>
    </w:lvl>
    <w:lvl w:ilvl="7" w:tplc="33C80586">
      <w:start w:val="1"/>
      <w:numFmt w:val="bullet"/>
      <w:lvlText w:val="o"/>
      <w:lvlJc w:val="left"/>
      <w:pPr>
        <w:ind w:left="5760" w:hanging="360"/>
      </w:pPr>
      <w:rPr>
        <w:rFonts w:hint="default" w:ascii="Courier New" w:hAnsi="Courier New"/>
      </w:rPr>
    </w:lvl>
    <w:lvl w:ilvl="8" w:tplc="44D4FB38">
      <w:start w:val="1"/>
      <w:numFmt w:val="bullet"/>
      <w:lvlText w:val=""/>
      <w:lvlJc w:val="left"/>
      <w:pPr>
        <w:ind w:left="6480" w:hanging="360"/>
      </w:pPr>
      <w:rPr>
        <w:rFonts w:hint="default" w:ascii="Wingdings" w:hAnsi="Wingdings"/>
      </w:rPr>
    </w:lvl>
  </w:abstractNum>
  <w:abstractNum w:abstractNumId="45" w15:restartNumberingAfterBreak="0">
    <w:nsid w:val="1E136551"/>
    <w:multiLevelType w:val="multilevel"/>
    <w:tmpl w:val="4A96EA8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6" w15:restartNumberingAfterBreak="0">
    <w:nsid w:val="1E491376"/>
    <w:multiLevelType w:val="hybridMultilevel"/>
    <w:tmpl w:val="E5D22C8A"/>
    <w:lvl w:ilvl="0" w:tplc="1A26A52E">
      <w:start w:val="1"/>
      <w:numFmt w:val="bullet"/>
      <w:lvlText w:val="·"/>
      <w:lvlJc w:val="left"/>
      <w:pPr>
        <w:ind w:left="720" w:hanging="360"/>
      </w:pPr>
      <w:rPr>
        <w:rFonts w:hint="default" w:ascii="Symbol" w:hAnsi="Symbol"/>
      </w:rPr>
    </w:lvl>
    <w:lvl w:ilvl="1" w:tplc="6170A31A">
      <w:start w:val="1"/>
      <w:numFmt w:val="bullet"/>
      <w:lvlText w:val="o"/>
      <w:lvlJc w:val="left"/>
      <w:pPr>
        <w:ind w:left="1440" w:hanging="360"/>
      </w:pPr>
      <w:rPr>
        <w:rFonts w:hint="default" w:ascii="Courier New" w:hAnsi="Courier New"/>
      </w:rPr>
    </w:lvl>
    <w:lvl w:ilvl="2" w:tplc="A93C0A1A">
      <w:start w:val="1"/>
      <w:numFmt w:val="bullet"/>
      <w:lvlText w:val=""/>
      <w:lvlJc w:val="left"/>
      <w:pPr>
        <w:ind w:left="2160" w:hanging="360"/>
      </w:pPr>
      <w:rPr>
        <w:rFonts w:hint="default" w:ascii="Wingdings" w:hAnsi="Wingdings"/>
      </w:rPr>
    </w:lvl>
    <w:lvl w:ilvl="3" w:tplc="044C3216">
      <w:start w:val="1"/>
      <w:numFmt w:val="bullet"/>
      <w:lvlText w:val=""/>
      <w:lvlJc w:val="left"/>
      <w:pPr>
        <w:ind w:left="2880" w:hanging="360"/>
      </w:pPr>
      <w:rPr>
        <w:rFonts w:hint="default" w:ascii="Symbol" w:hAnsi="Symbol"/>
      </w:rPr>
    </w:lvl>
    <w:lvl w:ilvl="4" w:tplc="CD26D4BE">
      <w:start w:val="1"/>
      <w:numFmt w:val="bullet"/>
      <w:lvlText w:val="o"/>
      <w:lvlJc w:val="left"/>
      <w:pPr>
        <w:ind w:left="3600" w:hanging="360"/>
      </w:pPr>
      <w:rPr>
        <w:rFonts w:hint="default" w:ascii="Courier New" w:hAnsi="Courier New"/>
      </w:rPr>
    </w:lvl>
    <w:lvl w:ilvl="5" w:tplc="1F58FD22">
      <w:start w:val="1"/>
      <w:numFmt w:val="bullet"/>
      <w:lvlText w:val=""/>
      <w:lvlJc w:val="left"/>
      <w:pPr>
        <w:ind w:left="4320" w:hanging="360"/>
      </w:pPr>
      <w:rPr>
        <w:rFonts w:hint="default" w:ascii="Wingdings" w:hAnsi="Wingdings"/>
      </w:rPr>
    </w:lvl>
    <w:lvl w:ilvl="6" w:tplc="8C948BAE">
      <w:start w:val="1"/>
      <w:numFmt w:val="bullet"/>
      <w:lvlText w:val=""/>
      <w:lvlJc w:val="left"/>
      <w:pPr>
        <w:ind w:left="5040" w:hanging="360"/>
      </w:pPr>
      <w:rPr>
        <w:rFonts w:hint="default" w:ascii="Symbol" w:hAnsi="Symbol"/>
      </w:rPr>
    </w:lvl>
    <w:lvl w:ilvl="7" w:tplc="1BC80B4E">
      <w:start w:val="1"/>
      <w:numFmt w:val="bullet"/>
      <w:lvlText w:val="o"/>
      <w:lvlJc w:val="left"/>
      <w:pPr>
        <w:ind w:left="5760" w:hanging="360"/>
      </w:pPr>
      <w:rPr>
        <w:rFonts w:hint="default" w:ascii="Courier New" w:hAnsi="Courier New"/>
      </w:rPr>
    </w:lvl>
    <w:lvl w:ilvl="8" w:tplc="2A6A7C00">
      <w:start w:val="1"/>
      <w:numFmt w:val="bullet"/>
      <w:lvlText w:val=""/>
      <w:lvlJc w:val="left"/>
      <w:pPr>
        <w:ind w:left="6480" w:hanging="360"/>
      </w:pPr>
      <w:rPr>
        <w:rFonts w:hint="default" w:ascii="Wingdings" w:hAnsi="Wingdings"/>
      </w:rPr>
    </w:lvl>
  </w:abstractNum>
  <w:abstractNum w:abstractNumId="47" w15:restartNumberingAfterBreak="0">
    <w:nsid w:val="1EC08717"/>
    <w:multiLevelType w:val="hybridMultilevel"/>
    <w:tmpl w:val="F1DE89D2"/>
    <w:lvl w:ilvl="0" w:tplc="A5CE8336">
      <w:start w:val="1"/>
      <w:numFmt w:val="bullet"/>
      <w:lvlText w:val="·"/>
      <w:lvlJc w:val="left"/>
      <w:pPr>
        <w:ind w:left="720" w:hanging="360"/>
      </w:pPr>
      <w:rPr>
        <w:rFonts w:hint="default" w:ascii="Symbol" w:hAnsi="Symbol"/>
      </w:rPr>
    </w:lvl>
    <w:lvl w:ilvl="1" w:tplc="1A30FC10">
      <w:start w:val="1"/>
      <w:numFmt w:val="bullet"/>
      <w:lvlText w:val="o"/>
      <w:lvlJc w:val="left"/>
      <w:pPr>
        <w:ind w:left="1440" w:hanging="360"/>
      </w:pPr>
      <w:rPr>
        <w:rFonts w:hint="default" w:ascii="Courier New" w:hAnsi="Courier New"/>
      </w:rPr>
    </w:lvl>
    <w:lvl w:ilvl="2" w:tplc="A484CC78">
      <w:start w:val="1"/>
      <w:numFmt w:val="bullet"/>
      <w:lvlText w:val=""/>
      <w:lvlJc w:val="left"/>
      <w:pPr>
        <w:ind w:left="2160" w:hanging="360"/>
      </w:pPr>
      <w:rPr>
        <w:rFonts w:hint="default" w:ascii="Wingdings" w:hAnsi="Wingdings"/>
      </w:rPr>
    </w:lvl>
    <w:lvl w:ilvl="3" w:tplc="CC40492A">
      <w:start w:val="1"/>
      <w:numFmt w:val="bullet"/>
      <w:lvlText w:val=""/>
      <w:lvlJc w:val="left"/>
      <w:pPr>
        <w:ind w:left="2880" w:hanging="360"/>
      </w:pPr>
      <w:rPr>
        <w:rFonts w:hint="default" w:ascii="Symbol" w:hAnsi="Symbol"/>
      </w:rPr>
    </w:lvl>
    <w:lvl w:ilvl="4" w:tplc="27AEAE5C">
      <w:start w:val="1"/>
      <w:numFmt w:val="bullet"/>
      <w:lvlText w:val="o"/>
      <w:lvlJc w:val="left"/>
      <w:pPr>
        <w:ind w:left="3600" w:hanging="360"/>
      </w:pPr>
      <w:rPr>
        <w:rFonts w:hint="default" w:ascii="Courier New" w:hAnsi="Courier New"/>
      </w:rPr>
    </w:lvl>
    <w:lvl w:ilvl="5" w:tplc="86FE3844">
      <w:start w:val="1"/>
      <w:numFmt w:val="bullet"/>
      <w:lvlText w:val=""/>
      <w:lvlJc w:val="left"/>
      <w:pPr>
        <w:ind w:left="4320" w:hanging="360"/>
      </w:pPr>
      <w:rPr>
        <w:rFonts w:hint="default" w:ascii="Wingdings" w:hAnsi="Wingdings"/>
      </w:rPr>
    </w:lvl>
    <w:lvl w:ilvl="6" w:tplc="D46494A0">
      <w:start w:val="1"/>
      <w:numFmt w:val="bullet"/>
      <w:lvlText w:val=""/>
      <w:lvlJc w:val="left"/>
      <w:pPr>
        <w:ind w:left="5040" w:hanging="360"/>
      </w:pPr>
      <w:rPr>
        <w:rFonts w:hint="default" w:ascii="Symbol" w:hAnsi="Symbol"/>
      </w:rPr>
    </w:lvl>
    <w:lvl w:ilvl="7" w:tplc="4FCE12E8">
      <w:start w:val="1"/>
      <w:numFmt w:val="bullet"/>
      <w:lvlText w:val="o"/>
      <w:lvlJc w:val="left"/>
      <w:pPr>
        <w:ind w:left="5760" w:hanging="360"/>
      </w:pPr>
      <w:rPr>
        <w:rFonts w:hint="default" w:ascii="Courier New" w:hAnsi="Courier New"/>
      </w:rPr>
    </w:lvl>
    <w:lvl w:ilvl="8" w:tplc="92845FCE">
      <w:start w:val="1"/>
      <w:numFmt w:val="bullet"/>
      <w:lvlText w:val=""/>
      <w:lvlJc w:val="left"/>
      <w:pPr>
        <w:ind w:left="6480" w:hanging="360"/>
      </w:pPr>
      <w:rPr>
        <w:rFonts w:hint="default" w:ascii="Wingdings" w:hAnsi="Wingdings"/>
      </w:rPr>
    </w:lvl>
  </w:abstractNum>
  <w:abstractNum w:abstractNumId="48" w15:restartNumberingAfterBreak="0">
    <w:nsid w:val="1FA8CD01"/>
    <w:multiLevelType w:val="hybridMultilevel"/>
    <w:tmpl w:val="3ECEB868"/>
    <w:lvl w:ilvl="0" w:tplc="16A2CD94">
      <w:start w:val="1"/>
      <w:numFmt w:val="bullet"/>
      <w:lvlText w:val="·"/>
      <w:lvlJc w:val="left"/>
      <w:pPr>
        <w:ind w:left="720" w:hanging="360"/>
      </w:pPr>
      <w:rPr>
        <w:rFonts w:hint="default" w:ascii="Symbol" w:hAnsi="Symbol"/>
      </w:rPr>
    </w:lvl>
    <w:lvl w:ilvl="1" w:tplc="4CDC2764">
      <w:start w:val="1"/>
      <w:numFmt w:val="bullet"/>
      <w:lvlText w:val="o"/>
      <w:lvlJc w:val="left"/>
      <w:pPr>
        <w:ind w:left="1440" w:hanging="360"/>
      </w:pPr>
      <w:rPr>
        <w:rFonts w:hint="default" w:ascii="Courier New" w:hAnsi="Courier New"/>
      </w:rPr>
    </w:lvl>
    <w:lvl w:ilvl="2" w:tplc="7032A338">
      <w:start w:val="1"/>
      <w:numFmt w:val="bullet"/>
      <w:lvlText w:val=""/>
      <w:lvlJc w:val="left"/>
      <w:pPr>
        <w:ind w:left="2160" w:hanging="360"/>
      </w:pPr>
      <w:rPr>
        <w:rFonts w:hint="default" w:ascii="Wingdings" w:hAnsi="Wingdings"/>
      </w:rPr>
    </w:lvl>
    <w:lvl w:ilvl="3" w:tplc="1CB23CC6">
      <w:start w:val="1"/>
      <w:numFmt w:val="bullet"/>
      <w:lvlText w:val=""/>
      <w:lvlJc w:val="left"/>
      <w:pPr>
        <w:ind w:left="2880" w:hanging="360"/>
      </w:pPr>
      <w:rPr>
        <w:rFonts w:hint="default" w:ascii="Symbol" w:hAnsi="Symbol"/>
      </w:rPr>
    </w:lvl>
    <w:lvl w:ilvl="4" w:tplc="077A4038">
      <w:start w:val="1"/>
      <w:numFmt w:val="bullet"/>
      <w:lvlText w:val="o"/>
      <w:lvlJc w:val="left"/>
      <w:pPr>
        <w:ind w:left="3600" w:hanging="360"/>
      </w:pPr>
      <w:rPr>
        <w:rFonts w:hint="default" w:ascii="Courier New" w:hAnsi="Courier New"/>
      </w:rPr>
    </w:lvl>
    <w:lvl w:ilvl="5" w:tplc="074EA8DC">
      <w:start w:val="1"/>
      <w:numFmt w:val="bullet"/>
      <w:lvlText w:val=""/>
      <w:lvlJc w:val="left"/>
      <w:pPr>
        <w:ind w:left="4320" w:hanging="360"/>
      </w:pPr>
      <w:rPr>
        <w:rFonts w:hint="default" w:ascii="Wingdings" w:hAnsi="Wingdings"/>
      </w:rPr>
    </w:lvl>
    <w:lvl w:ilvl="6" w:tplc="AEEAFE2E">
      <w:start w:val="1"/>
      <w:numFmt w:val="bullet"/>
      <w:lvlText w:val=""/>
      <w:lvlJc w:val="left"/>
      <w:pPr>
        <w:ind w:left="5040" w:hanging="360"/>
      </w:pPr>
      <w:rPr>
        <w:rFonts w:hint="default" w:ascii="Symbol" w:hAnsi="Symbol"/>
      </w:rPr>
    </w:lvl>
    <w:lvl w:ilvl="7" w:tplc="C338BCA8">
      <w:start w:val="1"/>
      <w:numFmt w:val="bullet"/>
      <w:lvlText w:val="o"/>
      <w:lvlJc w:val="left"/>
      <w:pPr>
        <w:ind w:left="5760" w:hanging="360"/>
      </w:pPr>
      <w:rPr>
        <w:rFonts w:hint="default" w:ascii="Courier New" w:hAnsi="Courier New"/>
      </w:rPr>
    </w:lvl>
    <w:lvl w:ilvl="8" w:tplc="2E643C4A">
      <w:start w:val="1"/>
      <w:numFmt w:val="bullet"/>
      <w:lvlText w:val=""/>
      <w:lvlJc w:val="left"/>
      <w:pPr>
        <w:ind w:left="6480" w:hanging="360"/>
      </w:pPr>
      <w:rPr>
        <w:rFonts w:hint="default" w:ascii="Wingdings" w:hAnsi="Wingdings"/>
      </w:rPr>
    </w:lvl>
  </w:abstractNum>
  <w:abstractNum w:abstractNumId="49" w15:restartNumberingAfterBreak="0">
    <w:nsid w:val="203ACF5B"/>
    <w:multiLevelType w:val="hybridMultilevel"/>
    <w:tmpl w:val="DB2E1DAA"/>
    <w:lvl w:ilvl="0" w:tplc="7A9C29F2">
      <w:start w:val="1"/>
      <w:numFmt w:val="bullet"/>
      <w:lvlText w:val="·"/>
      <w:lvlJc w:val="left"/>
      <w:pPr>
        <w:ind w:left="720" w:hanging="360"/>
      </w:pPr>
      <w:rPr>
        <w:rFonts w:hint="default" w:ascii="Symbol" w:hAnsi="Symbol"/>
      </w:rPr>
    </w:lvl>
    <w:lvl w:ilvl="1" w:tplc="6C1259AA">
      <w:start w:val="1"/>
      <w:numFmt w:val="bullet"/>
      <w:lvlText w:val="o"/>
      <w:lvlJc w:val="left"/>
      <w:pPr>
        <w:ind w:left="1440" w:hanging="360"/>
      </w:pPr>
      <w:rPr>
        <w:rFonts w:hint="default" w:ascii="Courier New" w:hAnsi="Courier New"/>
      </w:rPr>
    </w:lvl>
    <w:lvl w:ilvl="2" w:tplc="540496D4">
      <w:start w:val="1"/>
      <w:numFmt w:val="bullet"/>
      <w:lvlText w:val=""/>
      <w:lvlJc w:val="left"/>
      <w:pPr>
        <w:ind w:left="2160" w:hanging="360"/>
      </w:pPr>
      <w:rPr>
        <w:rFonts w:hint="default" w:ascii="Wingdings" w:hAnsi="Wingdings"/>
      </w:rPr>
    </w:lvl>
    <w:lvl w:ilvl="3" w:tplc="B7A2343C">
      <w:start w:val="1"/>
      <w:numFmt w:val="bullet"/>
      <w:lvlText w:val=""/>
      <w:lvlJc w:val="left"/>
      <w:pPr>
        <w:ind w:left="2880" w:hanging="360"/>
      </w:pPr>
      <w:rPr>
        <w:rFonts w:hint="default" w:ascii="Symbol" w:hAnsi="Symbol"/>
      </w:rPr>
    </w:lvl>
    <w:lvl w:ilvl="4" w:tplc="6BB0B42E">
      <w:start w:val="1"/>
      <w:numFmt w:val="bullet"/>
      <w:lvlText w:val="o"/>
      <w:lvlJc w:val="left"/>
      <w:pPr>
        <w:ind w:left="3600" w:hanging="360"/>
      </w:pPr>
      <w:rPr>
        <w:rFonts w:hint="default" w:ascii="Courier New" w:hAnsi="Courier New"/>
      </w:rPr>
    </w:lvl>
    <w:lvl w:ilvl="5" w:tplc="C34A804A">
      <w:start w:val="1"/>
      <w:numFmt w:val="bullet"/>
      <w:lvlText w:val=""/>
      <w:lvlJc w:val="left"/>
      <w:pPr>
        <w:ind w:left="4320" w:hanging="360"/>
      </w:pPr>
      <w:rPr>
        <w:rFonts w:hint="default" w:ascii="Wingdings" w:hAnsi="Wingdings"/>
      </w:rPr>
    </w:lvl>
    <w:lvl w:ilvl="6" w:tplc="14E62A12">
      <w:start w:val="1"/>
      <w:numFmt w:val="bullet"/>
      <w:lvlText w:val=""/>
      <w:lvlJc w:val="left"/>
      <w:pPr>
        <w:ind w:left="5040" w:hanging="360"/>
      </w:pPr>
      <w:rPr>
        <w:rFonts w:hint="default" w:ascii="Symbol" w:hAnsi="Symbol"/>
      </w:rPr>
    </w:lvl>
    <w:lvl w:ilvl="7" w:tplc="7BB89E6E">
      <w:start w:val="1"/>
      <w:numFmt w:val="bullet"/>
      <w:lvlText w:val="o"/>
      <w:lvlJc w:val="left"/>
      <w:pPr>
        <w:ind w:left="5760" w:hanging="360"/>
      </w:pPr>
      <w:rPr>
        <w:rFonts w:hint="default" w:ascii="Courier New" w:hAnsi="Courier New"/>
      </w:rPr>
    </w:lvl>
    <w:lvl w:ilvl="8" w:tplc="9428675C">
      <w:start w:val="1"/>
      <w:numFmt w:val="bullet"/>
      <w:lvlText w:val=""/>
      <w:lvlJc w:val="left"/>
      <w:pPr>
        <w:ind w:left="6480" w:hanging="360"/>
      </w:pPr>
      <w:rPr>
        <w:rFonts w:hint="default" w:ascii="Wingdings" w:hAnsi="Wingdings"/>
      </w:rPr>
    </w:lvl>
  </w:abstractNum>
  <w:abstractNum w:abstractNumId="50" w15:restartNumberingAfterBreak="0">
    <w:nsid w:val="20AE7D56"/>
    <w:multiLevelType w:val="multilevel"/>
    <w:tmpl w:val="2FC6181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1" w15:restartNumberingAfterBreak="0">
    <w:nsid w:val="20DD07E4"/>
    <w:multiLevelType w:val="hybridMultilevel"/>
    <w:tmpl w:val="9D541018"/>
    <w:lvl w:ilvl="0" w:tplc="BC988254">
      <w:start w:val="1"/>
      <w:numFmt w:val="bullet"/>
      <w:lvlText w:val="·"/>
      <w:lvlJc w:val="left"/>
      <w:pPr>
        <w:ind w:left="720" w:hanging="360"/>
      </w:pPr>
      <w:rPr>
        <w:rFonts w:hint="default" w:ascii="Symbol" w:hAnsi="Symbol"/>
      </w:rPr>
    </w:lvl>
    <w:lvl w:ilvl="1" w:tplc="31C0FCFC">
      <w:start w:val="1"/>
      <w:numFmt w:val="bullet"/>
      <w:lvlText w:val="o"/>
      <w:lvlJc w:val="left"/>
      <w:pPr>
        <w:ind w:left="1440" w:hanging="360"/>
      </w:pPr>
      <w:rPr>
        <w:rFonts w:hint="default" w:ascii="Courier New" w:hAnsi="Courier New"/>
      </w:rPr>
    </w:lvl>
    <w:lvl w:ilvl="2" w:tplc="1CC40FAE">
      <w:start w:val="1"/>
      <w:numFmt w:val="bullet"/>
      <w:lvlText w:val=""/>
      <w:lvlJc w:val="left"/>
      <w:pPr>
        <w:ind w:left="2160" w:hanging="360"/>
      </w:pPr>
      <w:rPr>
        <w:rFonts w:hint="default" w:ascii="Wingdings" w:hAnsi="Wingdings"/>
      </w:rPr>
    </w:lvl>
    <w:lvl w:ilvl="3" w:tplc="DCBA83FA">
      <w:start w:val="1"/>
      <w:numFmt w:val="bullet"/>
      <w:lvlText w:val=""/>
      <w:lvlJc w:val="left"/>
      <w:pPr>
        <w:ind w:left="2880" w:hanging="360"/>
      </w:pPr>
      <w:rPr>
        <w:rFonts w:hint="default" w:ascii="Symbol" w:hAnsi="Symbol"/>
      </w:rPr>
    </w:lvl>
    <w:lvl w:ilvl="4" w:tplc="9C4A6C02">
      <w:start w:val="1"/>
      <w:numFmt w:val="bullet"/>
      <w:lvlText w:val="o"/>
      <w:lvlJc w:val="left"/>
      <w:pPr>
        <w:ind w:left="3600" w:hanging="360"/>
      </w:pPr>
      <w:rPr>
        <w:rFonts w:hint="default" w:ascii="Courier New" w:hAnsi="Courier New"/>
      </w:rPr>
    </w:lvl>
    <w:lvl w:ilvl="5" w:tplc="E86C3186">
      <w:start w:val="1"/>
      <w:numFmt w:val="bullet"/>
      <w:lvlText w:val=""/>
      <w:lvlJc w:val="left"/>
      <w:pPr>
        <w:ind w:left="4320" w:hanging="360"/>
      </w:pPr>
      <w:rPr>
        <w:rFonts w:hint="default" w:ascii="Wingdings" w:hAnsi="Wingdings"/>
      </w:rPr>
    </w:lvl>
    <w:lvl w:ilvl="6" w:tplc="398C16EA">
      <w:start w:val="1"/>
      <w:numFmt w:val="bullet"/>
      <w:lvlText w:val=""/>
      <w:lvlJc w:val="left"/>
      <w:pPr>
        <w:ind w:left="5040" w:hanging="360"/>
      </w:pPr>
      <w:rPr>
        <w:rFonts w:hint="default" w:ascii="Symbol" w:hAnsi="Symbol"/>
      </w:rPr>
    </w:lvl>
    <w:lvl w:ilvl="7" w:tplc="590A6702">
      <w:start w:val="1"/>
      <w:numFmt w:val="bullet"/>
      <w:lvlText w:val="o"/>
      <w:lvlJc w:val="left"/>
      <w:pPr>
        <w:ind w:left="5760" w:hanging="360"/>
      </w:pPr>
      <w:rPr>
        <w:rFonts w:hint="default" w:ascii="Courier New" w:hAnsi="Courier New"/>
      </w:rPr>
    </w:lvl>
    <w:lvl w:ilvl="8" w:tplc="292253E8">
      <w:start w:val="1"/>
      <w:numFmt w:val="bullet"/>
      <w:lvlText w:val=""/>
      <w:lvlJc w:val="left"/>
      <w:pPr>
        <w:ind w:left="6480" w:hanging="360"/>
      </w:pPr>
      <w:rPr>
        <w:rFonts w:hint="default" w:ascii="Wingdings" w:hAnsi="Wingdings"/>
      </w:rPr>
    </w:lvl>
  </w:abstractNum>
  <w:abstractNum w:abstractNumId="52" w15:restartNumberingAfterBreak="0">
    <w:nsid w:val="22AE1753"/>
    <w:multiLevelType w:val="multilevel"/>
    <w:tmpl w:val="1AE88BC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3" w15:restartNumberingAfterBreak="0">
    <w:nsid w:val="22AF3F9E"/>
    <w:multiLevelType w:val="multilevel"/>
    <w:tmpl w:val="C8F4B8F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4" w15:restartNumberingAfterBreak="0">
    <w:nsid w:val="23110B0E"/>
    <w:multiLevelType w:val="multilevel"/>
    <w:tmpl w:val="9FFCEFD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5" w15:restartNumberingAfterBreak="0">
    <w:nsid w:val="2547466E"/>
    <w:multiLevelType w:val="multilevel"/>
    <w:tmpl w:val="4010F44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6" w15:restartNumberingAfterBreak="0">
    <w:nsid w:val="25A6F45D"/>
    <w:multiLevelType w:val="hybridMultilevel"/>
    <w:tmpl w:val="14322956"/>
    <w:lvl w:ilvl="0" w:tplc="2974B05E">
      <w:start w:val="1"/>
      <w:numFmt w:val="bullet"/>
      <w:lvlText w:val="·"/>
      <w:lvlJc w:val="left"/>
      <w:pPr>
        <w:ind w:left="720" w:hanging="360"/>
      </w:pPr>
      <w:rPr>
        <w:rFonts w:hint="default" w:ascii="Symbol" w:hAnsi="Symbol"/>
      </w:rPr>
    </w:lvl>
    <w:lvl w:ilvl="1" w:tplc="8C76F274">
      <w:start w:val="1"/>
      <w:numFmt w:val="bullet"/>
      <w:lvlText w:val="o"/>
      <w:lvlJc w:val="left"/>
      <w:pPr>
        <w:ind w:left="1440" w:hanging="360"/>
      </w:pPr>
      <w:rPr>
        <w:rFonts w:hint="default" w:ascii="Courier New" w:hAnsi="Courier New"/>
      </w:rPr>
    </w:lvl>
    <w:lvl w:ilvl="2" w:tplc="D52485C6">
      <w:start w:val="1"/>
      <w:numFmt w:val="bullet"/>
      <w:lvlText w:val=""/>
      <w:lvlJc w:val="left"/>
      <w:pPr>
        <w:ind w:left="2160" w:hanging="360"/>
      </w:pPr>
      <w:rPr>
        <w:rFonts w:hint="default" w:ascii="Wingdings" w:hAnsi="Wingdings"/>
      </w:rPr>
    </w:lvl>
    <w:lvl w:ilvl="3" w:tplc="87F0A94E">
      <w:start w:val="1"/>
      <w:numFmt w:val="bullet"/>
      <w:lvlText w:val=""/>
      <w:lvlJc w:val="left"/>
      <w:pPr>
        <w:ind w:left="2880" w:hanging="360"/>
      </w:pPr>
      <w:rPr>
        <w:rFonts w:hint="default" w:ascii="Symbol" w:hAnsi="Symbol"/>
      </w:rPr>
    </w:lvl>
    <w:lvl w:ilvl="4" w:tplc="C4849CC0">
      <w:start w:val="1"/>
      <w:numFmt w:val="bullet"/>
      <w:lvlText w:val="o"/>
      <w:lvlJc w:val="left"/>
      <w:pPr>
        <w:ind w:left="3600" w:hanging="360"/>
      </w:pPr>
      <w:rPr>
        <w:rFonts w:hint="default" w:ascii="Courier New" w:hAnsi="Courier New"/>
      </w:rPr>
    </w:lvl>
    <w:lvl w:ilvl="5" w:tplc="FD2C18EE">
      <w:start w:val="1"/>
      <w:numFmt w:val="bullet"/>
      <w:lvlText w:val=""/>
      <w:lvlJc w:val="left"/>
      <w:pPr>
        <w:ind w:left="4320" w:hanging="360"/>
      </w:pPr>
      <w:rPr>
        <w:rFonts w:hint="default" w:ascii="Wingdings" w:hAnsi="Wingdings"/>
      </w:rPr>
    </w:lvl>
    <w:lvl w:ilvl="6" w:tplc="E0D0514E">
      <w:start w:val="1"/>
      <w:numFmt w:val="bullet"/>
      <w:lvlText w:val=""/>
      <w:lvlJc w:val="left"/>
      <w:pPr>
        <w:ind w:left="5040" w:hanging="360"/>
      </w:pPr>
      <w:rPr>
        <w:rFonts w:hint="default" w:ascii="Symbol" w:hAnsi="Symbol"/>
      </w:rPr>
    </w:lvl>
    <w:lvl w:ilvl="7" w:tplc="A9E2BDBA">
      <w:start w:val="1"/>
      <w:numFmt w:val="bullet"/>
      <w:lvlText w:val="o"/>
      <w:lvlJc w:val="left"/>
      <w:pPr>
        <w:ind w:left="5760" w:hanging="360"/>
      </w:pPr>
      <w:rPr>
        <w:rFonts w:hint="default" w:ascii="Courier New" w:hAnsi="Courier New"/>
      </w:rPr>
    </w:lvl>
    <w:lvl w:ilvl="8" w:tplc="2C9E0A6E">
      <w:start w:val="1"/>
      <w:numFmt w:val="bullet"/>
      <w:lvlText w:val=""/>
      <w:lvlJc w:val="left"/>
      <w:pPr>
        <w:ind w:left="6480" w:hanging="360"/>
      </w:pPr>
      <w:rPr>
        <w:rFonts w:hint="default" w:ascii="Wingdings" w:hAnsi="Wingdings"/>
      </w:rPr>
    </w:lvl>
  </w:abstractNum>
  <w:abstractNum w:abstractNumId="57" w15:restartNumberingAfterBreak="0">
    <w:nsid w:val="25F408CB"/>
    <w:multiLevelType w:val="hybridMultilevel"/>
    <w:tmpl w:val="B5A02AA6"/>
    <w:lvl w:ilvl="0" w:tplc="6922B082">
      <w:start w:val="1"/>
      <w:numFmt w:val="bullet"/>
      <w:lvlText w:val="·"/>
      <w:lvlJc w:val="left"/>
      <w:pPr>
        <w:ind w:left="720" w:hanging="360"/>
      </w:pPr>
      <w:rPr>
        <w:rFonts w:hint="default" w:ascii="Symbol" w:hAnsi="Symbol"/>
      </w:rPr>
    </w:lvl>
    <w:lvl w:ilvl="1" w:tplc="1EA28A82">
      <w:start w:val="1"/>
      <w:numFmt w:val="bullet"/>
      <w:lvlText w:val="o"/>
      <w:lvlJc w:val="left"/>
      <w:pPr>
        <w:ind w:left="1440" w:hanging="360"/>
      </w:pPr>
      <w:rPr>
        <w:rFonts w:hint="default" w:ascii="Courier New" w:hAnsi="Courier New"/>
      </w:rPr>
    </w:lvl>
    <w:lvl w:ilvl="2" w:tplc="1ED4FA0E">
      <w:start w:val="1"/>
      <w:numFmt w:val="bullet"/>
      <w:lvlText w:val=""/>
      <w:lvlJc w:val="left"/>
      <w:pPr>
        <w:ind w:left="2160" w:hanging="360"/>
      </w:pPr>
      <w:rPr>
        <w:rFonts w:hint="default" w:ascii="Wingdings" w:hAnsi="Wingdings"/>
      </w:rPr>
    </w:lvl>
    <w:lvl w:ilvl="3" w:tplc="839EBF46">
      <w:start w:val="1"/>
      <w:numFmt w:val="bullet"/>
      <w:lvlText w:val=""/>
      <w:lvlJc w:val="left"/>
      <w:pPr>
        <w:ind w:left="2880" w:hanging="360"/>
      </w:pPr>
      <w:rPr>
        <w:rFonts w:hint="default" w:ascii="Symbol" w:hAnsi="Symbol"/>
      </w:rPr>
    </w:lvl>
    <w:lvl w:ilvl="4" w:tplc="768090A2">
      <w:start w:val="1"/>
      <w:numFmt w:val="bullet"/>
      <w:lvlText w:val="o"/>
      <w:lvlJc w:val="left"/>
      <w:pPr>
        <w:ind w:left="3600" w:hanging="360"/>
      </w:pPr>
      <w:rPr>
        <w:rFonts w:hint="default" w:ascii="Courier New" w:hAnsi="Courier New"/>
      </w:rPr>
    </w:lvl>
    <w:lvl w:ilvl="5" w:tplc="0EA0514C">
      <w:start w:val="1"/>
      <w:numFmt w:val="bullet"/>
      <w:lvlText w:val=""/>
      <w:lvlJc w:val="left"/>
      <w:pPr>
        <w:ind w:left="4320" w:hanging="360"/>
      </w:pPr>
      <w:rPr>
        <w:rFonts w:hint="default" w:ascii="Wingdings" w:hAnsi="Wingdings"/>
      </w:rPr>
    </w:lvl>
    <w:lvl w:ilvl="6" w:tplc="2EC49634">
      <w:start w:val="1"/>
      <w:numFmt w:val="bullet"/>
      <w:lvlText w:val=""/>
      <w:lvlJc w:val="left"/>
      <w:pPr>
        <w:ind w:left="5040" w:hanging="360"/>
      </w:pPr>
      <w:rPr>
        <w:rFonts w:hint="default" w:ascii="Symbol" w:hAnsi="Symbol"/>
      </w:rPr>
    </w:lvl>
    <w:lvl w:ilvl="7" w:tplc="E876BCAA">
      <w:start w:val="1"/>
      <w:numFmt w:val="bullet"/>
      <w:lvlText w:val="o"/>
      <w:lvlJc w:val="left"/>
      <w:pPr>
        <w:ind w:left="5760" w:hanging="360"/>
      </w:pPr>
      <w:rPr>
        <w:rFonts w:hint="default" w:ascii="Courier New" w:hAnsi="Courier New"/>
      </w:rPr>
    </w:lvl>
    <w:lvl w:ilvl="8" w:tplc="3AA89914">
      <w:start w:val="1"/>
      <w:numFmt w:val="bullet"/>
      <w:lvlText w:val=""/>
      <w:lvlJc w:val="left"/>
      <w:pPr>
        <w:ind w:left="6480" w:hanging="360"/>
      </w:pPr>
      <w:rPr>
        <w:rFonts w:hint="default" w:ascii="Wingdings" w:hAnsi="Wingdings"/>
      </w:rPr>
    </w:lvl>
  </w:abstractNum>
  <w:abstractNum w:abstractNumId="58" w15:restartNumberingAfterBreak="0">
    <w:nsid w:val="266402C0"/>
    <w:multiLevelType w:val="hybridMultilevel"/>
    <w:tmpl w:val="81DAF8E2"/>
    <w:lvl w:ilvl="0" w:tplc="7E783D24">
      <w:start w:val="1"/>
      <w:numFmt w:val="bullet"/>
      <w:lvlText w:val="-"/>
      <w:lvlJc w:val="left"/>
      <w:pPr>
        <w:ind w:left="1080" w:hanging="360"/>
      </w:pPr>
      <w:rPr>
        <w:rFonts w:hint="default" w:ascii="Arial" w:hAnsi="Arial"/>
      </w:rPr>
    </w:lvl>
    <w:lvl w:ilvl="1" w:tplc="240A0003" w:tentative="1">
      <w:start w:val="1"/>
      <w:numFmt w:val="bullet"/>
      <w:lvlText w:val="o"/>
      <w:lvlJc w:val="left"/>
      <w:pPr>
        <w:ind w:left="1800" w:hanging="360"/>
      </w:pPr>
      <w:rPr>
        <w:rFonts w:hint="default" w:ascii="Courier New" w:hAnsi="Courier New" w:cs="Courier New"/>
      </w:rPr>
    </w:lvl>
    <w:lvl w:ilvl="2" w:tplc="240A0005" w:tentative="1">
      <w:start w:val="1"/>
      <w:numFmt w:val="bullet"/>
      <w:lvlText w:val=""/>
      <w:lvlJc w:val="left"/>
      <w:pPr>
        <w:ind w:left="2520" w:hanging="360"/>
      </w:pPr>
      <w:rPr>
        <w:rFonts w:hint="default" w:ascii="Wingdings" w:hAnsi="Wingdings"/>
      </w:rPr>
    </w:lvl>
    <w:lvl w:ilvl="3" w:tplc="240A0001" w:tentative="1">
      <w:start w:val="1"/>
      <w:numFmt w:val="bullet"/>
      <w:lvlText w:val=""/>
      <w:lvlJc w:val="left"/>
      <w:pPr>
        <w:ind w:left="3240" w:hanging="360"/>
      </w:pPr>
      <w:rPr>
        <w:rFonts w:hint="default" w:ascii="Symbol" w:hAnsi="Symbol"/>
      </w:rPr>
    </w:lvl>
    <w:lvl w:ilvl="4" w:tplc="240A0003" w:tentative="1">
      <w:start w:val="1"/>
      <w:numFmt w:val="bullet"/>
      <w:lvlText w:val="o"/>
      <w:lvlJc w:val="left"/>
      <w:pPr>
        <w:ind w:left="3960" w:hanging="360"/>
      </w:pPr>
      <w:rPr>
        <w:rFonts w:hint="default" w:ascii="Courier New" w:hAnsi="Courier New" w:cs="Courier New"/>
      </w:rPr>
    </w:lvl>
    <w:lvl w:ilvl="5" w:tplc="240A0005" w:tentative="1">
      <w:start w:val="1"/>
      <w:numFmt w:val="bullet"/>
      <w:lvlText w:val=""/>
      <w:lvlJc w:val="left"/>
      <w:pPr>
        <w:ind w:left="4680" w:hanging="360"/>
      </w:pPr>
      <w:rPr>
        <w:rFonts w:hint="default" w:ascii="Wingdings" w:hAnsi="Wingdings"/>
      </w:rPr>
    </w:lvl>
    <w:lvl w:ilvl="6" w:tplc="240A0001" w:tentative="1">
      <w:start w:val="1"/>
      <w:numFmt w:val="bullet"/>
      <w:lvlText w:val=""/>
      <w:lvlJc w:val="left"/>
      <w:pPr>
        <w:ind w:left="5400" w:hanging="360"/>
      </w:pPr>
      <w:rPr>
        <w:rFonts w:hint="default" w:ascii="Symbol" w:hAnsi="Symbol"/>
      </w:rPr>
    </w:lvl>
    <w:lvl w:ilvl="7" w:tplc="240A0003" w:tentative="1">
      <w:start w:val="1"/>
      <w:numFmt w:val="bullet"/>
      <w:lvlText w:val="o"/>
      <w:lvlJc w:val="left"/>
      <w:pPr>
        <w:ind w:left="6120" w:hanging="360"/>
      </w:pPr>
      <w:rPr>
        <w:rFonts w:hint="default" w:ascii="Courier New" w:hAnsi="Courier New" w:cs="Courier New"/>
      </w:rPr>
    </w:lvl>
    <w:lvl w:ilvl="8" w:tplc="240A0005" w:tentative="1">
      <w:start w:val="1"/>
      <w:numFmt w:val="bullet"/>
      <w:lvlText w:val=""/>
      <w:lvlJc w:val="left"/>
      <w:pPr>
        <w:ind w:left="6840" w:hanging="360"/>
      </w:pPr>
      <w:rPr>
        <w:rFonts w:hint="default" w:ascii="Wingdings" w:hAnsi="Wingdings"/>
      </w:rPr>
    </w:lvl>
  </w:abstractNum>
  <w:abstractNum w:abstractNumId="59" w15:restartNumberingAfterBreak="0">
    <w:nsid w:val="26D1474B"/>
    <w:multiLevelType w:val="hybridMultilevel"/>
    <w:tmpl w:val="0E4AB250"/>
    <w:lvl w:ilvl="0" w:tplc="1D56CB98">
      <w:start w:val="1"/>
      <w:numFmt w:val="bullet"/>
      <w:lvlText w:val="·"/>
      <w:lvlJc w:val="left"/>
      <w:pPr>
        <w:ind w:left="720" w:hanging="360"/>
      </w:pPr>
      <w:rPr>
        <w:rFonts w:hint="default" w:ascii="Symbol" w:hAnsi="Symbol"/>
      </w:rPr>
    </w:lvl>
    <w:lvl w:ilvl="1" w:tplc="37C84CAE">
      <w:start w:val="1"/>
      <w:numFmt w:val="bullet"/>
      <w:lvlText w:val="o"/>
      <w:lvlJc w:val="left"/>
      <w:pPr>
        <w:ind w:left="1440" w:hanging="360"/>
      </w:pPr>
      <w:rPr>
        <w:rFonts w:hint="default" w:ascii="Courier New" w:hAnsi="Courier New"/>
      </w:rPr>
    </w:lvl>
    <w:lvl w:ilvl="2" w:tplc="2C24B958">
      <w:start w:val="1"/>
      <w:numFmt w:val="bullet"/>
      <w:lvlText w:val=""/>
      <w:lvlJc w:val="left"/>
      <w:pPr>
        <w:ind w:left="2160" w:hanging="360"/>
      </w:pPr>
      <w:rPr>
        <w:rFonts w:hint="default" w:ascii="Wingdings" w:hAnsi="Wingdings"/>
      </w:rPr>
    </w:lvl>
    <w:lvl w:ilvl="3" w:tplc="1F148AD6">
      <w:start w:val="1"/>
      <w:numFmt w:val="bullet"/>
      <w:lvlText w:val=""/>
      <w:lvlJc w:val="left"/>
      <w:pPr>
        <w:ind w:left="2880" w:hanging="360"/>
      </w:pPr>
      <w:rPr>
        <w:rFonts w:hint="default" w:ascii="Symbol" w:hAnsi="Symbol"/>
      </w:rPr>
    </w:lvl>
    <w:lvl w:ilvl="4" w:tplc="9460D234">
      <w:start w:val="1"/>
      <w:numFmt w:val="bullet"/>
      <w:lvlText w:val="o"/>
      <w:lvlJc w:val="left"/>
      <w:pPr>
        <w:ind w:left="3600" w:hanging="360"/>
      </w:pPr>
      <w:rPr>
        <w:rFonts w:hint="default" w:ascii="Courier New" w:hAnsi="Courier New"/>
      </w:rPr>
    </w:lvl>
    <w:lvl w:ilvl="5" w:tplc="9096691E">
      <w:start w:val="1"/>
      <w:numFmt w:val="bullet"/>
      <w:lvlText w:val=""/>
      <w:lvlJc w:val="left"/>
      <w:pPr>
        <w:ind w:left="4320" w:hanging="360"/>
      </w:pPr>
      <w:rPr>
        <w:rFonts w:hint="default" w:ascii="Wingdings" w:hAnsi="Wingdings"/>
      </w:rPr>
    </w:lvl>
    <w:lvl w:ilvl="6" w:tplc="2E06E5F0">
      <w:start w:val="1"/>
      <w:numFmt w:val="bullet"/>
      <w:lvlText w:val=""/>
      <w:lvlJc w:val="left"/>
      <w:pPr>
        <w:ind w:left="5040" w:hanging="360"/>
      </w:pPr>
      <w:rPr>
        <w:rFonts w:hint="default" w:ascii="Symbol" w:hAnsi="Symbol"/>
      </w:rPr>
    </w:lvl>
    <w:lvl w:ilvl="7" w:tplc="EB84B99E">
      <w:start w:val="1"/>
      <w:numFmt w:val="bullet"/>
      <w:lvlText w:val="o"/>
      <w:lvlJc w:val="left"/>
      <w:pPr>
        <w:ind w:left="5760" w:hanging="360"/>
      </w:pPr>
      <w:rPr>
        <w:rFonts w:hint="default" w:ascii="Courier New" w:hAnsi="Courier New"/>
      </w:rPr>
    </w:lvl>
    <w:lvl w:ilvl="8" w:tplc="7598C562">
      <w:start w:val="1"/>
      <w:numFmt w:val="bullet"/>
      <w:lvlText w:val=""/>
      <w:lvlJc w:val="left"/>
      <w:pPr>
        <w:ind w:left="6480" w:hanging="360"/>
      </w:pPr>
      <w:rPr>
        <w:rFonts w:hint="default" w:ascii="Wingdings" w:hAnsi="Wingdings"/>
      </w:rPr>
    </w:lvl>
  </w:abstractNum>
  <w:abstractNum w:abstractNumId="60" w15:restartNumberingAfterBreak="0">
    <w:nsid w:val="26E01247"/>
    <w:multiLevelType w:val="hybridMultilevel"/>
    <w:tmpl w:val="AB62652E"/>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61" w15:restartNumberingAfterBreak="0">
    <w:nsid w:val="27790781"/>
    <w:multiLevelType w:val="multilevel"/>
    <w:tmpl w:val="458694E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2" w15:restartNumberingAfterBreak="0">
    <w:nsid w:val="27A34917"/>
    <w:multiLevelType w:val="multilevel"/>
    <w:tmpl w:val="7FE261A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3" w15:restartNumberingAfterBreak="0">
    <w:nsid w:val="282C6C5A"/>
    <w:multiLevelType w:val="hybridMultilevel"/>
    <w:tmpl w:val="95EADA52"/>
    <w:lvl w:ilvl="0" w:tplc="0AA007B8">
      <w:start w:val="7"/>
      <w:numFmt w:val="bullet"/>
      <w:lvlText w:val="•"/>
      <w:lvlJc w:val="left"/>
      <w:pPr>
        <w:ind w:left="1065" w:hanging="705"/>
      </w:pPr>
      <w:rPr>
        <w:rFonts w:hint="default" w:ascii="Verdana" w:hAnsi="Verdana" w:eastAsiaTheme="minorHAnsi" w:cstheme="minorBidi"/>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64" w15:restartNumberingAfterBreak="0">
    <w:nsid w:val="286CBE3A"/>
    <w:multiLevelType w:val="hybridMultilevel"/>
    <w:tmpl w:val="63B6B502"/>
    <w:lvl w:ilvl="0" w:tplc="8C40D974">
      <w:start w:val="1"/>
      <w:numFmt w:val="bullet"/>
      <w:lvlText w:val="·"/>
      <w:lvlJc w:val="left"/>
      <w:pPr>
        <w:ind w:left="720" w:hanging="360"/>
      </w:pPr>
      <w:rPr>
        <w:rFonts w:hint="default" w:ascii="Symbol" w:hAnsi="Symbol"/>
      </w:rPr>
    </w:lvl>
    <w:lvl w:ilvl="1" w:tplc="DAE05506">
      <w:start w:val="1"/>
      <w:numFmt w:val="bullet"/>
      <w:lvlText w:val="o"/>
      <w:lvlJc w:val="left"/>
      <w:pPr>
        <w:ind w:left="1440" w:hanging="360"/>
      </w:pPr>
      <w:rPr>
        <w:rFonts w:hint="default" w:ascii="Courier New" w:hAnsi="Courier New"/>
      </w:rPr>
    </w:lvl>
    <w:lvl w:ilvl="2" w:tplc="5FFEFD7E">
      <w:start w:val="1"/>
      <w:numFmt w:val="bullet"/>
      <w:lvlText w:val=""/>
      <w:lvlJc w:val="left"/>
      <w:pPr>
        <w:ind w:left="2160" w:hanging="360"/>
      </w:pPr>
      <w:rPr>
        <w:rFonts w:hint="default" w:ascii="Wingdings" w:hAnsi="Wingdings"/>
      </w:rPr>
    </w:lvl>
    <w:lvl w:ilvl="3" w:tplc="7326D948">
      <w:start w:val="1"/>
      <w:numFmt w:val="bullet"/>
      <w:lvlText w:val=""/>
      <w:lvlJc w:val="left"/>
      <w:pPr>
        <w:ind w:left="2880" w:hanging="360"/>
      </w:pPr>
      <w:rPr>
        <w:rFonts w:hint="default" w:ascii="Symbol" w:hAnsi="Symbol"/>
      </w:rPr>
    </w:lvl>
    <w:lvl w:ilvl="4" w:tplc="372C0B30">
      <w:start w:val="1"/>
      <w:numFmt w:val="bullet"/>
      <w:lvlText w:val="o"/>
      <w:lvlJc w:val="left"/>
      <w:pPr>
        <w:ind w:left="3600" w:hanging="360"/>
      </w:pPr>
      <w:rPr>
        <w:rFonts w:hint="default" w:ascii="Courier New" w:hAnsi="Courier New"/>
      </w:rPr>
    </w:lvl>
    <w:lvl w:ilvl="5" w:tplc="6E54FF50">
      <w:start w:val="1"/>
      <w:numFmt w:val="bullet"/>
      <w:lvlText w:val=""/>
      <w:lvlJc w:val="left"/>
      <w:pPr>
        <w:ind w:left="4320" w:hanging="360"/>
      </w:pPr>
      <w:rPr>
        <w:rFonts w:hint="default" w:ascii="Wingdings" w:hAnsi="Wingdings"/>
      </w:rPr>
    </w:lvl>
    <w:lvl w:ilvl="6" w:tplc="271CA914">
      <w:start w:val="1"/>
      <w:numFmt w:val="bullet"/>
      <w:lvlText w:val=""/>
      <w:lvlJc w:val="left"/>
      <w:pPr>
        <w:ind w:left="5040" w:hanging="360"/>
      </w:pPr>
      <w:rPr>
        <w:rFonts w:hint="default" w:ascii="Symbol" w:hAnsi="Symbol"/>
      </w:rPr>
    </w:lvl>
    <w:lvl w:ilvl="7" w:tplc="0A5CBBA6">
      <w:start w:val="1"/>
      <w:numFmt w:val="bullet"/>
      <w:lvlText w:val="o"/>
      <w:lvlJc w:val="left"/>
      <w:pPr>
        <w:ind w:left="5760" w:hanging="360"/>
      </w:pPr>
      <w:rPr>
        <w:rFonts w:hint="default" w:ascii="Courier New" w:hAnsi="Courier New"/>
      </w:rPr>
    </w:lvl>
    <w:lvl w:ilvl="8" w:tplc="52AE31B4">
      <w:start w:val="1"/>
      <w:numFmt w:val="bullet"/>
      <w:lvlText w:val=""/>
      <w:lvlJc w:val="left"/>
      <w:pPr>
        <w:ind w:left="6480" w:hanging="360"/>
      </w:pPr>
      <w:rPr>
        <w:rFonts w:hint="default" w:ascii="Wingdings" w:hAnsi="Wingdings"/>
      </w:rPr>
    </w:lvl>
  </w:abstractNum>
  <w:abstractNum w:abstractNumId="65" w15:restartNumberingAfterBreak="0">
    <w:nsid w:val="28DA7AF6"/>
    <w:multiLevelType w:val="multilevel"/>
    <w:tmpl w:val="EF40F58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6" w15:restartNumberingAfterBreak="0">
    <w:nsid w:val="28EA40F1"/>
    <w:multiLevelType w:val="multilevel"/>
    <w:tmpl w:val="2C1EF0A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7" w15:restartNumberingAfterBreak="0">
    <w:nsid w:val="28EC1E7E"/>
    <w:multiLevelType w:val="hybridMultilevel"/>
    <w:tmpl w:val="69FEAC48"/>
    <w:lvl w:ilvl="0" w:tplc="A426D1BE">
      <w:numFmt w:val="bullet"/>
      <w:lvlText w:val=""/>
      <w:lvlJc w:val="left"/>
      <w:pPr>
        <w:ind w:left="720" w:hanging="360"/>
      </w:pPr>
      <w:rPr>
        <w:rFonts w:hint="default" w:ascii="Symbol" w:hAnsi="Symbol" w:eastAsiaTheme="minorHAnsi" w:cstheme="minorBidi"/>
      </w:rPr>
    </w:lvl>
    <w:lvl w:ilvl="1" w:tplc="080A0003">
      <w:start w:val="1"/>
      <w:numFmt w:val="bullet"/>
      <w:lvlText w:val="o"/>
      <w:lvlJc w:val="left"/>
      <w:pPr>
        <w:ind w:left="1440" w:hanging="360"/>
      </w:pPr>
      <w:rPr>
        <w:rFonts w:hint="default" w:ascii="Courier New" w:hAnsi="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rPr>
    </w:lvl>
    <w:lvl w:ilvl="8" w:tplc="080A0005" w:tentative="1">
      <w:start w:val="1"/>
      <w:numFmt w:val="bullet"/>
      <w:lvlText w:val=""/>
      <w:lvlJc w:val="left"/>
      <w:pPr>
        <w:ind w:left="6480" w:hanging="360"/>
      </w:pPr>
      <w:rPr>
        <w:rFonts w:hint="default" w:ascii="Wingdings" w:hAnsi="Wingdings"/>
      </w:rPr>
    </w:lvl>
  </w:abstractNum>
  <w:abstractNum w:abstractNumId="68" w15:restartNumberingAfterBreak="0">
    <w:nsid w:val="299B0E63"/>
    <w:multiLevelType w:val="multilevel"/>
    <w:tmpl w:val="FFFFFFFF"/>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69" w15:restartNumberingAfterBreak="0">
    <w:nsid w:val="29F377F7"/>
    <w:multiLevelType w:val="hybridMultilevel"/>
    <w:tmpl w:val="24E0EDD2"/>
    <w:lvl w:ilvl="0" w:tplc="7E783D24">
      <w:start w:val="1"/>
      <w:numFmt w:val="bullet"/>
      <w:lvlText w:val="-"/>
      <w:lvlJc w:val="left"/>
      <w:pPr>
        <w:ind w:left="1080" w:hanging="360"/>
      </w:pPr>
      <w:rPr>
        <w:rFonts w:hint="default" w:ascii="Arial" w:hAnsi="Arial"/>
      </w:rPr>
    </w:lvl>
    <w:lvl w:ilvl="1" w:tplc="240A0003" w:tentative="1">
      <w:start w:val="1"/>
      <w:numFmt w:val="bullet"/>
      <w:lvlText w:val="o"/>
      <w:lvlJc w:val="left"/>
      <w:pPr>
        <w:ind w:left="1800" w:hanging="360"/>
      </w:pPr>
      <w:rPr>
        <w:rFonts w:hint="default" w:ascii="Courier New" w:hAnsi="Courier New" w:cs="Courier New"/>
      </w:rPr>
    </w:lvl>
    <w:lvl w:ilvl="2" w:tplc="240A0005" w:tentative="1">
      <w:start w:val="1"/>
      <w:numFmt w:val="bullet"/>
      <w:lvlText w:val=""/>
      <w:lvlJc w:val="left"/>
      <w:pPr>
        <w:ind w:left="2520" w:hanging="360"/>
      </w:pPr>
      <w:rPr>
        <w:rFonts w:hint="default" w:ascii="Wingdings" w:hAnsi="Wingdings"/>
      </w:rPr>
    </w:lvl>
    <w:lvl w:ilvl="3" w:tplc="240A0001" w:tentative="1">
      <w:start w:val="1"/>
      <w:numFmt w:val="bullet"/>
      <w:lvlText w:val=""/>
      <w:lvlJc w:val="left"/>
      <w:pPr>
        <w:ind w:left="3240" w:hanging="360"/>
      </w:pPr>
      <w:rPr>
        <w:rFonts w:hint="default" w:ascii="Symbol" w:hAnsi="Symbol"/>
      </w:rPr>
    </w:lvl>
    <w:lvl w:ilvl="4" w:tplc="240A0003" w:tentative="1">
      <w:start w:val="1"/>
      <w:numFmt w:val="bullet"/>
      <w:lvlText w:val="o"/>
      <w:lvlJc w:val="left"/>
      <w:pPr>
        <w:ind w:left="3960" w:hanging="360"/>
      </w:pPr>
      <w:rPr>
        <w:rFonts w:hint="default" w:ascii="Courier New" w:hAnsi="Courier New" w:cs="Courier New"/>
      </w:rPr>
    </w:lvl>
    <w:lvl w:ilvl="5" w:tplc="240A0005" w:tentative="1">
      <w:start w:val="1"/>
      <w:numFmt w:val="bullet"/>
      <w:lvlText w:val=""/>
      <w:lvlJc w:val="left"/>
      <w:pPr>
        <w:ind w:left="4680" w:hanging="360"/>
      </w:pPr>
      <w:rPr>
        <w:rFonts w:hint="default" w:ascii="Wingdings" w:hAnsi="Wingdings"/>
      </w:rPr>
    </w:lvl>
    <w:lvl w:ilvl="6" w:tplc="240A0001" w:tentative="1">
      <w:start w:val="1"/>
      <w:numFmt w:val="bullet"/>
      <w:lvlText w:val=""/>
      <w:lvlJc w:val="left"/>
      <w:pPr>
        <w:ind w:left="5400" w:hanging="360"/>
      </w:pPr>
      <w:rPr>
        <w:rFonts w:hint="default" w:ascii="Symbol" w:hAnsi="Symbol"/>
      </w:rPr>
    </w:lvl>
    <w:lvl w:ilvl="7" w:tplc="240A0003" w:tentative="1">
      <w:start w:val="1"/>
      <w:numFmt w:val="bullet"/>
      <w:lvlText w:val="o"/>
      <w:lvlJc w:val="left"/>
      <w:pPr>
        <w:ind w:left="6120" w:hanging="360"/>
      </w:pPr>
      <w:rPr>
        <w:rFonts w:hint="default" w:ascii="Courier New" w:hAnsi="Courier New" w:cs="Courier New"/>
      </w:rPr>
    </w:lvl>
    <w:lvl w:ilvl="8" w:tplc="240A0005" w:tentative="1">
      <w:start w:val="1"/>
      <w:numFmt w:val="bullet"/>
      <w:lvlText w:val=""/>
      <w:lvlJc w:val="left"/>
      <w:pPr>
        <w:ind w:left="6840" w:hanging="360"/>
      </w:pPr>
      <w:rPr>
        <w:rFonts w:hint="default" w:ascii="Wingdings" w:hAnsi="Wingdings"/>
      </w:rPr>
    </w:lvl>
  </w:abstractNum>
  <w:abstractNum w:abstractNumId="70" w15:restartNumberingAfterBreak="0">
    <w:nsid w:val="2A01326E"/>
    <w:multiLevelType w:val="multilevel"/>
    <w:tmpl w:val="A5AC591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1" w15:restartNumberingAfterBreak="0">
    <w:nsid w:val="2B2D1807"/>
    <w:multiLevelType w:val="multilevel"/>
    <w:tmpl w:val="044C416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2" w15:restartNumberingAfterBreak="0">
    <w:nsid w:val="2B853C5C"/>
    <w:multiLevelType w:val="multilevel"/>
    <w:tmpl w:val="C43E136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3" w15:restartNumberingAfterBreak="0">
    <w:nsid w:val="2C2D064D"/>
    <w:multiLevelType w:val="hybridMultilevel"/>
    <w:tmpl w:val="B086925E"/>
    <w:lvl w:ilvl="0" w:tplc="A426D1BE">
      <w:numFmt w:val="bullet"/>
      <w:lvlText w:val=""/>
      <w:lvlJc w:val="left"/>
      <w:pPr>
        <w:ind w:left="720" w:hanging="360"/>
      </w:pPr>
      <w:rPr>
        <w:rFonts w:hint="default" w:ascii="Symbol" w:hAnsi="Symbol" w:eastAsiaTheme="minorHAnsi" w:cstheme="minorBidi"/>
      </w:rPr>
    </w:lvl>
    <w:lvl w:ilvl="1" w:tplc="080A0003" w:tentative="1">
      <w:start w:val="1"/>
      <w:numFmt w:val="bullet"/>
      <w:lvlText w:val="o"/>
      <w:lvlJc w:val="left"/>
      <w:pPr>
        <w:ind w:left="1440" w:hanging="360"/>
      </w:pPr>
      <w:rPr>
        <w:rFonts w:hint="default" w:ascii="Courier New" w:hAnsi="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rPr>
    </w:lvl>
    <w:lvl w:ilvl="8" w:tplc="080A0005" w:tentative="1">
      <w:start w:val="1"/>
      <w:numFmt w:val="bullet"/>
      <w:lvlText w:val=""/>
      <w:lvlJc w:val="left"/>
      <w:pPr>
        <w:ind w:left="6480" w:hanging="360"/>
      </w:pPr>
      <w:rPr>
        <w:rFonts w:hint="default" w:ascii="Wingdings" w:hAnsi="Wingdings"/>
      </w:rPr>
    </w:lvl>
  </w:abstractNum>
  <w:abstractNum w:abstractNumId="74" w15:restartNumberingAfterBreak="0">
    <w:nsid w:val="2C5D2FE5"/>
    <w:multiLevelType w:val="multilevel"/>
    <w:tmpl w:val="4EC65E0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5" w15:restartNumberingAfterBreak="0">
    <w:nsid w:val="2DBE7E64"/>
    <w:multiLevelType w:val="multilevel"/>
    <w:tmpl w:val="3FF4D25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6" w15:restartNumberingAfterBreak="0">
    <w:nsid w:val="2E27551C"/>
    <w:multiLevelType w:val="multilevel"/>
    <w:tmpl w:val="9468C53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7" w15:restartNumberingAfterBreak="0">
    <w:nsid w:val="2E3868EC"/>
    <w:multiLevelType w:val="multilevel"/>
    <w:tmpl w:val="E4CA94A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8" w15:restartNumberingAfterBreak="0">
    <w:nsid w:val="300A30DA"/>
    <w:multiLevelType w:val="multilevel"/>
    <w:tmpl w:val="A5566AEA"/>
    <w:lvl w:ilvl="0">
      <w:start w:val="8"/>
      <w:numFmt w:val="decimal"/>
      <w:lvlText w:val="%1."/>
      <w:lvlJc w:val="left"/>
      <w:pPr>
        <w:ind w:left="765" w:hanging="765"/>
      </w:pPr>
      <w:rPr>
        <w:rFonts w:hint="default"/>
        <w:b/>
      </w:rPr>
    </w:lvl>
    <w:lvl w:ilvl="1">
      <w:start w:val="3"/>
      <w:numFmt w:val="decimal"/>
      <w:lvlText w:val="%1.%2."/>
      <w:lvlJc w:val="left"/>
      <w:pPr>
        <w:ind w:left="765" w:hanging="765"/>
      </w:pPr>
      <w:rPr>
        <w:rFonts w:hint="default"/>
        <w:b/>
      </w:rPr>
    </w:lvl>
    <w:lvl w:ilvl="2">
      <w:start w:val="2"/>
      <w:numFmt w:val="decimal"/>
      <w:lvlText w:val="%1.%2.%3."/>
      <w:lvlJc w:val="left"/>
      <w:pPr>
        <w:ind w:left="1080" w:hanging="1080"/>
      </w:pPr>
      <w:rPr>
        <w:rFonts w:hint="default"/>
        <w:b/>
      </w:rPr>
    </w:lvl>
    <w:lvl w:ilvl="3">
      <w:start w:val="1"/>
      <w:numFmt w:val="decimal"/>
      <w:lvlText w:val="%1.%2.%3.%4."/>
      <w:lvlJc w:val="left"/>
      <w:pPr>
        <w:ind w:left="1440" w:hanging="1440"/>
      </w:pPr>
      <w:rPr>
        <w:rFonts w:hint="default"/>
        <w:b/>
      </w:rPr>
    </w:lvl>
    <w:lvl w:ilvl="4">
      <w:start w:val="1"/>
      <w:numFmt w:val="decimal"/>
      <w:lvlText w:val="%1.%2.%3.%4.%5."/>
      <w:lvlJc w:val="left"/>
      <w:pPr>
        <w:ind w:left="1440" w:hanging="1440"/>
      </w:pPr>
      <w:rPr>
        <w:rFonts w:hint="default"/>
        <w:b/>
      </w:rPr>
    </w:lvl>
    <w:lvl w:ilvl="5">
      <w:start w:val="1"/>
      <w:numFmt w:val="decimal"/>
      <w:lvlText w:val="%1.%2.%3.%4.%5.%6."/>
      <w:lvlJc w:val="left"/>
      <w:pPr>
        <w:ind w:left="1800" w:hanging="1800"/>
      </w:pPr>
      <w:rPr>
        <w:rFonts w:hint="default"/>
        <w:b/>
      </w:rPr>
    </w:lvl>
    <w:lvl w:ilvl="6">
      <w:start w:val="1"/>
      <w:numFmt w:val="decimal"/>
      <w:lvlText w:val="%1.%2.%3.%4.%5.%6.%7."/>
      <w:lvlJc w:val="left"/>
      <w:pPr>
        <w:ind w:left="2160" w:hanging="2160"/>
      </w:pPr>
      <w:rPr>
        <w:rFonts w:hint="default"/>
        <w:b/>
      </w:rPr>
    </w:lvl>
    <w:lvl w:ilvl="7">
      <w:start w:val="1"/>
      <w:numFmt w:val="decimal"/>
      <w:lvlText w:val="%1.%2.%3.%4.%5.%6.%7.%8."/>
      <w:lvlJc w:val="left"/>
      <w:pPr>
        <w:ind w:left="2520" w:hanging="2520"/>
      </w:pPr>
      <w:rPr>
        <w:rFonts w:hint="default"/>
        <w:b/>
      </w:rPr>
    </w:lvl>
    <w:lvl w:ilvl="8">
      <w:start w:val="1"/>
      <w:numFmt w:val="decimal"/>
      <w:lvlText w:val="%1.%2.%3.%4.%5.%6.%7.%8.%9."/>
      <w:lvlJc w:val="left"/>
      <w:pPr>
        <w:ind w:left="2880" w:hanging="2880"/>
      </w:pPr>
      <w:rPr>
        <w:rFonts w:hint="default"/>
        <w:b/>
      </w:rPr>
    </w:lvl>
  </w:abstractNum>
  <w:abstractNum w:abstractNumId="79" w15:restartNumberingAfterBreak="0">
    <w:nsid w:val="30B12101"/>
    <w:multiLevelType w:val="multilevel"/>
    <w:tmpl w:val="D666B2E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80" w15:restartNumberingAfterBreak="0">
    <w:nsid w:val="30E7B88B"/>
    <w:multiLevelType w:val="hybridMultilevel"/>
    <w:tmpl w:val="39FC03DA"/>
    <w:lvl w:ilvl="0" w:tplc="147C2428">
      <w:start w:val="1"/>
      <w:numFmt w:val="bullet"/>
      <w:lvlText w:val="·"/>
      <w:lvlJc w:val="left"/>
      <w:pPr>
        <w:ind w:left="720" w:hanging="360"/>
      </w:pPr>
      <w:rPr>
        <w:rFonts w:hint="default" w:ascii="Symbol" w:hAnsi="Symbol"/>
      </w:rPr>
    </w:lvl>
    <w:lvl w:ilvl="1" w:tplc="6556F8CA">
      <w:start w:val="1"/>
      <w:numFmt w:val="bullet"/>
      <w:lvlText w:val="o"/>
      <w:lvlJc w:val="left"/>
      <w:pPr>
        <w:ind w:left="1440" w:hanging="360"/>
      </w:pPr>
      <w:rPr>
        <w:rFonts w:hint="default" w:ascii="Courier New" w:hAnsi="Courier New"/>
      </w:rPr>
    </w:lvl>
    <w:lvl w:ilvl="2" w:tplc="256297FE">
      <w:start w:val="1"/>
      <w:numFmt w:val="bullet"/>
      <w:lvlText w:val=""/>
      <w:lvlJc w:val="left"/>
      <w:pPr>
        <w:ind w:left="2160" w:hanging="360"/>
      </w:pPr>
      <w:rPr>
        <w:rFonts w:hint="default" w:ascii="Wingdings" w:hAnsi="Wingdings"/>
      </w:rPr>
    </w:lvl>
    <w:lvl w:ilvl="3" w:tplc="773CAB62">
      <w:start w:val="1"/>
      <w:numFmt w:val="bullet"/>
      <w:lvlText w:val=""/>
      <w:lvlJc w:val="left"/>
      <w:pPr>
        <w:ind w:left="2880" w:hanging="360"/>
      </w:pPr>
      <w:rPr>
        <w:rFonts w:hint="default" w:ascii="Symbol" w:hAnsi="Symbol"/>
      </w:rPr>
    </w:lvl>
    <w:lvl w:ilvl="4" w:tplc="7312D406">
      <w:start w:val="1"/>
      <w:numFmt w:val="bullet"/>
      <w:lvlText w:val="o"/>
      <w:lvlJc w:val="left"/>
      <w:pPr>
        <w:ind w:left="3600" w:hanging="360"/>
      </w:pPr>
      <w:rPr>
        <w:rFonts w:hint="default" w:ascii="Courier New" w:hAnsi="Courier New"/>
      </w:rPr>
    </w:lvl>
    <w:lvl w:ilvl="5" w:tplc="82BE443C">
      <w:start w:val="1"/>
      <w:numFmt w:val="bullet"/>
      <w:lvlText w:val=""/>
      <w:lvlJc w:val="left"/>
      <w:pPr>
        <w:ind w:left="4320" w:hanging="360"/>
      </w:pPr>
      <w:rPr>
        <w:rFonts w:hint="default" w:ascii="Wingdings" w:hAnsi="Wingdings"/>
      </w:rPr>
    </w:lvl>
    <w:lvl w:ilvl="6" w:tplc="45703268">
      <w:start w:val="1"/>
      <w:numFmt w:val="bullet"/>
      <w:lvlText w:val=""/>
      <w:lvlJc w:val="left"/>
      <w:pPr>
        <w:ind w:left="5040" w:hanging="360"/>
      </w:pPr>
      <w:rPr>
        <w:rFonts w:hint="default" w:ascii="Symbol" w:hAnsi="Symbol"/>
      </w:rPr>
    </w:lvl>
    <w:lvl w:ilvl="7" w:tplc="253A9E2C">
      <w:start w:val="1"/>
      <w:numFmt w:val="bullet"/>
      <w:lvlText w:val="o"/>
      <w:lvlJc w:val="left"/>
      <w:pPr>
        <w:ind w:left="5760" w:hanging="360"/>
      </w:pPr>
      <w:rPr>
        <w:rFonts w:hint="default" w:ascii="Courier New" w:hAnsi="Courier New"/>
      </w:rPr>
    </w:lvl>
    <w:lvl w:ilvl="8" w:tplc="9E106678">
      <w:start w:val="1"/>
      <w:numFmt w:val="bullet"/>
      <w:lvlText w:val=""/>
      <w:lvlJc w:val="left"/>
      <w:pPr>
        <w:ind w:left="6480" w:hanging="360"/>
      </w:pPr>
      <w:rPr>
        <w:rFonts w:hint="default" w:ascii="Wingdings" w:hAnsi="Wingdings"/>
      </w:rPr>
    </w:lvl>
  </w:abstractNum>
  <w:abstractNum w:abstractNumId="81" w15:restartNumberingAfterBreak="0">
    <w:nsid w:val="32DD76B3"/>
    <w:multiLevelType w:val="hybridMultilevel"/>
    <w:tmpl w:val="1660D1A2"/>
    <w:lvl w:ilvl="0" w:tplc="A426D1BE">
      <w:numFmt w:val="bullet"/>
      <w:lvlText w:val=""/>
      <w:lvlJc w:val="left"/>
      <w:pPr>
        <w:ind w:left="720" w:hanging="360"/>
      </w:pPr>
      <w:rPr>
        <w:rFonts w:hint="default" w:ascii="Symbol" w:hAnsi="Symbol" w:eastAsiaTheme="minorHAnsi" w:cstheme="minorBidi"/>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82" w15:restartNumberingAfterBreak="0">
    <w:nsid w:val="3329EDB8"/>
    <w:multiLevelType w:val="hybridMultilevel"/>
    <w:tmpl w:val="B372C20E"/>
    <w:lvl w:ilvl="0" w:tplc="073286D2">
      <w:start w:val="1"/>
      <w:numFmt w:val="bullet"/>
      <w:lvlText w:val="·"/>
      <w:lvlJc w:val="left"/>
      <w:pPr>
        <w:ind w:left="720" w:hanging="360"/>
      </w:pPr>
      <w:rPr>
        <w:rFonts w:hint="default" w:ascii="Symbol" w:hAnsi="Symbol"/>
      </w:rPr>
    </w:lvl>
    <w:lvl w:ilvl="1" w:tplc="B4DE16DC">
      <w:start w:val="1"/>
      <w:numFmt w:val="bullet"/>
      <w:lvlText w:val="o"/>
      <w:lvlJc w:val="left"/>
      <w:pPr>
        <w:ind w:left="1440" w:hanging="360"/>
      </w:pPr>
      <w:rPr>
        <w:rFonts w:hint="default" w:ascii="Courier New" w:hAnsi="Courier New"/>
      </w:rPr>
    </w:lvl>
    <w:lvl w:ilvl="2" w:tplc="586A4B5C">
      <w:start w:val="1"/>
      <w:numFmt w:val="bullet"/>
      <w:lvlText w:val=""/>
      <w:lvlJc w:val="left"/>
      <w:pPr>
        <w:ind w:left="2160" w:hanging="360"/>
      </w:pPr>
      <w:rPr>
        <w:rFonts w:hint="default" w:ascii="Wingdings" w:hAnsi="Wingdings"/>
      </w:rPr>
    </w:lvl>
    <w:lvl w:ilvl="3" w:tplc="8FE60432">
      <w:start w:val="1"/>
      <w:numFmt w:val="bullet"/>
      <w:lvlText w:val=""/>
      <w:lvlJc w:val="left"/>
      <w:pPr>
        <w:ind w:left="2880" w:hanging="360"/>
      </w:pPr>
      <w:rPr>
        <w:rFonts w:hint="default" w:ascii="Symbol" w:hAnsi="Symbol"/>
      </w:rPr>
    </w:lvl>
    <w:lvl w:ilvl="4" w:tplc="2AAEAA2A">
      <w:start w:val="1"/>
      <w:numFmt w:val="bullet"/>
      <w:lvlText w:val="o"/>
      <w:lvlJc w:val="left"/>
      <w:pPr>
        <w:ind w:left="3600" w:hanging="360"/>
      </w:pPr>
      <w:rPr>
        <w:rFonts w:hint="default" w:ascii="Courier New" w:hAnsi="Courier New"/>
      </w:rPr>
    </w:lvl>
    <w:lvl w:ilvl="5" w:tplc="8D1A81AE">
      <w:start w:val="1"/>
      <w:numFmt w:val="bullet"/>
      <w:lvlText w:val=""/>
      <w:lvlJc w:val="left"/>
      <w:pPr>
        <w:ind w:left="4320" w:hanging="360"/>
      </w:pPr>
      <w:rPr>
        <w:rFonts w:hint="default" w:ascii="Wingdings" w:hAnsi="Wingdings"/>
      </w:rPr>
    </w:lvl>
    <w:lvl w:ilvl="6" w:tplc="5A4ED174">
      <w:start w:val="1"/>
      <w:numFmt w:val="bullet"/>
      <w:lvlText w:val=""/>
      <w:lvlJc w:val="left"/>
      <w:pPr>
        <w:ind w:left="5040" w:hanging="360"/>
      </w:pPr>
      <w:rPr>
        <w:rFonts w:hint="default" w:ascii="Symbol" w:hAnsi="Symbol"/>
      </w:rPr>
    </w:lvl>
    <w:lvl w:ilvl="7" w:tplc="EB604E64">
      <w:start w:val="1"/>
      <w:numFmt w:val="bullet"/>
      <w:lvlText w:val="o"/>
      <w:lvlJc w:val="left"/>
      <w:pPr>
        <w:ind w:left="5760" w:hanging="360"/>
      </w:pPr>
      <w:rPr>
        <w:rFonts w:hint="default" w:ascii="Courier New" w:hAnsi="Courier New"/>
      </w:rPr>
    </w:lvl>
    <w:lvl w:ilvl="8" w:tplc="D3C4B3E4">
      <w:start w:val="1"/>
      <w:numFmt w:val="bullet"/>
      <w:lvlText w:val=""/>
      <w:lvlJc w:val="left"/>
      <w:pPr>
        <w:ind w:left="6480" w:hanging="360"/>
      </w:pPr>
      <w:rPr>
        <w:rFonts w:hint="default" w:ascii="Wingdings" w:hAnsi="Wingdings"/>
      </w:rPr>
    </w:lvl>
  </w:abstractNum>
  <w:abstractNum w:abstractNumId="83" w15:restartNumberingAfterBreak="0">
    <w:nsid w:val="35DFEBE8"/>
    <w:multiLevelType w:val="hybridMultilevel"/>
    <w:tmpl w:val="5C5CB166"/>
    <w:lvl w:ilvl="0" w:tplc="0F5EFC86">
      <w:start w:val="1"/>
      <w:numFmt w:val="bullet"/>
      <w:lvlText w:val="·"/>
      <w:lvlJc w:val="left"/>
      <w:pPr>
        <w:ind w:left="720" w:hanging="360"/>
      </w:pPr>
      <w:rPr>
        <w:rFonts w:hint="default" w:ascii="Symbol" w:hAnsi="Symbol"/>
      </w:rPr>
    </w:lvl>
    <w:lvl w:ilvl="1" w:tplc="2CD66608">
      <w:start w:val="1"/>
      <w:numFmt w:val="bullet"/>
      <w:lvlText w:val="o"/>
      <w:lvlJc w:val="left"/>
      <w:pPr>
        <w:ind w:left="1440" w:hanging="360"/>
      </w:pPr>
      <w:rPr>
        <w:rFonts w:hint="default" w:ascii="Courier New" w:hAnsi="Courier New"/>
      </w:rPr>
    </w:lvl>
    <w:lvl w:ilvl="2" w:tplc="E0E44920">
      <w:start w:val="1"/>
      <w:numFmt w:val="bullet"/>
      <w:lvlText w:val=""/>
      <w:lvlJc w:val="left"/>
      <w:pPr>
        <w:ind w:left="2160" w:hanging="360"/>
      </w:pPr>
      <w:rPr>
        <w:rFonts w:hint="default" w:ascii="Wingdings" w:hAnsi="Wingdings"/>
      </w:rPr>
    </w:lvl>
    <w:lvl w:ilvl="3" w:tplc="E758BD7C">
      <w:start w:val="1"/>
      <w:numFmt w:val="bullet"/>
      <w:lvlText w:val=""/>
      <w:lvlJc w:val="left"/>
      <w:pPr>
        <w:ind w:left="2880" w:hanging="360"/>
      </w:pPr>
      <w:rPr>
        <w:rFonts w:hint="default" w:ascii="Symbol" w:hAnsi="Symbol"/>
      </w:rPr>
    </w:lvl>
    <w:lvl w:ilvl="4" w:tplc="EA463772">
      <w:start w:val="1"/>
      <w:numFmt w:val="bullet"/>
      <w:lvlText w:val="o"/>
      <w:lvlJc w:val="left"/>
      <w:pPr>
        <w:ind w:left="3600" w:hanging="360"/>
      </w:pPr>
      <w:rPr>
        <w:rFonts w:hint="default" w:ascii="Courier New" w:hAnsi="Courier New"/>
      </w:rPr>
    </w:lvl>
    <w:lvl w:ilvl="5" w:tplc="9E0E10B6">
      <w:start w:val="1"/>
      <w:numFmt w:val="bullet"/>
      <w:lvlText w:val=""/>
      <w:lvlJc w:val="left"/>
      <w:pPr>
        <w:ind w:left="4320" w:hanging="360"/>
      </w:pPr>
      <w:rPr>
        <w:rFonts w:hint="default" w:ascii="Wingdings" w:hAnsi="Wingdings"/>
      </w:rPr>
    </w:lvl>
    <w:lvl w:ilvl="6" w:tplc="87C87BF2">
      <w:start w:val="1"/>
      <w:numFmt w:val="bullet"/>
      <w:lvlText w:val=""/>
      <w:lvlJc w:val="left"/>
      <w:pPr>
        <w:ind w:left="5040" w:hanging="360"/>
      </w:pPr>
      <w:rPr>
        <w:rFonts w:hint="default" w:ascii="Symbol" w:hAnsi="Symbol"/>
      </w:rPr>
    </w:lvl>
    <w:lvl w:ilvl="7" w:tplc="6CF44234">
      <w:start w:val="1"/>
      <w:numFmt w:val="bullet"/>
      <w:lvlText w:val="o"/>
      <w:lvlJc w:val="left"/>
      <w:pPr>
        <w:ind w:left="5760" w:hanging="360"/>
      </w:pPr>
      <w:rPr>
        <w:rFonts w:hint="default" w:ascii="Courier New" w:hAnsi="Courier New"/>
      </w:rPr>
    </w:lvl>
    <w:lvl w:ilvl="8" w:tplc="1BFAB45E">
      <w:start w:val="1"/>
      <w:numFmt w:val="bullet"/>
      <w:lvlText w:val=""/>
      <w:lvlJc w:val="left"/>
      <w:pPr>
        <w:ind w:left="6480" w:hanging="360"/>
      </w:pPr>
      <w:rPr>
        <w:rFonts w:hint="default" w:ascii="Wingdings" w:hAnsi="Wingdings"/>
      </w:rPr>
    </w:lvl>
  </w:abstractNum>
  <w:abstractNum w:abstractNumId="84" w15:restartNumberingAfterBreak="0">
    <w:nsid w:val="3677242E"/>
    <w:multiLevelType w:val="multilevel"/>
    <w:tmpl w:val="6CAA2F3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85" w15:restartNumberingAfterBreak="0">
    <w:nsid w:val="37946A43"/>
    <w:multiLevelType w:val="hybridMultilevel"/>
    <w:tmpl w:val="B0D2F77C"/>
    <w:lvl w:ilvl="0" w:tplc="6D54985A">
      <w:numFmt w:val="bullet"/>
      <w:lvlText w:val="•"/>
      <w:lvlJc w:val="left"/>
      <w:pPr>
        <w:ind w:left="989" w:hanging="705"/>
      </w:pPr>
      <w:rPr>
        <w:rFonts w:hint="default" w:ascii="Verdana" w:hAnsi="Verdana" w:eastAsiaTheme="minorHAnsi" w:cstheme="minorBidi"/>
      </w:rPr>
    </w:lvl>
    <w:lvl w:ilvl="1" w:tplc="240A0003" w:tentative="1">
      <w:start w:val="1"/>
      <w:numFmt w:val="bullet"/>
      <w:lvlText w:val="o"/>
      <w:lvlJc w:val="left"/>
      <w:pPr>
        <w:ind w:left="1364" w:hanging="360"/>
      </w:pPr>
      <w:rPr>
        <w:rFonts w:hint="default" w:ascii="Courier New" w:hAnsi="Courier New" w:cs="Courier New"/>
      </w:rPr>
    </w:lvl>
    <w:lvl w:ilvl="2" w:tplc="240A0005" w:tentative="1">
      <w:start w:val="1"/>
      <w:numFmt w:val="bullet"/>
      <w:lvlText w:val=""/>
      <w:lvlJc w:val="left"/>
      <w:pPr>
        <w:ind w:left="2084" w:hanging="360"/>
      </w:pPr>
      <w:rPr>
        <w:rFonts w:hint="default" w:ascii="Wingdings" w:hAnsi="Wingdings"/>
      </w:rPr>
    </w:lvl>
    <w:lvl w:ilvl="3" w:tplc="240A0001" w:tentative="1">
      <w:start w:val="1"/>
      <w:numFmt w:val="bullet"/>
      <w:lvlText w:val=""/>
      <w:lvlJc w:val="left"/>
      <w:pPr>
        <w:ind w:left="2804" w:hanging="360"/>
      </w:pPr>
      <w:rPr>
        <w:rFonts w:hint="default" w:ascii="Symbol" w:hAnsi="Symbol"/>
      </w:rPr>
    </w:lvl>
    <w:lvl w:ilvl="4" w:tplc="240A0003" w:tentative="1">
      <w:start w:val="1"/>
      <w:numFmt w:val="bullet"/>
      <w:lvlText w:val="o"/>
      <w:lvlJc w:val="left"/>
      <w:pPr>
        <w:ind w:left="3524" w:hanging="360"/>
      </w:pPr>
      <w:rPr>
        <w:rFonts w:hint="default" w:ascii="Courier New" w:hAnsi="Courier New" w:cs="Courier New"/>
      </w:rPr>
    </w:lvl>
    <w:lvl w:ilvl="5" w:tplc="240A0005" w:tentative="1">
      <w:start w:val="1"/>
      <w:numFmt w:val="bullet"/>
      <w:lvlText w:val=""/>
      <w:lvlJc w:val="left"/>
      <w:pPr>
        <w:ind w:left="4244" w:hanging="360"/>
      </w:pPr>
      <w:rPr>
        <w:rFonts w:hint="default" w:ascii="Wingdings" w:hAnsi="Wingdings"/>
      </w:rPr>
    </w:lvl>
    <w:lvl w:ilvl="6" w:tplc="240A0001" w:tentative="1">
      <w:start w:val="1"/>
      <w:numFmt w:val="bullet"/>
      <w:lvlText w:val=""/>
      <w:lvlJc w:val="left"/>
      <w:pPr>
        <w:ind w:left="4964" w:hanging="360"/>
      </w:pPr>
      <w:rPr>
        <w:rFonts w:hint="default" w:ascii="Symbol" w:hAnsi="Symbol"/>
      </w:rPr>
    </w:lvl>
    <w:lvl w:ilvl="7" w:tplc="240A0003" w:tentative="1">
      <w:start w:val="1"/>
      <w:numFmt w:val="bullet"/>
      <w:lvlText w:val="o"/>
      <w:lvlJc w:val="left"/>
      <w:pPr>
        <w:ind w:left="5684" w:hanging="360"/>
      </w:pPr>
      <w:rPr>
        <w:rFonts w:hint="default" w:ascii="Courier New" w:hAnsi="Courier New" w:cs="Courier New"/>
      </w:rPr>
    </w:lvl>
    <w:lvl w:ilvl="8" w:tplc="240A0005" w:tentative="1">
      <w:start w:val="1"/>
      <w:numFmt w:val="bullet"/>
      <w:lvlText w:val=""/>
      <w:lvlJc w:val="left"/>
      <w:pPr>
        <w:ind w:left="6404" w:hanging="360"/>
      </w:pPr>
      <w:rPr>
        <w:rFonts w:hint="default" w:ascii="Wingdings" w:hAnsi="Wingdings"/>
      </w:rPr>
    </w:lvl>
  </w:abstractNum>
  <w:abstractNum w:abstractNumId="86" w15:restartNumberingAfterBreak="0">
    <w:nsid w:val="384B4270"/>
    <w:multiLevelType w:val="multilevel"/>
    <w:tmpl w:val="FAC4C0D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87" w15:restartNumberingAfterBreak="0">
    <w:nsid w:val="3893F624"/>
    <w:multiLevelType w:val="hybridMultilevel"/>
    <w:tmpl w:val="3A066FBC"/>
    <w:lvl w:ilvl="0" w:tplc="FF40C1E0">
      <w:start w:val="1"/>
      <w:numFmt w:val="bullet"/>
      <w:lvlText w:val="·"/>
      <w:lvlJc w:val="left"/>
      <w:pPr>
        <w:ind w:left="720" w:hanging="360"/>
      </w:pPr>
      <w:rPr>
        <w:rFonts w:hint="default" w:ascii="Symbol" w:hAnsi="Symbol"/>
      </w:rPr>
    </w:lvl>
    <w:lvl w:ilvl="1" w:tplc="36941570">
      <w:start w:val="1"/>
      <w:numFmt w:val="bullet"/>
      <w:lvlText w:val="o"/>
      <w:lvlJc w:val="left"/>
      <w:pPr>
        <w:ind w:left="1440" w:hanging="360"/>
      </w:pPr>
      <w:rPr>
        <w:rFonts w:hint="default" w:ascii="Courier New" w:hAnsi="Courier New"/>
      </w:rPr>
    </w:lvl>
    <w:lvl w:ilvl="2" w:tplc="C15EE514">
      <w:start w:val="1"/>
      <w:numFmt w:val="bullet"/>
      <w:lvlText w:val=""/>
      <w:lvlJc w:val="left"/>
      <w:pPr>
        <w:ind w:left="2160" w:hanging="360"/>
      </w:pPr>
      <w:rPr>
        <w:rFonts w:hint="default" w:ascii="Wingdings" w:hAnsi="Wingdings"/>
      </w:rPr>
    </w:lvl>
    <w:lvl w:ilvl="3" w:tplc="B308BBC2">
      <w:start w:val="1"/>
      <w:numFmt w:val="bullet"/>
      <w:lvlText w:val=""/>
      <w:lvlJc w:val="left"/>
      <w:pPr>
        <w:ind w:left="2880" w:hanging="360"/>
      </w:pPr>
      <w:rPr>
        <w:rFonts w:hint="default" w:ascii="Symbol" w:hAnsi="Symbol"/>
      </w:rPr>
    </w:lvl>
    <w:lvl w:ilvl="4" w:tplc="81C29450">
      <w:start w:val="1"/>
      <w:numFmt w:val="bullet"/>
      <w:lvlText w:val="o"/>
      <w:lvlJc w:val="left"/>
      <w:pPr>
        <w:ind w:left="3600" w:hanging="360"/>
      </w:pPr>
      <w:rPr>
        <w:rFonts w:hint="default" w:ascii="Courier New" w:hAnsi="Courier New"/>
      </w:rPr>
    </w:lvl>
    <w:lvl w:ilvl="5" w:tplc="51047C88">
      <w:start w:val="1"/>
      <w:numFmt w:val="bullet"/>
      <w:lvlText w:val=""/>
      <w:lvlJc w:val="left"/>
      <w:pPr>
        <w:ind w:left="4320" w:hanging="360"/>
      </w:pPr>
      <w:rPr>
        <w:rFonts w:hint="default" w:ascii="Wingdings" w:hAnsi="Wingdings"/>
      </w:rPr>
    </w:lvl>
    <w:lvl w:ilvl="6" w:tplc="D390ECA0">
      <w:start w:val="1"/>
      <w:numFmt w:val="bullet"/>
      <w:lvlText w:val=""/>
      <w:lvlJc w:val="left"/>
      <w:pPr>
        <w:ind w:left="5040" w:hanging="360"/>
      </w:pPr>
      <w:rPr>
        <w:rFonts w:hint="default" w:ascii="Symbol" w:hAnsi="Symbol"/>
      </w:rPr>
    </w:lvl>
    <w:lvl w:ilvl="7" w:tplc="4210E360">
      <w:start w:val="1"/>
      <w:numFmt w:val="bullet"/>
      <w:lvlText w:val="o"/>
      <w:lvlJc w:val="left"/>
      <w:pPr>
        <w:ind w:left="5760" w:hanging="360"/>
      </w:pPr>
      <w:rPr>
        <w:rFonts w:hint="default" w:ascii="Courier New" w:hAnsi="Courier New"/>
      </w:rPr>
    </w:lvl>
    <w:lvl w:ilvl="8" w:tplc="5B903316">
      <w:start w:val="1"/>
      <w:numFmt w:val="bullet"/>
      <w:lvlText w:val=""/>
      <w:lvlJc w:val="left"/>
      <w:pPr>
        <w:ind w:left="6480" w:hanging="360"/>
      </w:pPr>
      <w:rPr>
        <w:rFonts w:hint="default" w:ascii="Wingdings" w:hAnsi="Wingdings"/>
      </w:rPr>
    </w:lvl>
  </w:abstractNum>
  <w:abstractNum w:abstractNumId="88" w15:restartNumberingAfterBreak="0">
    <w:nsid w:val="38A13AFE"/>
    <w:multiLevelType w:val="multilevel"/>
    <w:tmpl w:val="A7F03B5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89" w15:restartNumberingAfterBreak="0">
    <w:nsid w:val="3A0E7B8A"/>
    <w:multiLevelType w:val="multilevel"/>
    <w:tmpl w:val="B31257D6"/>
    <w:lvl w:ilvl="0">
      <w:start w:val="1"/>
      <w:numFmt w:val="bullet"/>
      <w:lvlText w:val="-"/>
      <w:lvlJc w:val="left"/>
      <w:pPr>
        <w:ind w:left="480" w:hanging="480"/>
      </w:pPr>
      <w:rPr>
        <w:rFonts w:hint="default" w:ascii="Arial" w:hAnsi="Arial"/>
        <w:sz w:val="20"/>
      </w:rPr>
    </w:lvl>
    <w:lvl w:ilvl="1">
      <w:start w:val="1"/>
      <w:numFmt w:val="decimal"/>
      <w:lvlText w:val="%1.%2."/>
      <w:lvlJc w:val="left"/>
      <w:pPr>
        <w:ind w:left="720" w:hanging="720"/>
      </w:pPr>
      <w:rPr>
        <w:rFonts w:hint="default"/>
        <w:sz w:val="20"/>
      </w:rPr>
    </w:lvl>
    <w:lvl w:ilvl="2">
      <w:start w:val="1"/>
      <w:numFmt w:val="decimal"/>
      <w:lvlText w:val="%1.%2.%3."/>
      <w:lvlJc w:val="left"/>
      <w:pPr>
        <w:ind w:left="1080" w:hanging="1080"/>
      </w:pPr>
      <w:rPr>
        <w:rFonts w:hint="default"/>
        <w:sz w:val="20"/>
      </w:rPr>
    </w:lvl>
    <w:lvl w:ilvl="3">
      <w:start w:val="1"/>
      <w:numFmt w:val="decimal"/>
      <w:lvlText w:val="%1.%2.%3.%4."/>
      <w:lvlJc w:val="left"/>
      <w:pPr>
        <w:ind w:left="1440" w:hanging="1440"/>
      </w:pPr>
      <w:rPr>
        <w:rFonts w:hint="default"/>
        <w:sz w:val="20"/>
      </w:rPr>
    </w:lvl>
    <w:lvl w:ilvl="4">
      <w:start w:val="1"/>
      <w:numFmt w:val="decimal"/>
      <w:lvlText w:val="%1.%2.%3.%4.%5."/>
      <w:lvlJc w:val="left"/>
      <w:pPr>
        <w:ind w:left="1440" w:hanging="1440"/>
      </w:pPr>
      <w:rPr>
        <w:rFonts w:hint="default"/>
        <w:sz w:val="20"/>
      </w:rPr>
    </w:lvl>
    <w:lvl w:ilvl="5">
      <w:start w:val="1"/>
      <w:numFmt w:val="decimal"/>
      <w:lvlText w:val="%1.%2.%3.%4.%5.%6."/>
      <w:lvlJc w:val="left"/>
      <w:pPr>
        <w:ind w:left="1800" w:hanging="1800"/>
      </w:pPr>
      <w:rPr>
        <w:rFonts w:hint="default"/>
        <w:sz w:val="20"/>
      </w:rPr>
    </w:lvl>
    <w:lvl w:ilvl="6">
      <w:start w:val="1"/>
      <w:numFmt w:val="decimal"/>
      <w:lvlText w:val="%1.%2.%3.%4.%5.%6.%7."/>
      <w:lvlJc w:val="left"/>
      <w:pPr>
        <w:ind w:left="2160" w:hanging="2160"/>
      </w:pPr>
      <w:rPr>
        <w:rFonts w:hint="default"/>
        <w:sz w:val="20"/>
      </w:rPr>
    </w:lvl>
    <w:lvl w:ilvl="7">
      <w:start w:val="1"/>
      <w:numFmt w:val="decimal"/>
      <w:lvlText w:val="%1.%2.%3.%4.%5.%6.%7.%8."/>
      <w:lvlJc w:val="left"/>
      <w:pPr>
        <w:ind w:left="2520" w:hanging="2520"/>
      </w:pPr>
      <w:rPr>
        <w:rFonts w:hint="default"/>
        <w:sz w:val="20"/>
      </w:rPr>
    </w:lvl>
    <w:lvl w:ilvl="8">
      <w:start w:val="1"/>
      <w:numFmt w:val="decimal"/>
      <w:lvlText w:val="%1.%2.%3.%4.%5.%6.%7.%8.%9."/>
      <w:lvlJc w:val="left"/>
      <w:pPr>
        <w:ind w:left="2880" w:hanging="2880"/>
      </w:pPr>
      <w:rPr>
        <w:rFonts w:hint="default"/>
        <w:sz w:val="20"/>
      </w:rPr>
    </w:lvl>
  </w:abstractNum>
  <w:abstractNum w:abstractNumId="90" w15:restartNumberingAfterBreak="0">
    <w:nsid w:val="3A4ABB03"/>
    <w:multiLevelType w:val="hybridMultilevel"/>
    <w:tmpl w:val="DD0E191C"/>
    <w:lvl w:ilvl="0" w:tplc="AA7244EC">
      <w:start w:val="1"/>
      <w:numFmt w:val="bullet"/>
      <w:lvlText w:val="·"/>
      <w:lvlJc w:val="left"/>
      <w:pPr>
        <w:ind w:left="720" w:hanging="360"/>
      </w:pPr>
      <w:rPr>
        <w:rFonts w:hint="default" w:ascii="Symbol" w:hAnsi="Symbol"/>
      </w:rPr>
    </w:lvl>
    <w:lvl w:ilvl="1" w:tplc="7A941C7A">
      <w:start w:val="1"/>
      <w:numFmt w:val="bullet"/>
      <w:lvlText w:val="o"/>
      <w:lvlJc w:val="left"/>
      <w:pPr>
        <w:ind w:left="1440" w:hanging="360"/>
      </w:pPr>
      <w:rPr>
        <w:rFonts w:hint="default" w:ascii="Courier New" w:hAnsi="Courier New"/>
      </w:rPr>
    </w:lvl>
    <w:lvl w:ilvl="2" w:tplc="E144994C">
      <w:start w:val="1"/>
      <w:numFmt w:val="bullet"/>
      <w:lvlText w:val=""/>
      <w:lvlJc w:val="left"/>
      <w:pPr>
        <w:ind w:left="2160" w:hanging="360"/>
      </w:pPr>
      <w:rPr>
        <w:rFonts w:hint="default" w:ascii="Wingdings" w:hAnsi="Wingdings"/>
      </w:rPr>
    </w:lvl>
    <w:lvl w:ilvl="3" w:tplc="7A185E1E">
      <w:start w:val="1"/>
      <w:numFmt w:val="bullet"/>
      <w:lvlText w:val=""/>
      <w:lvlJc w:val="left"/>
      <w:pPr>
        <w:ind w:left="2880" w:hanging="360"/>
      </w:pPr>
      <w:rPr>
        <w:rFonts w:hint="default" w:ascii="Symbol" w:hAnsi="Symbol"/>
      </w:rPr>
    </w:lvl>
    <w:lvl w:ilvl="4" w:tplc="2FC64EE8">
      <w:start w:val="1"/>
      <w:numFmt w:val="bullet"/>
      <w:lvlText w:val="o"/>
      <w:lvlJc w:val="left"/>
      <w:pPr>
        <w:ind w:left="3600" w:hanging="360"/>
      </w:pPr>
      <w:rPr>
        <w:rFonts w:hint="default" w:ascii="Courier New" w:hAnsi="Courier New"/>
      </w:rPr>
    </w:lvl>
    <w:lvl w:ilvl="5" w:tplc="7BCA8390">
      <w:start w:val="1"/>
      <w:numFmt w:val="bullet"/>
      <w:lvlText w:val=""/>
      <w:lvlJc w:val="left"/>
      <w:pPr>
        <w:ind w:left="4320" w:hanging="360"/>
      </w:pPr>
      <w:rPr>
        <w:rFonts w:hint="default" w:ascii="Wingdings" w:hAnsi="Wingdings"/>
      </w:rPr>
    </w:lvl>
    <w:lvl w:ilvl="6" w:tplc="D2DE2F28">
      <w:start w:val="1"/>
      <w:numFmt w:val="bullet"/>
      <w:lvlText w:val=""/>
      <w:lvlJc w:val="left"/>
      <w:pPr>
        <w:ind w:left="5040" w:hanging="360"/>
      </w:pPr>
      <w:rPr>
        <w:rFonts w:hint="default" w:ascii="Symbol" w:hAnsi="Symbol"/>
      </w:rPr>
    </w:lvl>
    <w:lvl w:ilvl="7" w:tplc="72FED35E">
      <w:start w:val="1"/>
      <w:numFmt w:val="bullet"/>
      <w:lvlText w:val="o"/>
      <w:lvlJc w:val="left"/>
      <w:pPr>
        <w:ind w:left="5760" w:hanging="360"/>
      </w:pPr>
      <w:rPr>
        <w:rFonts w:hint="default" w:ascii="Courier New" w:hAnsi="Courier New"/>
      </w:rPr>
    </w:lvl>
    <w:lvl w:ilvl="8" w:tplc="6A48C1B4">
      <w:start w:val="1"/>
      <w:numFmt w:val="bullet"/>
      <w:lvlText w:val=""/>
      <w:lvlJc w:val="left"/>
      <w:pPr>
        <w:ind w:left="6480" w:hanging="360"/>
      </w:pPr>
      <w:rPr>
        <w:rFonts w:hint="default" w:ascii="Wingdings" w:hAnsi="Wingdings"/>
      </w:rPr>
    </w:lvl>
  </w:abstractNum>
  <w:abstractNum w:abstractNumId="91" w15:restartNumberingAfterBreak="0">
    <w:nsid w:val="3C1E0E37"/>
    <w:multiLevelType w:val="hybridMultilevel"/>
    <w:tmpl w:val="1504A5A2"/>
    <w:lvl w:ilvl="0" w:tplc="240A0001">
      <w:start w:val="1"/>
      <w:numFmt w:val="bullet"/>
      <w:lvlText w:val=""/>
      <w:lvlJc w:val="left"/>
      <w:pPr>
        <w:ind w:left="720" w:hanging="360"/>
      </w:pPr>
      <w:rPr>
        <w:rFonts w:hint="default" w:ascii="Symbol" w:hAnsi="Symbol"/>
      </w:rPr>
    </w:lvl>
    <w:lvl w:ilvl="1" w:tplc="240A0003">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92" w15:restartNumberingAfterBreak="0">
    <w:nsid w:val="3C486673"/>
    <w:multiLevelType w:val="hybridMultilevel"/>
    <w:tmpl w:val="FFCAB056"/>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rPr>
    </w:lvl>
    <w:lvl w:ilvl="8" w:tplc="080A0005" w:tentative="1">
      <w:start w:val="1"/>
      <w:numFmt w:val="bullet"/>
      <w:lvlText w:val=""/>
      <w:lvlJc w:val="left"/>
      <w:pPr>
        <w:ind w:left="6480" w:hanging="360"/>
      </w:pPr>
      <w:rPr>
        <w:rFonts w:hint="default" w:ascii="Wingdings" w:hAnsi="Wingdings"/>
      </w:rPr>
    </w:lvl>
  </w:abstractNum>
  <w:abstractNum w:abstractNumId="93" w15:restartNumberingAfterBreak="0">
    <w:nsid w:val="3C4F5603"/>
    <w:multiLevelType w:val="multilevel"/>
    <w:tmpl w:val="15F814A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94" w15:restartNumberingAfterBreak="0">
    <w:nsid w:val="3D0661D7"/>
    <w:multiLevelType w:val="multilevel"/>
    <w:tmpl w:val="7A46313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95" w15:restartNumberingAfterBreak="0">
    <w:nsid w:val="3D89623B"/>
    <w:multiLevelType w:val="hybridMultilevel"/>
    <w:tmpl w:val="29D2D32A"/>
    <w:lvl w:ilvl="0" w:tplc="8B8CE62E">
      <w:start w:val="1"/>
      <w:numFmt w:val="bullet"/>
      <w:lvlText w:val="·"/>
      <w:lvlJc w:val="left"/>
      <w:pPr>
        <w:ind w:left="720" w:hanging="360"/>
      </w:pPr>
      <w:rPr>
        <w:rFonts w:hint="default" w:ascii="Symbol" w:hAnsi="Symbol"/>
      </w:rPr>
    </w:lvl>
    <w:lvl w:ilvl="1" w:tplc="EE5CC372">
      <w:start w:val="1"/>
      <w:numFmt w:val="bullet"/>
      <w:lvlText w:val="o"/>
      <w:lvlJc w:val="left"/>
      <w:pPr>
        <w:ind w:left="1440" w:hanging="360"/>
      </w:pPr>
      <w:rPr>
        <w:rFonts w:hint="default" w:ascii="Courier New" w:hAnsi="Courier New"/>
      </w:rPr>
    </w:lvl>
    <w:lvl w:ilvl="2" w:tplc="996AEFAA">
      <w:start w:val="1"/>
      <w:numFmt w:val="bullet"/>
      <w:lvlText w:val=""/>
      <w:lvlJc w:val="left"/>
      <w:pPr>
        <w:ind w:left="2160" w:hanging="360"/>
      </w:pPr>
      <w:rPr>
        <w:rFonts w:hint="default" w:ascii="Wingdings" w:hAnsi="Wingdings"/>
      </w:rPr>
    </w:lvl>
    <w:lvl w:ilvl="3" w:tplc="0598F52C">
      <w:start w:val="1"/>
      <w:numFmt w:val="bullet"/>
      <w:lvlText w:val=""/>
      <w:lvlJc w:val="left"/>
      <w:pPr>
        <w:ind w:left="2880" w:hanging="360"/>
      </w:pPr>
      <w:rPr>
        <w:rFonts w:hint="default" w:ascii="Symbol" w:hAnsi="Symbol"/>
      </w:rPr>
    </w:lvl>
    <w:lvl w:ilvl="4" w:tplc="29E0F506">
      <w:start w:val="1"/>
      <w:numFmt w:val="bullet"/>
      <w:lvlText w:val="o"/>
      <w:lvlJc w:val="left"/>
      <w:pPr>
        <w:ind w:left="3600" w:hanging="360"/>
      </w:pPr>
      <w:rPr>
        <w:rFonts w:hint="default" w:ascii="Courier New" w:hAnsi="Courier New"/>
      </w:rPr>
    </w:lvl>
    <w:lvl w:ilvl="5" w:tplc="9C32B9A8">
      <w:start w:val="1"/>
      <w:numFmt w:val="bullet"/>
      <w:lvlText w:val=""/>
      <w:lvlJc w:val="left"/>
      <w:pPr>
        <w:ind w:left="4320" w:hanging="360"/>
      </w:pPr>
      <w:rPr>
        <w:rFonts w:hint="default" w:ascii="Wingdings" w:hAnsi="Wingdings"/>
      </w:rPr>
    </w:lvl>
    <w:lvl w:ilvl="6" w:tplc="061CD3AC">
      <w:start w:val="1"/>
      <w:numFmt w:val="bullet"/>
      <w:lvlText w:val=""/>
      <w:lvlJc w:val="left"/>
      <w:pPr>
        <w:ind w:left="5040" w:hanging="360"/>
      </w:pPr>
      <w:rPr>
        <w:rFonts w:hint="default" w:ascii="Symbol" w:hAnsi="Symbol"/>
      </w:rPr>
    </w:lvl>
    <w:lvl w:ilvl="7" w:tplc="183C1D1E">
      <w:start w:val="1"/>
      <w:numFmt w:val="bullet"/>
      <w:lvlText w:val="o"/>
      <w:lvlJc w:val="left"/>
      <w:pPr>
        <w:ind w:left="5760" w:hanging="360"/>
      </w:pPr>
      <w:rPr>
        <w:rFonts w:hint="default" w:ascii="Courier New" w:hAnsi="Courier New"/>
      </w:rPr>
    </w:lvl>
    <w:lvl w:ilvl="8" w:tplc="6EAA0F28">
      <w:start w:val="1"/>
      <w:numFmt w:val="bullet"/>
      <w:lvlText w:val=""/>
      <w:lvlJc w:val="left"/>
      <w:pPr>
        <w:ind w:left="6480" w:hanging="360"/>
      </w:pPr>
      <w:rPr>
        <w:rFonts w:hint="default" w:ascii="Wingdings" w:hAnsi="Wingdings"/>
      </w:rPr>
    </w:lvl>
  </w:abstractNum>
  <w:abstractNum w:abstractNumId="96" w15:restartNumberingAfterBreak="0">
    <w:nsid w:val="3EDC3DCE"/>
    <w:multiLevelType w:val="hybridMultilevel"/>
    <w:tmpl w:val="A524D3B8"/>
    <w:lvl w:ilvl="0" w:tplc="7E783D24">
      <w:start w:val="1"/>
      <w:numFmt w:val="bullet"/>
      <w:lvlText w:val="-"/>
      <w:lvlJc w:val="left"/>
      <w:pPr>
        <w:ind w:left="1080" w:hanging="360"/>
      </w:pPr>
      <w:rPr>
        <w:rFonts w:hint="default" w:ascii="Arial" w:hAnsi="Arial"/>
      </w:rPr>
    </w:lvl>
    <w:lvl w:ilvl="1" w:tplc="240A0003" w:tentative="1">
      <w:start w:val="1"/>
      <w:numFmt w:val="bullet"/>
      <w:lvlText w:val="o"/>
      <w:lvlJc w:val="left"/>
      <w:pPr>
        <w:ind w:left="1800" w:hanging="360"/>
      </w:pPr>
      <w:rPr>
        <w:rFonts w:hint="default" w:ascii="Courier New" w:hAnsi="Courier New" w:cs="Courier New"/>
      </w:rPr>
    </w:lvl>
    <w:lvl w:ilvl="2" w:tplc="240A0005" w:tentative="1">
      <w:start w:val="1"/>
      <w:numFmt w:val="bullet"/>
      <w:lvlText w:val=""/>
      <w:lvlJc w:val="left"/>
      <w:pPr>
        <w:ind w:left="2520" w:hanging="360"/>
      </w:pPr>
      <w:rPr>
        <w:rFonts w:hint="default" w:ascii="Wingdings" w:hAnsi="Wingdings"/>
      </w:rPr>
    </w:lvl>
    <w:lvl w:ilvl="3" w:tplc="240A0001" w:tentative="1">
      <w:start w:val="1"/>
      <w:numFmt w:val="bullet"/>
      <w:lvlText w:val=""/>
      <w:lvlJc w:val="left"/>
      <w:pPr>
        <w:ind w:left="3240" w:hanging="360"/>
      </w:pPr>
      <w:rPr>
        <w:rFonts w:hint="default" w:ascii="Symbol" w:hAnsi="Symbol"/>
      </w:rPr>
    </w:lvl>
    <w:lvl w:ilvl="4" w:tplc="240A0003" w:tentative="1">
      <w:start w:val="1"/>
      <w:numFmt w:val="bullet"/>
      <w:lvlText w:val="o"/>
      <w:lvlJc w:val="left"/>
      <w:pPr>
        <w:ind w:left="3960" w:hanging="360"/>
      </w:pPr>
      <w:rPr>
        <w:rFonts w:hint="default" w:ascii="Courier New" w:hAnsi="Courier New" w:cs="Courier New"/>
      </w:rPr>
    </w:lvl>
    <w:lvl w:ilvl="5" w:tplc="240A0005" w:tentative="1">
      <w:start w:val="1"/>
      <w:numFmt w:val="bullet"/>
      <w:lvlText w:val=""/>
      <w:lvlJc w:val="left"/>
      <w:pPr>
        <w:ind w:left="4680" w:hanging="360"/>
      </w:pPr>
      <w:rPr>
        <w:rFonts w:hint="default" w:ascii="Wingdings" w:hAnsi="Wingdings"/>
      </w:rPr>
    </w:lvl>
    <w:lvl w:ilvl="6" w:tplc="240A0001" w:tentative="1">
      <w:start w:val="1"/>
      <w:numFmt w:val="bullet"/>
      <w:lvlText w:val=""/>
      <w:lvlJc w:val="left"/>
      <w:pPr>
        <w:ind w:left="5400" w:hanging="360"/>
      </w:pPr>
      <w:rPr>
        <w:rFonts w:hint="default" w:ascii="Symbol" w:hAnsi="Symbol"/>
      </w:rPr>
    </w:lvl>
    <w:lvl w:ilvl="7" w:tplc="240A0003" w:tentative="1">
      <w:start w:val="1"/>
      <w:numFmt w:val="bullet"/>
      <w:lvlText w:val="o"/>
      <w:lvlJc w:val="left"/>
      <w:pPr>
        <w:ind w:left="6120" w:hanging="360"/>
      </w:pPr>
      <w:rPr>
        <w:rFonts w:hint="default" w:ascii="Courier New" w:hAnsi="Courier New" w:cs="Courier New"/>
      </w:rPr>
    </w:lvl>
    <w:lvl w:ilvl="8" w:tplc="240A0005" w:tentative="1">
      <w:start w:val="1"/>
      <w:numFmt w:val="bullet"/>
      <w:lvlText w:val=""/>
      <w:lvlJc w:val="left"/>
      <w:pPr>
        <w:ind w:left="6840" w:hanging="360"/>
      </w:pPr>
      <w:rPr>
        <w:rFonts w:hint="default" w:ascii="Wingdings" w:hAnsi="Wingdings"/>
      </w:rPr>
    </w:lvl>
  </w:abstractNum>
  <w:abstractNum w:abstractNumId="97" w15:restartNumberingAfterBreak="0">
    <w:nsid w:val="3F9C0868"/>
    <w:multiLevelType w:val="multilevel"/>
    <w:tmpl w:val="67F8F50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98" w15:restartNumberingAfterBreak="0">
    <w:nsid w:val="402F1CEA"/>
    <w:multiLevelType w:val="multilevel"/>
    <w:tmpl w:val="D10EAA6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99" w15:restartNumberingAfterBreak="0">
    <w:nsid w:val="41005F28"/>
    <w:multiLevelType w:val="multilevel"/>
    <w:tmpl w:val="8C703E8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00" w15:restartNumberingAfterBreak="0">
    <w:nsid w:val="413E1B93"/>
    <w:multiLevelType w:val="multilevel"/>
    <w:tmpl w:val="090098B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01" w15:restartNumberingAfterBreak="0">
    <w:nsid w:val="419E4670"/>
    <w:multiLevelType w:val="hybridMultilevel"/>
    <w:tmpl w:val="AB5EA33C"/>
    <w:lvl w:ilvl="0" w:tplc="A68028B6">
      <w:start w:val="1"/>
      <w:numFmt w:val="bullet"/>
      <w:lvlText w:val="·"/>
      <w:lvlJc w:val="left"/>
      <w:pPr>
        <w:ind w:left="720" w:hanging="360"/>
      </w:pPr>
      <w:rPr>
        <w:rFonts w:hint="default" w:ascii="Symbol" w:hAnsi="Symbol"/>
      </w:rPr>
    </w:lvl>
    <w:lvl w:ilvl="1" w:tplc="3AE488DA">
      <w:start w:val="1"/>
      <w:numFmt w:val="bullet"/>
      <w:lvlText w:val="o"/>
      <w:lvlJc w:val="left"/>
      <w:pPr>
        <w:ind w:left="1440" w:hanging="360"/>
      </w:pPr>
      <w:rPr>
        <w:rFonts w:hint="default" w:ascii="Courier New" w:hAnsi="Courier New"/>
      </w:rPr>
    </w:lvl>
    <w:lvl w:ilvl="2" w:tplc="81401A74">
      <w:start w:val="1"/>
      <w:numFmt w:val="bullet"/>
      <w:lvlText w:val=""/>
      <w:lvlJc w:val="left"/>
      <w:pPr>
        <w:ind w:left="2160" w:hanging="360"/>
      </w:pPr>
      <w:rPr>
        <w:rFonts w:hint="default" w:ascii="Wingdings" w:hAnsi="Wingdings"/>
      </w:rPr>
    </w:lvl>
    <w:lvl w:ilvl="3" w:tplc="27FA08CC">
      <w:start w:val="1"/>
      <w:numFmt w:val="bullet"/>
      <w:lvlText w:val=""/>
      <w:lvlJc w:val="left"/>
      <w:pPr>
        <w:ind w:left="2880" w:hanging="360"/>
      </w:pPr>
      <w:rPr>
        <w:rFonts w:hint="default" w:ascii="Symbol" w:hAnsi="Symbol"/>
      </w:rPr>
    </w:lvl>
    <w:lvl w:ilvl="4" w:tplc="FCEEF76E">
      <w:start w:val="1"/>
      <w:numFmt w:val="bullet"/>
      <w:lvlText w:val="o"/>
      <w:lvlJc w:val="left"/>
      <w:pPr>
        <w:ind w:left="3600" w:hanging="360"/>
      </w:pPr>
      <w:rPr>
        <w:rFonts w:hint="default" w:ascii="Courier New" w:hAnsi="Courier New"/>
      </w:rPr>
    </w:lvl>
    <w:lvl w:ilvl="5" w:tplc="E7069194">
      <w:start w:val="1"/>
      <w:numFmt w:val="bullet"/>
      <w:lvlText w:val=""/>
      <w:lvlJc w:val="left"/>
      <w:pPr>
        <w:ind w:left="4320" w:hanging="360"/>
      </w:pPr>
      <w:rPr>
        <w:rFonts w:hint="default" w:ascii="Wingdings" w:hAnsi="Wingdings"/>
      </w:rPr>
    </w:lvl>
    <w:lvl w:ilvl="6" w:tplc="5CC0A80E">
      <w:start w:val="1"/>
      <w:numFmt w:val="bullet"/>
      <w:lvlText w:val=""/>
      <w:lvlJc w:val="left"/>
      <w:pPr>
        <w:ind w:left="5040" w:hanging="360"/>
      </w:pPr>
      <w:rPr>
        <w:rFonts w:hint="default" w:ascii="Symbol" w:hAnsi="Symbol"/>
      </w:rPr>
    </w:lvl>
    <w:lvl w:ilvl="7" w:tplc="D01674F2">
      <w:start w:val="1"/>
      <w:numFmt w:val="bullet"/>
      <w:lvlText w:val="o"/>
      <w:lvlJc w:val="left"/>
      <w:pPr>
        <w:ind w:left="5760" w:hanging="360"/>
      </w:pPr>
      <w:rPr>
        <w:rFonts w:hint="default" w:ascii="Courier New" w:hAnsi="Courier New"/>
      </w:rPr>
    </w:lvl>
    <w:lvl w:ilvl="8" w:tplc="06788F34">
      <w:start w:val="1"/>
      <w:numFmt w:val="bullet"/>
      <w:lvlText w:val=""/>
      <w:lvlJc w:val="left"/>
      <w:pPr>
        <w:ind w:left="6480" w:hanging="360"/>
      </w:pPr>
      <w:rPr>
        <w:rFonts w:hint="default" w:ascii="Wingdings" w:hAnsi="Wingdings"/>
      </w:rPr>
    </w:lvl>
  </w:abstractNum>
  <w:abstractNum w:abstractNumId="102" w15:restartNumberingAfterBreak="0">
    <w:nsid w:val="41A346E5"/>
    <w:multiLevelType w:val="multilevel"/>
    <w:tmpl w:val="FF424A0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03" w15:restartNumberingAfterBreak="0">
    <w:nsid w:val="422E155F"/>
    <w:multiLevelType w:val="multilevel"/>
    <w:tmpl w:val="2EB4339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04" w15:restartNumberingAfterBreak="0">
    <w:nsid w:val="431E0C2C"/>
    <w:multiLevelType w:val="multilevel"/>
    <w:tmpl w:val="2BCEEAF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05" w15:restartNumberingAfterBreak="0">
    <w:nsid w:val="432C2AE6"/>
    <w:multiLevelType w:val="multilevel"/>
    <w:tmpl w:val="05F4C34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06" w15:restartNumberingAfterBreak="0">
    <w:nsid w:val="4339179D"/>
    <w:multiLevelType w:val="hybridMultilevel"/>
    <w:tmpl w:val="54FA7770"/>
    <w:lvl w:ilvl="0" w:tplc="5F26B2EA">
      <w:start w:val="1"/>
      <w:numFmt w:val="bullet"/>
      <w:lvlText w:val="·"/>
      <w:lvlJc w:val="left"/>
      <w:pPr>
        <w:ind w:left="720" w:hanging="360"/>
      </w:pPr>
      <w:rPr>
        <w:rFonts w:hint="default" w:ascii="Symbol" w:hAnsi="Symbol"/>
      </w:rPr>
    </w:lvl>
    <w:lvl w:ilvl="1" w:tplc="36CC7CF2">
      <w:start w:val="1"/>
      <w:numFmt w:val="bullet"/>
      <w:lvlText w:val="o"/>
      <w:lvlJc w:val="left"/>
      <w:pPr>
        <w:ind w:left="1440" w:hanging="360"/>
      </w:pPr>
      <w:rPr>
        <w:rFonts w:hint="default" w:ascii="Courier New" w:hAnsi="Courier New"/>
      </w:rPr>
    </w:lvl>
    <w:lvl w:ilvl="2" w:tplc="B3E622B0">
      <w:start w:val="1"/>
      <w:numFmt w:val="bullet"/>
      <w:lvlText w:val=""/>
      <w:lvlJc w:val="left"/>
      <w:pPr>
        <w:ind w:left="2160" w:hanging="360"/>
      </w:pPr>
      <w:rPr>
        <w:rFonts w:hint="default" w:ascii="Wingdings" w:hAnsi="Wingdings"/>
      </w:rPr>
    </w:lvl>
    <w:lvl w:ilvl="3" w:tplc="15CC7088">
      <w:start w:val="1"/>
      <w:numFmt w:val="bullet"/>
      <w:lvlText w:val=""/>
      <w:lvlJc w:val="left"/>
      <w:pPr>
        <w:ind w:left="2880" w:hanging="360"/>
      </w:pPr>
      <w:rPr>
        <w:rFonts w:hint="default" w:ascii="Symbol" w:hAnsi="Symbol"/>
      </w:rPr>
    </w:lvl>
    <w:lvl w:ilvl="4" w:tplc="74988830">
      <w:start w:val="1"/>
      <w:numFmt w:val="bullet"/>
      <w:lvlText w:val="o"/>
      <w:lvlJc w:val="left"/>
      <w:pPr>
        <w:ind w:left="3600" w:hanging="360"/>
      </w:pPr>
      <w:rPr>
        <w:rFonts w:hint="default" w:ascii="Courier New" w:hAnsi="Courier New"/>
      </w:rPr>
    </w:lvl>
    <w:lvl w:ilvl="5" w:tplc="2BF6071E">
      <w:start w:val="1"/>
      <w:numFmt w:val="bullet"/>
      <w:lvlText w:val=""/>
      <w:lvlJc w:val="left"/>
      <w:pPr>
        <w:ind w:left="4320" w:hanging="360"/>
      </w:pPr>
      <w:rPr>
        <w:rFonts w:hint="default" w:ascii="Wingdings" w:hAnsi="Wingdings"/>
      </w:rPr>
    </w:lvl>
    <w:lvl w:ilvl="6" w:tplc="6AE2E210">
      <w:start w:val="1"/>
      <w:numFmt w:val="bullet"/>
      <w:lvlText w:val=""/>
      <w:lvlJc w:val="left"/>
      <w:pPr>
        <w:ind w:left="5040" w:hanging="360"/>
      </w:pPr>
      <w:rPr>
        <w:rFonts w:hint="default" w:ascii="Symbol" w:hAnsi="Symbol"/>
      </w:rPr>
    </w:lvl>
    <w:lvl w:ilvl="7" w:tplc="05EEE34A">
      <w:start w:val="1"/>
      <w:numFmt w:val="bullet"/>
      <w:lvlText w:val="o"/>
      <w:lvlJc w:val="left"/>
      <w:pPr>
        <w:ind w:left="5760" w:hanging="360"/>
      </w:pPr>
      <w:rPr>
        <w:rFonts w:hint="default" w:ascii="Courier New" w:hAnsi="Courier New"/>
      </w:rPr>
    </w:lvl>
    <w:lvl w:ilvl="8" w:tplc="48542870">
      <w:start w:val="1"/>
      <w:numFmt w:val="bullet"/>
      <w:lvlText w:val=""/>
      <w:lvlJc w:val="left"/>
      <w:pPr>
        <w:ind w:left="6480" w:hanging="360"/>
      </w:pPr>
      <w:rPr>
        <w:rFonts w:hint="default" w:ascii="Wingdings" w:hAnsi="Wingdings"/>
      </w:rPr>
    </w:lvl>
  </w:abstractNum>
  <w:abstractNum w:abstractNumId="107" w15:restartNumberingAfterBreak="0">
    <w:nsid w:val="434C0089"/>
    <w:multiLevelType w:val="multilevel"/>
    <w:tmpl w:val="7CFEB96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08" w15:restartNumberingAfterBreak="0">
    <w:nsid w:val="43537B9F"/>
    <w:multiLevelType w:val="multilevel"/>
    <w:tmpl w:val="B1B2AEB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09" w15:restartNumberingAfterBreak="0">
    <w:nsid w:val="43C34442"/>
    <w:multiLevelType w:val="multilevel"/>
    <w:tmpl w:val="9E5E10C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10" w15:restartNumberingAfterBreak="0">
    <w:nsid w:val="447E4E74"/>
    <w:multiLevelType w:val="multilevel"/>
    <w:tmpl w:val="E9A858A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11" w15:restartNumberingAfterBreak="0">
    <w:nsid w:val="45A044B1"/>
    <w:multiLevelType w:val="multilevel"/>
    <w:tmpl w:val="D6E8101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12" w15:restartNumberingAfterBreak="0">
    <w:nsid w:val="46D77B19"/>
    <w:multiLevelType w:val="multilevel"/>
    <w:tmpl w:val="6B40E98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13" w15:restartNumberingAfterBreak="0">
    <w:nsid w:val="479C5F07"/>
    <w:multiLevelType w:val="hybridMultilevel"/>
    <w:tmpl w:val="9DD20FA0"/>
    <w:lvl w:ilvl="0" w:tplc="A426D1BE">
      <w:numFmt w:val="bullet"/>
      <w:lvlText w:val=""/>
      <w:lvlJc w:val="left"/>
      <w:pPr>
        <w:ind w:left="720" w:hanging="360"/>
      </w:pPr>
      <w:rPr>
        <w:rFonts w:hint="default" w:ascii="Symbol" w:hAnsi="Symbol" w:eastAsiaTheme="minorHAnsi" w:cstheme="minorBidi"/>
      </w:rPr>
    </w:lvl>
    <w:lvl w:ilvl="1" w:tplc="F44A829A">
      <w:numFmt w:val="bullet"/>
      <w:lvlText w:val="•"/>
      <w:lvlJc w:val="left"/>
      <w:pPr>
        <w:ind w:left="988" w:hanging="705"/>
      </w:pPr>
      <w:rPr>
        <w:rFonts w:hint="default" w:ascii="Verdana" w:hAnsi="Verdana" w:eastAsiaTheme="minorHAnsi" w:cstheme="minorBidi"/>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rPr>
    </w:lvl>
    <w:lvl w:ilvl="8" w:tplc="080A0005" w:tentative="1">
      <w:start w:val="1"/>
      <w:numFmt w:val="bullet"/>
      <w:lvlText w:val=""/>
      <w:lvlJc w:val="left"/>
      <w:pPr>
        <w:ind w:left="6480" w:hanging="360"/>
      </w:pPr>
      <w:rPr>
        <w:rFonts w:hint="default" w:ascii="Wingdings" w:hAnsi="Wingdings"/>
      </w:rPr>
    </w:lvl>
  </w:abstractNum>
  <w:abstractNum w:abstractNumId="114" w15:restartNumberingAfterBreak="0">
    <w:nsid w:val="47BA9791"/>
    <w:multiLevelType w:val="hybridMultilevel"/>
    <w:tmpl w:val="02408960"/>
    <w:lvl w:ilvl="0" w:tplc="93CEAB6E">
      <w:start w:val="1"/>
      <w:numFmt w:val="bullet"/>
      <w:lvlText w:val="·"/>
      <w:lvlJc w:val="left"/>
      <w:pPr>
        <w:ind w:left="720" w:hanging="360"/>
      </w:pPr>
      <w:rPr>
        <w:rFonts w:hint="default" w:ascii="Symbol" w:hAnsi="Symbol"/>
      </w:rPr>
    </w:lvl>
    <w:lvl w:ilvl="1" w:tplc="3920F5BA">
      <w:start w:val="1"/>
      <w:numFmt w:val="bullet"/>
      <w:lvlText w:val="o"/>
      <w:lvlJc w:val="left"/>
      <w:pPr>
        <w:ind w:left="1440" w:hanging="360"/>
      </w:pPr>
      <w:rPr>
        <w:rFonts w:hint="default" w:ascii="Courier New" w:hAnsi="Courier New"/>
      </w:rPr>
    </w:lvl>
    <w:lvl w:ilvl="2" w:tplc="AB56A8E8">
      <w:start w:val="1"/>
      <w:numFmt w:val="bullet"/>
      <w:lvlText w:val=""/>
      <w:lvlJc w:val="left"/>
      <w:pPr>
        <w:ind w:left="2160" w:hanging="360"/>
      </w:pPr>
      <w:rPr>
        <w:rFonts w:hint="default" w:ascii="Wingdings" w:hAnsi="Wingdings"/>
      </w:rPr>
    </w:lvl>
    <w:lvl w:ilvl="3" w:tplc="44D2C092">
      <w:start w:val="1"/>
      <w:numFmt w:val="bullet"/>
      <w:lvlText w:val=""/>
      <w:lvlJc w:val="left"/>
      <w:pPr>
        <w:ind w:left="2880" w:hanging="360"/>
      </w:pPr>
      <w:rPr>
        <w:rFonts w:hint="default" w:ascii="Symbol" w:hAnsi="Symbol"/>
      </w:rPr>
    </w:lvl>
    <w:lvl w:ilvl="4" w:tplc="4A9836F0">
      <w:start w:val="1"/>
      <w:numFmt w:val="bullet"/>
      <w:lvlText w:val="o"/>
      <w:lvlJc w:val="left"/>
      <w:pPr>
        <w:ind w:left="3600" w:hanging="360"/>
      </w:pPr>
      <w:rPr>
        <w:rFonts w:hint="default" w:ascii="Courier New" w:hAnsi="Courier New"/>
      </w:rPr>
    </w:lvl>
    <w:lvl w:ilvl="5" w:tplc="F2427336">
      <w:start w:val="1"/>
      <w:numFmt w:val="bullet"/>
      <w:lvlText w:val=""/>
      <w:lvlJc w:val="left"/>
      <w:pPr>
        <w:ind w:left="4320" w:hanging="360"/>
      </w:pPr>
      <w:rPr>
        <w:rFonts w:hint="default" w:ascii="Wingdings" w:hAnsi="Wingdings"/>
      </w:rPr>
    </w:lvl>
    <w:lvl w:ilvl="6" w:tplc="728E1ED6">
      <w:start w:val="1"/>
      <w:numFmt w:val="bullet"/>
      <w:lvlText w:val=""/>
      <w:lvlJc w:val="left"/>
      <w:pPr>
        <w:ind w:left="5040" w:hanging="360"/>
      </w:pPr>
      <w:rPr>
        <w:rFonts w:hint="default" w:ascii="Symbol" w:hAnsi="Symbol"/>
      </w:rPr>
    </w:lvl>
    <w:lvl w:ilvl="7" w:tplc="4FCA6222">
      <w:start w:val="1"/>
      <w:numFmt w:val="bullet"/>
      <w:lvlText w:val="o"/>
      <w:lvlJc w:val="left"/>
      <w:pPr>
        <w:ind w:left="5760" w:hanging="360"/>
      </w:pPr>
      <w:rPr>
        <w:rFonts w:hint="default" w:ascii="Courier New" w:hAnsi="Courier New"/>
      </w:rPr>
    </w:lvl>
    <w:lvl w:ilvl="8" w:tplc="22183344">
      <w:start w:val="1"/>
      <w:numFmt w:val="bullet"/>
      <w:lvlText w:val=""/>
      <w:lvlJc w:val="left"/>
      <w:pPr>
        <w:ind w:left="6480" w:hanging="360"/>
      </w:pPr>
      <w:rPr>
        <w:rFonts w:hint="default" w:ascii="Wingdings" w:hAnsi="Wingdings"/>
      </w:rPr>
    </w:lvl>
  </w:abstractNum>
  <w:abstractNum w:abstractNumId="115" w15:restartNumberingAfterBreak="0">
    <w:nsid w:val="484CAC44"/>
    <w:multiLevelType w:val="hybridMultilevel"/>
    <w:tmpl w:val="46CA06C2"/>
    <w:lvl w:ilvl="0" w:tplc="B47C9BC0">
      <w:start w:val="1"/>
      <w:numFmt w:val="bullet"/>
      <w:lvlText w:val="·"/>
      <w:lvlJc w:val="left"/>
      <w:pPr>
        <w:ind w:left="720" w:hanging="360"/>
      </w:pPr>
      <w:rPr>
        <w:rFonts w:hint="default" w:ascii="Symbol" w:hAnsi="Symbol"/>
      </w:rPr>
    </w:lvl>
    <w:lvl w:ilvl="1" w:tplc="BE86ACD2">
      <w:start w:val="1"/>
      <w:numFmt w:val="bullet"/>
      <w:lvlText w:val="o"/>
      <w:lvlJc w:val="left"/>
      <w:pPr>
        <w:ind w:left="1440" w:hanging="360"/>
      </w:pPr>
      <w:rPr>
        <w:rFonts w:hint="default" w:ascii="Courier New" w:hAnsi="Courier New"/>
      </w:rPr>
    </w:lvl>
    <w:lvl w:ilvl="2" w:tplc="9078EA76">
      <w:start w:val="1"/>
      <w:numFmt w:val="bullet"/>
      <w:lvlText w:val=""/>
      <w:lvlJc w:val="left"/>
      <w:pPr>
        <w:ind w:left="2160" w:hanging="360"/>
      </w:pPr>
      <w:rPr>
        <w:rFonts w:hint="default" w:ascii="Wingdings" w:hAnsi="Wingdings"/>
      </w:rPr>
    </w:lvl>
    <w:lvl w:ilvl="3" w:tplc="35B27010">
      <w:start w:val="1"/>
      <w:numFmt w:val="bullet"/>
      <w:lvlText w:val=""/>
      <w:lvlJc w:val="left"/>
      <w:pPr>
        <w:ind w:left="2880" w:hanging="360"/>
      </w:pPr>
      <w:rPr>
        <w:rFonts w:hint="default" w:ascii="Symbol" w:hAnsi="Symbol"/>
      </w:rPr>
    </w:lvl>
    <w:lvl w:ilvl="4" w:tplc="B896032E">
      <w:start w:val="1"/>
      <w:numFmt w:val="bullet"/>
      <w:lvlText w:val="o"/>
      <w:lvlJc w:val="left"/>
      <w:pPr>
        <w:ind w:left="3600" w:hanging="360"/>
      </w:pPr>
      <w:rPr>
        <w:rFonts w:hint="default" w:ascii="Courier New" w:hAnsi="Courier New"/>
      </w:rPr>
    </w:lvl>
    <w:lvl w:ilvl="5" w:tplc="4F607A68">
      <w:start w:val="1"/>
      <w:numFmt w:val="bullet"/>
      <w:lvlText w:val=""/>
      <w:lvlJc w:val="left"/>
      <w:pPr>
        <w:ind w:left="4320" w:hanging="360"/>
      </w:pPr>
      <w:rPr>
        <w:rFonts w:hint="default" w:ascii="Wingdings" w:hAnsi="Wingdings"/>
      </w:rPr>
    </w:lvl>
    <w:lvl w:ilvl="6" w:tplc="7FDA468E">
      <w:start w:val="1"/>
      <w:numFmt w:val="bullet"/>
      <w:lvlText w:val=""/>
      <w:lvlJc w:val="left"/>
      <w:pPr>
        <w:ind w:left="5040" w:hanging="360"/>
      </w:pPr>
      <w:rPr>
        <w:rFonts w:hint="default" w:ascii="Symbol" w:hAnsi="Symbol"/>
      </w:rPr>
    </w:lvl>
    <w:lvl w:ilvl="7" w:tplc="3E6AE84A">
      <w:start w:val="1"/>
      <w:numFmt w:val="bullet"/>
      <w:lvlText w:val="o"/>
      <w:lvlJc w:val="left"/>
      <w:pPr>
        <w:ind w:left="5760" w:hanging="360"/>
      </w:pPr>
      <w:rPr>
        <w:rFonts w:hint="default" w:ascii="Courier New" w:hAnsi="Courier New"/>
      </w:rPr>
    </w:lvl>
    <w:lvl w:ilvl="8" w:tplc="260CFF76">
      <w:start w:val="1"/>
      <w:numFmt w:val="bullet"/>
      <w:lvlText w:val=""/>
      <w:lvlJc w:val="left"/>
      <w:pPr>
        <w:ind w:left="6480" w:hanging="360"/>
      </w:pPr>
      <w:rPr>
        <w:rFonts w:hint="default" w:ascii="Wingdings" w:hAnsi="Wingdings"/>
      </w:rPr>
    </w:lvl>
  </w:abstractNum>
  <w:abstractNum w:abstractNumId="116" w15:restartNumberingAfterBreak="0">
    <w:nsid w:val="48F77198"/>
    <w:multiLevelType w:val="multilevel"/>
    <w:tmpl w:val="6778FC7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17" w15:restartNumberingAfterBreak="0">
    <w:nsid w:val="4943620B"/>
    <w:multiLevelType w:val="multilevel"/>
    <w:tmpl w:val="332A321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18" w15:restartNumberingAfterBreak="0">
    <w:nsid w:val="4B9B3D6A"/>
    <w:multiLevelType w:val="multilevel"/>
    <w:tmpl w:val="BD48FFD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19" w15:restartNumberingAfterBreak="0">
    <w:nsid w:val="4BD73299"/>
    <w:multiLevelType w:val="multilevel"/>
    <w:tmpl w:val="9AECF07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20" w15:restartNumberingAfterBreak="0">
    <w:nsid w:val="4C7EACD2"/>
    <w:multiLevelType w:val="hybridMultilevel"/>
    <w:tmpl w:val="ACBC1BD4"/>
    <w:lvl w:ilvl="0" w:tplc="F1ECAE14">
      <w:start w:val="1"/>
      <w:numFmt w:val="bullet"/>
      <w:lvlText w:val="·"/>
      <w:lvlJc w:val="left"/>
      <w:pPr>
        <w:ind w:left="720" w:hanging="360"/>
      </w:pPr>
      <w:rPr>
        <w:rFonts w:hint="default" w:ascii="Symbol" w:hAnsi="Symbol"/>
      </w:rPr>
    </w:lvl>
    <w:lvl w:ilvl="1" w:tplc="CA70D9FA">
      <w:start w:val="1"/>
      <w:numFmt w:val="bullet"/>
      <w:lvlText w:val="o"/>
      <w:lvlJc w:val="left"/>
      <w:pPr>
        <w:ind w:left="1440" w:hanging="360"/>
      </w:pPr>
      <w:rPr>
        <w:rFonts w:hint="default" w:ascii="Courier New" w:hAnsi="Courier New"/>
      </w:rPr>
    </w:lvl>
    <w:lvl w:ilvl="2" w:tplc="0826D5F6">
      <w:start w:val="1"/>
      <w:numFmt w:val="bullet"/>
      <w:lvlText w:val=""/>
      <w:lvlJc w:val="left"/>
      <w:pPr>
        <w:ind w:left="2160" w:hanging="360"/>
      </w:pPr>
      <w:rPr>
        <w:rFonts w:hint="default" w:ascii="Wingdings" w:hAnsi="Wingdings"/>
      </w:rPr>
    </w:lvl>
    <w:lvl w:ilvl="3" w:tplc="DFF8C6C8">
      <w:start w:val="1"/>
      <w:numFmt w:val="bullet"/>
      <w:lvlText w:val=""/>
      <w:lvlJc w:val="left"/>
      <w:pPr>
        <w:ind w:left="2880" w:hanging="360"/>
      </w:pPr>
      <w:rPr>
        <w:rFonts w:hint="default" w:ascii="Symbol" w:hAnsi="Symbol"/>
      </w:rPr>
    </w:lvl>
    <w:lvl w:ilvl="4" w:tplc="6D76CD64">
      <w:start w:val="1"/>
      <w:numFmt w:val="bullet"/>
      <w:lvlText w:val="o"/>
      <w:lvlJc w:val="left"/>
      <w:pPr>
        <w:ind w:left="3600" w:hanging="360"/>
      </w:pPr>
      <w:rPr>
        <w:rFonts w:hint="default" w:ascii="Courier New" w:hAnsi="Courier New"/>
      </w:rPr>
    </w:lvl>
    <w:lvl w:ilvl="5" w:tplc="0EBEEE30">
      <w:start w:val="1"/>
      <w:numFmt w:val="bullet"/>
      <w:lvlText w:val=""/>
      <w:lvlJc w:val="left"/>
      <w:pPr>
        <w:ind w:left="4320" w:hanging="360"/>
      </w:pPr>
      <w:rPr>
        <w:rFonts w:hint="default" w:ascii="Wingdings" w:hAnsi="Wingdings"/>
      </w:rPr>
    </w:lvl>
    <w:lvl w:ilvl="6" w:tplc="5742D52A">
      <w:start w:val="1"/>
      <w:numFmt w:val="bullet"/>
      <w:lvlText w:val=""/>
      <w:lvlJc w:val="left"/>
      <w:pPr>
        <w:ind w:left="5040" w:hanging="360"/>
      </w:pPr>
      <w:rPr>
        <w:rFonts w:hint="default" w:ascii="Symbol" w:hAnsi="Symbol"/>
      </w:rPr>
    </w:lvl>
    <w:lvl w:ilvl="7" w:tplc="4C8E44BC">
      <w:start w:val="1"/>
      <w:numFmt w:val="bullet"/>
      <w:lvlText w:val="o"/>
      <w:lvlJc w:val="left"/>
      <w:pPr>
        <w:ind w:left="5760" w:hanging="360"/>
      </w:pPr>
      <w:rPr>
        <w:rFonts w:hint="default" w:ascii="Courier New" w:hAnsi="Courier New"/>
      </w:rPr>
    </w:lvl>
    <w:lvl w:ilvl="8" w:tplc="54EE9BF2">
      <w:start w:val="1"/>
      <w:numFmt w:val="bullet"/>
      <w:lvlText w:val=""/>
      <w:lvlJc w:val="left"/>
      <w:pPr>
        <w:ind w:left="6480" w:hanging="360"/>
      </w:pPr>
      <w:rPr>
        <w:rFonts w:hint="default" w:ascii="Wingdings" w:hAnsi="Wingdings"/>
      </w:rPr>
    </w:lvl>
  </w:abstractNum>
  <w:abstractNum w:abstractNumId="121" w15:restartNumberingAfterBreak="0">
    <w:nsid w:val="4D573975"/>
    <w:multiLevelType w:val="hybridMultilevel"/>
    <w:tmpl w:val="979A910E"/>
    <w:lvl w:ilvl="0" w:tplc="57DE6F22">
      <w:start w:val="1"/>
      <w:numFmt w:val="bullet"/>
      <w:lvlText w:val="·"/>
      <w:lvlJc w:val="left"/>
      <w:pPr>
        <w:ind w:left="720" w:hanging="360"/>
      </w:pPr>
      <w:rPr>
        <w:rFonts w:hint="default" w:ascii="Symbol" w:hAnsi="Symbol"/>
      </w:rPr>
    </w:lvl>
    <w:lvl w:ilvl="1" w:tplc="FB5CB314">
      <w:start w:val="1"/>
      <w:numFmt w:val="bullet"/>
      <w:lvlText w:val="o"/>
      <w:lvlJc w:val="left"/>
      <w:pPr>
        <w:ind w:left="1440" w:hanging="360"/>
      </w:pPr>
      <w:rPr>
        <w:rFonts w:hint="default" w:ascii="Courier New" w:hAnsi="Courier New"/>
      </w:rPr>
    </w:lvl>
    <w:lvl w:ilvl="2" w:tplc="760AFB8A">
      <w:start w:val="1"/>
      <w:numFmt w:val="bullet"/>
      <w:lvlText w:val=""/>
      <w:lvlJc w:val="left"/>
      <w:pPr>
        <w:ind w:left="2160" w:hanging="360"/>
      </w:pPr>
      <w:rPr>
        <w:rFonts w:hint="default" w:ascii="Wingdings" w:hAnsi="Wingdings"/>
      </w:rPr>
    </w:lvl>
    <w:lvl w:ilvl="3" w:tplc="84CAB344">
      <w:start w:val="1"/>
      <w:numFmt w:val="bullet"/>
      <w:lvlText w:val=""/>
      <w:lvlJc w:val="left"/>
      <w:pPr>
        <w:ind w:left="2880" w:hanging="360"/>
      </w:pPr>
      <w:rPr>
        <w:rFonts w:hint="default" w:ascii="Symbol" w:hAnsi="Symbol"/>
      </w:rPr>
    </w:lvl>
    <w:lvl w:ilvl="4" w:tplc="BA3E5846">
      <w:start w:val="1"/>
      <w:numFmt w:val="bullet"/>
      <w:lvlText w:val="o"/>
      <w:lvlJc w:val="left"/>
      <w:pPr>
        <w:ind w:left="3600" w:hanging="360"/>
      </w:pPr>
      <w:rPr>
        <w:rFonts w:hint="default" w:ascii="Courier New" w:hAnsi="Courier New"/>
      </w:rPr>
    </w:lvl>
    <w:lvl w:ilvl="5" w:tplc="0DF264EE">
      <w:start w:val="1"/>
      <w:numFmt w:val="bullet"/>
      <w:lvlText w:val=""/>
      <w:lvlJc w:val="left"/>
      <w:pPr>
        <w:ind w:left="4320" w:hanging="360"/>
      </w:pPr>
      <w:rPr>
        <w:rFonts w:hint="default" w:ascii="Wingdings" w:hAnsi="Wingdings"/>
      </w:rPr>
    </w:lvl>
    <w:lvl w:ilvl="6" w:tplc="949A732E">
      <w:start w:val="1"/>
      <w:numFmt w:val="bullet"/>
      <w:lvlText w:val=""/>
      <w:lvlJc w:val="left"/>
      <w:pPr>
        <w:ind w:left="5040" w:hanging="360"/>
      </w:pPr>
      <w:rPr>
        <w:rFonts w:hint="default" w:ascii="Symbol" w:hAnsi="Symbol"/>
      </w:rPr>
    </w:lvl>
    <w:lvl w:ilvl="7" w:tplc="0C30F56A">
      <w:start w:val="1"/>
      <w:numFmt w:val="bullet"/>
      <w:lvlText w:val="o"/>
      <w:lvlJc w:val="left"/>
      <w:pPr>
        <w:ind w:left="5760" w:hanging="360"/>
      </w:pPr>
      <w:rPr>
        <w:rFonts w:hint="default" w:ascii="Courier New" w:hAnsi="Courier New"/>
      </w:rPr>
    </w:lvl>
    <w:lvl w:ilvl="8" w:tplc="7EA88F98">
      <w:start w:val="1"/>
      <w:numFmt w:val="bullet"/>
      <w:lvlText w:val=""/>
      <w:lvlJc w:val="left"/>
      <w:pPr>
        <w:ind w:left="6480" w:hanging="360"/>
      </w:pPr>
      <w:rPr>
        <w:rFonts w:hint="default" w:ascii="Wingdings" w:hAnsi="Wingdings"/>
      </w:rPr>
    </w:lvl>
  </w:abstractNum>
  <w:abstractNum w:abstractNumId="122" w15:restartNumberingAfterBreak="0">
    <w:nsid w:val="4E1A74F4"/>
    <w:multiLevelType w:val="multilevel"/>
    <w:tmpl w:val="F202D9A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23" w15:restartNumberingAfterBreak="0">
    <w:nsid w:val="4E7F271B"/>
    <w:multiLevelType w:val="multilevel"/>
    <w:tmpl w:val="059EE16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24" w15:restartNumberingAfterBreak="0">
    <w:nsid w:val="4FD7285B"/>
    <w:multiLevelType w:val="multilevel"/>
    <w:tmpl w:val="D6F6254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25" w15:restartNumberingAfterBreak="0">
    <w:nsid w:val="51C12FF1"/>
    <w:multiLevelType w:val="multilevel"/>
    <w:tmpl w:val="F8B28ADE"/>
    <w:lvl w:ilvl="0">
      <w:start w:val="9"/>
      <w:numFmt w:val="decimal"/>
      <w:lvlText w:val="%1."/>
      <w:lvlJc w:val="left"/>
      <w:pPr>
        <w:ind w:left="480" w:hanging="480"/>
      </w:pPr>
      <w:rPr>
        <w:rFonts w:hint="default"/>
      </w:rPr>
    </w:lvl>
    <w:lvl w:ilvl="1">
      <w:start w:val="1"/>
      <w:numFmt w:val="decimal"/>
      <w:lvlText w:val="%1.%2."/>
      <w:lvlJc w:val="left"/>
      <w:pPr>
        <w:ind w:left="720" w:hanging="720"/>
      </w:pPr>
      <w:rPr>
        <w:rFonts w:hint="default"/>
        <w:b/>
        <w:bCs/>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126" w15:restartNumberingAfterBreak="0">
    <w:nsid w:val="51F01D23"/>
    <w:multiLevelType w:val="multilevel"/>
    <w:tmpl w:val="E82A24B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27" w15:restartNumberingAfterBreak="0">
    <w:nsid w:val="52473E2C"/>
    <w:multiLevelType w:val="hybridMultilevel"/>
    <w:tmpl w:val="ADAAF528"/>
    <w:lvl w:ilvl="0" w:tplc="A426D1BE">
      <w:numFmt w:val="bullet"/>
      <w:lvlText w:val=""/>
      <w:lvlJc w:val="left"/>
      <w:pPr>
        <w:ind w:left="720" w:hanging="360"/>
      </w:pPr>
      <w:rPr>
        <w:rFonts w:hint="default" w:ascii="Symbol" w:hAnsi="Symbol" w:eastAsiaTheme="minorHAnsi" w:cstheme="minorBidi"/>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28" w15:restartNumberingAfterBreak="0">
    <w:nsid w:val="52AC636C"/>
    <w:multiLevelType w:val="multilevel"/>
    <w:tmpl w:val="EEF855F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29" w15:restartNumberingAfterBreak="0">
    <w:nsid w:val="52D157CC"/>
    <w:multiLevelType w:val="hybridMultilevel"/>
    <w:tmpl w:val="E50230A4"/>
    <w:lvl w:ilvl="0" w:tplc="A426D1BE">
      <w:numFmt w:val="bullet"/>
      <w:lvlText w:val=""/>
      <w:lvlJc w:val="left"/>
      <w:pPr>
        <w:ind w:left="720" w:hanging="360"/>
      </w:pPr>
      <w:rPr>
        <w:rFonts w:hint="default" w:ascii="Symbol" w:hAnsi="Symbol" w:eastAsiaTheme="minorHAnsi" w:cstheme="minorBidi"/>
      </w:rPr>
    </w:lvl>
    <w:lvl w:ilvl="1" w:tplc="080A0003">
      <w:start w:val="1"/>
      <w:numFmt w:val="bullet"/>
      <w:lvlText w:val="o"/>
      <w:lvlJc w:val="left"/>
      <w:pPr>
        <w:ind w:left="1440" w:hanging="360"/>
      </w:pPr>
      <w:rPr>
        <w:rFonts w:hint="default" w:ascii="Courier New" w:hAnsi="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rPr>
    </w:lvl>
    <w:lvl w:ilvl="8" w:tplc="080A0005" w:tentative="1">
      <w:start w:val="1"/>
      <w:numFmt w:val="bullet"/>
      <w:lvlText w:val=""/>
      <w:lvlJc w:val="left"/>
      <w:pPr>
        <w:ind w:left="6480" w:hanging="360"/>
      </w:pPr>
      <w:rPr>
        <w:rFonts w:hint="default" w:ascii="Wingdings" w:hAnsi="Wingdings"/>
      </w:rPr>
    </w:lvl>
  </w:abstractNum>
  <w:abstractNum w:abstractNumId="130" w15:restartNumberingAfterBreak="0">
    <w:nsid w:val="53413A5F"/>
    <w:multiLevelType w:val="multilevel"/>
    <w:tmpl w:val="07905B2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31" w15:restartNumberingAfterBreak="0">
    <w:nsid w:val="53D379E1"/>
    <w:multiLevelType w:val="multilevel"/>
    <w:tmpl w:val="E3BEB09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32" w15:restartNumberingAfterBreak="0">
    <w:nsid w:val="53E07011"/>
    <w:multiLevelType w:val="hybridMultilevel"/>
    <w:tmpl w:val="FDC87DD6"/>
    <w:lvl w:ilvl="0" w:tplc="240A0001">
      <w:start w:val="1"/>
      <w:numFmt w:val="bullet"/>
      <w:lvlText w:val=""/>
      <w:lvlJc w:val="left"/>
      <w:pPr>
        <w:ind w:left="360" w:hanging="360"/>
      </w:pPr>
      <w:rPr>
        <w:rFonts w:hint="default" w:ascii="Symbol" w:hAnsi="Symbol"/>
      </w:rPr>
    </w:lvl>
    <w:lvl w:ilvl="1" w:tplc="240A0003" w:tentative="1">
      <w:start w:val="1"/>
      <w:numFmt w:val="bullet"/>
      <w:lvlText w:val="o"/>
      <w:lvlJc w:val="left"/>
      <w:pPr>
        <w:ind w:left="1080" w:hanging="360"/>
      </w:pPr>
      <w:rPr>
        <w:rFonts w:hint="default" w:ascii="Courier New" w:hAnsi="Courier New" w:cs="Courier New"/>
      </w:rPr>
    </w:lvl>
    <w:lvl w:ilvl="2" w:tplc="240A0005" w:tentative="1">
      <w:start w:val="1"/>
      <w:numFmt w:val="bullet"/>
      <w:lvlText w:val=""/>
      <w:lvlJc w:val="left"/>
      <w:pPr>
        <w:ind w:left="1800" w:hanging="360"/>
      </w:pPr>
      <w:rPr>
        <w:rFonts w:hint="default" w:ascii="Wingdings" w:hAnsi="Wingdings"/>
      </w:rPr>
    </w:lvl>
    <w:lvl w:ilvl="3" w:tplc="240A0001" w:tentative="1">
      <w:start w:val="1"/>
      <w:numFmt w:val="bullet"/>
      <w:lvlText w:val=""/>
      <w:lvlJc w:val="left"/>
      <w:pPr>
        <w:ind w:left="2520" w:hanging="360"/>
      </w:pPr>
      <w:rPr>
        <w:rFonts w:hint="default" w:ascii="Symbol" w:hAnsi="Symbol"/>
      </w:rPr>
    </w:lvl>
    <w:lvl w:ilvl="4" w:tplc="240A0003" w:tentative="1">
      <w:start w:val="1"/>
      <w:numFmt w:val="bullet"/>
      <w:lvlText w:val="o"/>
      <w:lvlJc w:val="left"/>
      <w:pPr>
        <w:ind w:left="3240" w:hanging="360"/>
      </w:pPr>
      <w:rPr>
        <w:rFonts w:hint="default" w:ascii="Courier New" w:hAnsi="Courier New" w:cs="Courier New"/>
      </w:rPr>
    </w:lvl>
    <w:lvl w:ilvl="5" w:tplc="240A0005" w:tentative="1">
      <w:start w:val="1"/>
      <w:numFmt w:val="bullet"/>
      <w:lvlText w:val=""/>
      <w:lvlJc w:val="left"/>
      <w:pPr>
        <w:ind w:left="3960" w:hanging="360"/>
      </w:pPr>
      <w:rPr>
        <w:rFonts w:hint="default" w:ascii="Wingdings" w:hAnsi="Wingdings"/>
      </w:rPr>
    </w:lvl>
    <w:lvl w:ilvl="6" w:tplc="240A0001" w:tentative="1">
      <w:start w:val="1"/>
      <w:numFmt w:val="bullet"/>
      <w:lvlText w:val=""/>
      <w:lvlJc w:val="left"/>
      <w:pPr>
        <w:ind w:left="4680" w:hanging="360"/>
      </w:pPr>
      <w:rPr>
        <w:rFonts w:hint="default" w:ascii="Symbol" w:hAnsi="Symbol"/>
      </w:rPr>
    </w:lvl>
    <w:lvl w:ilvl="7" w:tplc="240A0003" w:tentative="1">
      <w:start w:val="1"/>
      <w:numFmt w:val="bullet"/>
      <w:lvlText w:val="o"/>
      <w:lvlJc w:val="left"/>
      <w:pPr>
        <w:ind w:left="5400" w:hanging="360"/>
      </w:pPr>
      <w:rPr>
        <w:rFonts w:hint="default" w:ascii="Courier New" w:hAnsi="Courier New" w:cs="Courier New"/>
      </w:rPr>
    </w:lvl>
    <w:lvl w:ilvl="8" w:tplc="240A0005" w:tentative="1">
      <w:start w:val="1"/>
      <w:numFmt w:val="bullet"/>
      <w:lvlText w:val=""/>
      <w:lvlJc w:val="left"/>
      <w:pPr>
        <w:ind w:left="6120" w:hanging="360"/>
      </w:pPr>
      <w:rPr>
        <w:rFonts w:hint="default" w:ascii="Wingdings" w:hAnsi="Wingdings"/>
      </w:rPr>
    </w:lvl>
  </w:abstractNum>
  <w:abstractNum w:abstractNumId="133" w15:restartNumberingAfterBreak="0">
    <w:nsid w:val="53FC427D"/>
    <w:multiLevelType w:val="hybridMultilevel"/>
    <w:tmpl w:val="30D600A0"/>
    <w:lvl w:ilvl="0" w:tplc="A426D1BE">
      <w:numFmt w:val="bullet"/>
      <w:lvlText w:val=""/>
      <w:lvlJc w:val="left"/>
      <w:pPr>
        <w:ind w:left="502" w:hanging="360"/>
      </w:pPr>
      <w:rPr>
        <w:rFonts w:hint="default" w:ascii="Symbol" w:hAnsi="Symbol" w:eastAsiaTheme="minorHAnsi" w:cstheme="minorBidi"/>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34" w15:restartNumberingAfterBreak="0">
    <w:nsid w:val="54255536"/>
    <w:multiLevelType w:val="multilevel"/>
    <w:tmpl w:val="66DEBE5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35" w15:restartNumberingAfterBreak="0">
    <w:nsid w:val="54A34956"/>
    <w:multiLevelType w:val="multilevel"/>
    <w:tmpl w:val="3510150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36" w15:restartNumberingAfterBreak="0">
    <w:nsid w:val="562BC6A9"/>
    <w:multiLevelType w:val="hybridMultilevel"/>
    <w:tmpl w:val="E50445C0"/>
    <w:lvl w:ilvl="0" w:tplc="62C0E5A6">
      <w:start w:val="1"/>
      <w:numFmt w:val="bullet"/>
      <w:lvlText w:val="·"/>
      <w:lvlJc w:val="left"/>
      <w:pPr>
        <w:ind w:left="720" w:hanging="360"/>
      </w:pPr>
      <w:rPr>
        <w:rFonts w:hint="default" w:ascii="Symbol" w:hAnsi="Symbol"/>
      </w:rPr>
    </w:lvl>
    <w:lvl w:ilvl="1" w:tplc="BA6A10FC">
      <w:start w:val="1"/>
      <w:numFmt w:val="bullet"/>
      <w:lvlText w:val="o"/>
      <w:lvlJc w:val="left"/>
      <w:pPr>
        <w:ind w:left="1440" w:hanging="360"/>
      </w:pPr>
      <w:rPr>
        <w:rFonts w:hint="default" w:ascii="Courier New" w:hAnsi="Courier New"/>
      </w:rPr>
    </w:lvl>
    <w:lvl w:ilvl="2" w:tplc="FE0CA7B2">
      <w:start w:val="1"/>
      <w:numFmt w:val="bullet"/>
      <w:lvlText w:val=""/>
      <w:lvlJc w:val="left"/>
      <w:pPr>
        <w:ind w:left="2160" w:hanging="360"/>
      </w:pPr>
      <w:rPr>
        <w:rFonts w:hint="default" w:ascii="Wingdings" w:hAnsi="Wingdings"/>
      </w:rPr>
    </w:lvl>
    <w:lvl w:ilvl="3" w:tplc="E1C04614">
      <w:start w:val="1"/>
      <w:numFmt w:val="bullet"/>
      <w:lvlText w:val=""/>
      <w:lvlJc w:val="left"/>
      <w:pPr>
        <w:ind w:left="2880" w:hanging="360"/>
      </w:pPr>
      <w:rPr>
        <w:rFonts w:hint="default" w:ascii="Symbol" w:hAnsi="Symbol"/>
      </w:rPr>
    </w:lvl>
    <w:lvl w:ilvl="4" w:tplc="C8AAAADE">
      <w:start w:val="1"/>
      <w:numFmt w:val="bullet"/>
      <w:lvlText w:val="o"/>
      <w:lvlJc w:val="left"/>
      <w:pPr>
        <w:ind w:left="3600" w:hanging="360"/>
      </w:pPr>
      <w:rPr>
        <w:rFonts w:hint="default" w:ascii="Courier New" w:hAnsi="Courier New"/>
      </w:rPr>
    </w:lvl>
    <w:lvl w:ilvl="5" w:tplc="7D7C871A">
      <w:start w:val="1"/>
      <w:numFmt w:val="bullet"/>
      <w:lvlText w:val=""/>
      <w:lvlJc w:val="left"/>
      <w:pPr>
        <w:ind w:left="4320" w:hanging="360"/>
      </w:pPr>
      <w:rPr>
        <w:rFonts w:hint="default" w:ascii="Wingdings" w:hAnsi="Wingdings"/>
      </w:rPr>
    </w:lvl>
    <w:lvl w:ilvl="6" w:tplc="6B8E9B60">
      <w:start w:val="1"/>
      <w:numFmt w:val="bullet"/>
      <w:lvlText w:val=""/>
      <w:lvlJc w:val="left"/>
      <w:pPr>
        <w:ind w:left="5040" w:hanging="360"/>
      </w:pPr>
      <w:rPr>
        <w:rFonts w:hint="default" w:ascii="Symbol" w:hAnsi="Symbol"/>
      </w:rPr>
    </w:lvl>
    <w:lvl w:ilvl="7" w:tplc="339E9C5A">
      <w:start w:val="1"/>
      <w:numFmt w:val="bullet"/>
      <w:lvlText w:val="o"/>
      <w:lvlJc w:val="left"/>
      <w:pPr>
        <w:ind w:left="5760" w:hanging="360"/>
      </w:pPr>
      <w:rPr>
        <w:rFonts w:hint="default" w:ascii="Courier New" w:hAnsi="Courier New"/>
      </w:rPr>
    </w:lvl>
    <w:lvl w:ilvl="8" w:tplc="91060542">
      <w:start w:val="1"/>
      <w:numFmt w:val="bullet"/>
      <w:lvlText w:val=""/>
      <w:lvlJc w:val="left"/>
      <w:pPr>
        <w:ind w:left="6480" w:hanging="360"/>
      </w:pPr>
      <w:rPr>
        <w:rFonts w:hint="default" w:ascii="Wingdings" w:hAnsi="Wingdings"/>
      </w:rPr>
    </w:lvl>
  </w:abstractNum>
  <w:abstractNum w:abstractNumId="137" w15:restartNumberingAfterBreak="0">
    <w:nsid w:val="5A9B2DE1"/>
    <w:multiLevelType w:val="multilevel"/>
    <w:tmpl w:val="78D8756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38" w15:restartNumberingAfterBreak="0">
    <w:nsid w:val="5ACB7870"/>
    <w:multiLevelType w:val="multilevel"/>
    <w:tmpl w:val="7AEE6B5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39" w15:restartNumberingAfterBreak="0">
    <w:nsid w:val="5B1756CD"/>
    <w:multiLevelType w:val="hybridMultilevel"/>
    <w:tmpl w:val="80884F94"/>
    <w:lvl w:ilvl="0" w:tplc="7E783D24">
      <w:start w:val="1"/>
      <w:numFmt w:val="bullet"/>
      <w:lvlText w:val="-"/>
      <w:lvlJc w:val="left"/>
      <w:pPr>
        <w:ind w:left="1080" w:hanging="360"/>
      </w:pPr>
      <w:rPr>
        <w:rFonts w:hint="default" w:ascii="Arial" w:hAnsi="Arial"/>
      </w:rPr>
    </w:lvl>
    <w:lvl w:ilvl="1" w:tplc="240A0003" w:tentative="1">
      <w:start w:val="1"/>
      <w:numFmt w:val="bullet"/>
      <w:lvlText w:val="o"/>
      <w:lvlJc w:val="left"/>
      <w:pPr>
        <w:ind w:left="1800" w:hanging="360"/>
      </w:pPr>
      <w:rPr>
        <w:rFonts w:hint="default" w:ascii="Courier New" w:hAnsi="Courier New" w:cs="Courier New"/>
      </w:rPr>
    </w:lvl>
    <w:lvl w:ilvl="2" w:tplc="240A0005" w:tentative="1">
      <w:start w:val="1"/>
      <w:numFmt w:val="bullet"/>
      <w:lvlText w:val=""/>
      <w:lvlJc w:val="left"/>
      <w:pPr>
        <w:ind w:left="2520" w:hanging="360"/>
      </w:pPr>
      <w:rPr>
        <w:rFonts w:hint="default" w:ascii="Wingdings" w:hAnsi="Wingdings"/>
      </w:rPr>
    </w:lvl>
    <w:lvl w:ilvl="3" w:tplc="240A0001" w:tentative="1">
      <w:start w:val="1"/>
      <w:numFmt w:val="bullet"/>
      <w:lvlText w:val=""/>
      <w:lvlJc w:val="left"/>
      <w:pPr>
        <w:ind w:left="3240" w:hanging="360"/>
      </w:pPr>
      <w:rPr>
        <w:rFonts w:hint="default" w:ascii="Symbol" w:hAnsi="Symbol"/>
      </w:rPr>
    </w:lvl>
    <w:lvl w:ilvl="4" w:tplc="240A0003" w:tentative="1">
      <w:start w:val="1"/>
      <w:numFmt w:val="bullet"/>
      <w:lvlText w:val="o"/>
      <w:lvlJc w:val="left"/>
      <w:pPr>
        <w:ind w:left="3960" w:hanging="360"/>
      </w:pPr>
      <w:rPr>
        <w:rFonts w:hint="default" w:ascii="Courier New" w:hAnsi="Courier New" w:cs="Courier New"/>
      </w:rPr>
    </w:lvl>
    <w:lvl w:ilvl="5" w:tplc="240A0005" w:tentative="1">
      <w:start w:val="1"/>
      <w:numFmt w:val="bullet"/>
      <w:lvlText w:val=""/>
      <w:lvlJc w:val="left"/>
      <w:pPr>
        <w:ind w:left="4680" w:hanging="360"/>
      </w:pPr>
      <w:rPr>
        <w:rFonts w:hint="default" w:ascii="Wingdings" w:hAnsi="Wingdings"/>
      </w:rPr>
    </w:lvl>
    <w:lvl w:ilvl="6" w:tplc="240A0001" w:tentative="1">
      <w:start w:val="1"/>
      <w:numFmt w:val="bullet"/>
      <w:lvlText w:val=""/>
      <w:lvlJc w:val="left"/>
      <w:pPr>
        <w:ind w:left="5400" w:hanging="360"/>
      </w:pPr>
      <w:rPr>
        <w:rFonts w:hint="default" w:ascii="Symbol" w:hAnsi="Symbol"/>
      </w:rPr>
    </w:lvl>
    <w:lvl w:ilvl="7" w:tplc="240A0003" w:tentative="1">
      <w:start w:val="1"/>
      <w:numFmt w:val="bullet"/>
      <w:lvlText w:val="o"/>
      <w:lvlJc w:val="left"/>
      <w:pPr>
        <w:ind w:left="6120" w:hanging="360"/>
      </w:pPr>
      <w:rPr>
        <w:rFonts w:hint="default" w:ascii="Courier New" w:hAnsi="Courier New" w:cs="Courier New"/>
      </w:rPr>
    </w:lvl>
    <w:lvl w:ilvl="8" w:tplc="240A0005" w:tentative="1">
      <w:start w:val="1"/>
      <w:numFmt w:val="bullet"/>
      <w:lvlText w:val=""/>
      <w:lvlJc w:val="left"/>
      <w:pPr>
        <w:ind w:left="6840" w:hanging="360"/>
      </w:pPr>
      <w:rPr>
        <w:rFonts w:hint="default" w:ascii="Wingdings" w:hAnsi="Wingdings"/>
      </w:rPr>
    </w:lvl>
  </w:abstractNum>
  <w:abstractNum w:abstractNumId="140" w15:restartNumberingAfterBreak="0">
    <w:nsid w:val="5C8774F3"/>
    <w:multiLevelType w:val="multilevel"/>
    <w:tmpl w:val="9962C0C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41" w15:restartNumberingAfterBreak="0">
    <w:nsid w:val="5D4EE0C9"/>
    <w:multiLevelType w:val="multilevel"/>
    <w:tmpl w:val="FFFFFFFF"/>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142" w15:restartNumberingAfterBreak="0">
    <w:nsid w:val="5E116B49"/>
    <w:multiLevelType w:val="multilevel"/>
    <w:tmpl w:val="2474E68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43" w15:restartNumberingAfterBreak="0">
    <w:nsid w:val="5E5534C1"/>
    <w:multiLevelType w:val="multilevel"/>
    <w:tmpl w:val="FFD6513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44" w15:restartNumberingAfterBreak="0">
    <w:nsid w:val="5EB806B1"/>
    <w:multiLevelType w:val="multilevel"/>
    <w:tmpl w:val="AC0243C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45" w15:restartNumberingAfterBreak="0">
    <w:nsid w:val="5EDD0948"/>
    <w:multiLevelType w:val="hybridMultilevel"/>
    <w:tmpl w:val="A5D69C12"/>
    <w:lvl w:ilvl="0" w:tplc="7E783D24">
      <w:start w:val="1"/>
      <w:numFmt w:val="bullet"/>
      <w:lvlText w:val="-"/>
      <w:lvlJc w:val="left"/>
      <w:pPr>
        <w:ind w:left="1080" w:hanging="360"/>
      </w:pPr>
      <w:rPr>
        <w:rFonts w:hint="default" w:ascii="Arial" w:hAnsi="Arial"/>
      </w:rPr>
    </w:lvl>
    <w:lvl w:ilvl="1" w:tplc="240A0003" w:tentative="1">
      <w:start w:val="1"/>
      <w:numFmt w:val="bullet"/>
      <w:lvlText w:val="o"/>
      <w:lvlJc w:val="left"/>
      <w:pPr>
        <w:ind w:left="1800" w:hanging="360"/>
      </w:pPr>
      <w:rPr>
        <w:rFonts w:hint="default" w:ascii="Courier New" w:hAnsi="Courier New" w:cs="Courier New"/>
      </w:rPr>
    </w:lvl>
    <w:lvl w:ilvl="2" w:tplc="240A0005" w:tentative="1">
      <w:start w:val="1"/>
      <w:numFmt w:val="bullet"/>
      <w:lvlText w:val=""/>
      <w:lvlJc w:val="left"/>
      <w:pPr>
        <w:ind w:left="2520" w:hanging="360"/>
      </w:pPr>
      <w:rPr>
        <w:rFonts w:hint="default" w:ascii="Wingdings" w:hAnsi="Wingdings"/>
      </w:rPr>
    </w:lvl>
    <w:lvl w:ilvl="3" w:tplc="240A0001" w:tentative="1">
      <w:start w:val="1"/>
      <w:numFmt w:val="bullet"/>
      <w:lvlText w:val=""/>
      <w:lvlJc w:val="left"/>
      <w:pPr>
        <w:ind w:left="3240" w:hanging="360"/>
      </w:pPr>
      <w:rPr>
        <w:rFonts w:hint="default" w:ascii="Symbol" w:hAnsi="Symbol"/>
      </w:rPr>
    </w:lvl>
    <w:lvl w:ilvl="4" w:tplc="240A0003" w:tentative="1">
      <w:start w:val="1"/>
      <w:numFmt w:val="bullet"/>
      <w:lvlText w:val="o"/>
      <w:lvlJc w:val="left"/>
      <w:pPr>
        <w:ind w:left="3960" w:hanging="360"/>
      </w:pPr>
      <w:rPr>
        <w:rFonts w:hint="default" w:ascii="Courier New" w:hAnsi="Courier New" w:cs="Courier New"/>
      </w:rPr>
    </w:lvl>
    <w:lvl w:ilvl="5" w:tplc="240A0005" w:tentative="1">
      <w:start w:val="1"/>
      <w:numFmt w:val="bullet"/>
      <w:lvlText w:val=""/>
      <w:lvlJc w:val="left"/>
      <w:pPr>
        <w:ind w:left="4680" w:hanging="360"/>
      </w:pPr>
      <w:rPr>
        <w:rFonts w:hint="default" w:ascii="Wingdings" w:hAnsi="Wingdings"/>
      </w:rPr>
    </w:lvl>
    <w:lvl w:ilvl="6" w:tplc="240A0001" w:tentative="1">
      <w:start w:val="1"/>
      <w:numFmt w:val="bullet"/>
      <w:lvlText w:val=""/>
      <w:lvlJc w:val="left"/>
      <w:pPr>
        <w:ind w:left="5400" w:hanging="360"/>
      </w:pPr>
      <w:rPr>
        <w:rFonts w:hint="default" w:ascii="Symbol" w:hAnsi="Symbol"/>
      </w:rPr>
    </w:lvl>
    <w:lvl w:ilvl="7" w:tplc="240A0003" w:tentative="1">
      <w:start w:val="1"/>
      <w:numFmt w:val="bullet"/>
      <w:lvlText w:val="o"/>
      <w:lvlJc w:val="left"/>
      <w:pPr>
        <w:ind w:left="6120" w:hanging="360"/>
      </w:pPr>
      <w:rPr>
        <w:rFonts w:hint="default" w:ascii="Courier New" w:hAnsi="Courier New" w:cs="Courier New"/>
      </w:rPr>
    </w:lvl>
    <w:lvl w:ilvl="8" w:tplc="240A0005" w:tentative="1">
      <w:start w:val="1"/>
      <w:numFmt w:val="bullet"/>
      <w:lvlText w:val=""/>
      <w:lvlJc w:val="left"/>
      <w:pPr>
        <w:ind w:left="6840" w:hanging="360"/>
      </w:pPr>
      <w:rPr>
        <w:rFonts w:hint="default" w:ascii="Wingdings" w:hAnsi="Wingdings"/>
      </w:rPr>
    </w:lvl>
  </w:abstractNum>
  <w:abstractNum w:abstractNumId="146" w15:restartNumberingAfterBreak="0">
    <w:nsid w:val="6291B714"/>
    <w:multiLevelType w:val="multilevel"/>
    <w:tmpl w:val="FFFFFFFF"/>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147" w15:restartNumberingAfterBreak="0">
    <w:nsid w:val="62B75A7D"/>
    <w:multiLevelType w:val="multilevel"/>
    <w:tmpl w:val="8DB6E0C8"/>
    <w:lvl w:ilvl="0">
      <w:start w:val="8"/>
      <w:numFmt w:val="decimal"/>
      <w:lvlText w:val="%1."/>
      <w:lvlJc w:val="left"/>
      <w:pPr>
        <w:ind w:left="765" w:hanging="765"/>
      </w:pPr>
      <w:rPr>
        <w:rFonts w:hint="default"/>
        <w:b/>
      </w:rPr>
    </w:lvl>
    <w:lvl w:ilvl="1">
      <w:start w:val="3"/>
      <w:numFmt w:val="decimal"/>
      <w:lvlText w:val="%1.%2."/>
      <w:lvlJc w:val="left"/>
      <w:pPr>
        <w:ind w:left="765" w:hanging="765"/>
      </w:pPr>
      <w:rPr>
        <w:rFonts w:hint="default"/>
        <w:b/>
      </w:rPr>
    </w:lvl>
    <w:lvl w:ilvl="2">
      <w:start w:val="2"/>
      <w:numFmt w:val="decimal"/>
      <w:lvlText w:val="%1.%2.%3."/>
      <w:lvlJc w:val="left"/>
      <w:pPr>
        <w:ind w:left="1080" w:hanging="1080"/>
      </w:pPr>
      <w:rPr>
        <w:rFonts w:hint="default"/>
        <w:b/>
      </w:rPr>
    </w:lvl>
    <w:lvl w:ilvl="3">
      <w:start w:val="1"/>
      <w:numFmt w:val="decimal"/>
      <w:lvlText w:val="%1.%2.%3.%4."/>
      <w:lvlJc w:val="left"/>
      <w:pPr>
        <w:ind w:left="1440" w:hanging="1440"/>
      </w:pPr>
      <w:rPr>
        <w:rFonts w:hint="default"/>
        <w:b/>
      </w:rPr>
    </w:lvl>
    <w:lvl w:ilvl="4">
      <w:start w:val="1"/>
      <w:numFmt w:val="decimal"/>
      <w:lvlText w:val="%1.%2.%3.%4.%5."/>
      <w:lvlJc w:val="left"/>
      <w:pPr>
        <w:ind w:left="1440" w:hanging="1440"/>
      </w:pPr>
      <w:rPr>
        <w:rFonts w:hint="default"/>
        <w:b/>
      </w:rPr>
    </w:lvl>
    <w:lvl w:ilvl="5">
      <w:start w:val="1"/>
      <w:numFmt w:val="decimal"/>
      <w:lvlText w:val="%1.%2.%3.%4.%5.%6."/>
      <w:lvlJc w:val="left"/>
      <w:pPr>
        <w:ind w:left="1800" w:hanging="1800"/>
      </w:pPr>
      <w:rPr>
        <w:rFonts w:hint="default"/>
        <w:b/>
      </w:rPr>
    </w:lvl>
    <w:lvl w:ilvl="6">
      <w:start w:val="1"/>
      <w:numFmt w:val="decimal"/>
      <w:lvlText w:val="%1.%2.%3.%4.%5.%6.%7."/>
      <w:lvlJc w:val="left"/>
      <w:pPr>
        <w:ind w:left="2160" w:hanging="2160"/>
      </w:pPr>
      <w:rPr>
        <w:rFonts w:hint="default"/>
        <w:b/>
      </w:rPr>
    </w:lvl>
    <w:lvl w:ilvl="7">
      <w:start w:val="1"/>
      <w:numFmt w:val="decimal"/>
      <w:lvlText w:val="%1.%2.%3.%4.%5.%6.%7.%8."/>
      <w:lvlJc w:val="left"/>
      <w:pPr>
        <w:ind w:left="2520" w:hanging="2520"/>
      </w:pPr>
      <w:rPr>
        <w:rFonts w:hint="default"/>
        <w:b/>
      </w:rPr>
    </w:lvl>
    <w:lvl w:ilvl="8">
      <w:start w:val="1"/>
      <w:numFmt w:val="decimal"/>
      <w:lvlText w:val="%1.%2.%3.%4.%5.%6.%7.%8.%9."/>
      <w:lvlJc w:val="left"/>
      <w:pPr>
        <w:ind w:left="2880" w:hanging="2880"/>
      </w:pPr>
      <w:rPr>
        <w:rFonts w:hint="default"/>
        <w:b/>
      </w:rPr>
    </w:lvl>
  </w:abstractNum>
  <w:abstractNum w:abstractNumId="148" w15:restartNumberingAfterBreak="0">
    <w:nsid w:val="63C8297E"/>
    <w:multiLevelType w:val="multilevel"/>
    <w:tmpl w:val="E2E871A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49" w15:restartNumberingAfterBreak="0">
    <w:nsid w:val="63E7E5C0"/>
    <w:multiLevelType w:val="hybridMultilevel"/>
    <w:tmpl w:val="B0A8ACEA"/>
    <w:lvl w:ilvl="0" w:tplc="3298418A">
      <w:start w:val="1"/>
      <w:numFmt w:val="bullet"/>
      <w:lvlText w:val="·"/>
      <w:lvlJc w:val="left"/>
      <w:pPr>
        <w:ind w:left="720" w:hanging="360"/>
      </w:pPr>
      <w:rPr>
        <w:rFonts w:hint="default" w:ascii="Symbol" w:hAnsi="Symbol"/>
      </w:rPr>
    </w:lvl>
    <w:lvl w:ilvl="1" w:tplc="ACF25AD6">
      <w:start w:val="1"/>
      <w:numFmt w:val="bullet"/>
      <w:lvlText w:val="o"/>
      <w:lvlJc w:val="left"/>
      <w:pPr>
        <w:ind w:left="1440" w:hanging="360"/>
      </w:pPr>
      <w:rPr>
        <w:rFonts w:hint="default" w:ascii="Courier New" w:hAnsi="Courier New"/>
      </w:rPr>
    </w:lvl>
    <w:lvl w:ilvl="2" w:tplc="2BCA38C4">
      <w:start w:val="1"/>
      <w:numFmt w:val="bullet"/>
      <w:lvlText w:val=""/>
      <w:lvlJc w:val="left"/>
      <w:pPr>
        <w:ind w:left="2160" w:hanging="360"/>
      </w:pPr>
      <w:rPr>
        <w:rFonts w:hint="default" w:ascii="Wingdings" w:hAnsi="Wingdings"/>
      </w:rPr>
    </w:lvl>
    <w:lvl w:ilvl="3" w:tplc="1EAE3C4C">
      <w:start w:val="1"/>
      <w:numFmt w:val="bullet"/>
      <w:lvlText w:val=""/>
      <w:lvlJc w:val="left"/>
      <w:pPr>
        <w:ind w:left="2880" w:hanging="360"/>
      </w:pPr>
      <w:rPr>
        <w:rFonts w:hint="default" w:ascii="Symbol" w:hAnsi="Symbol"/>
      </w:rPr>
    </w:lvl>
    <w:lvl w:ilvl="4" w:tplc="A192E3B0">
      <w:start w:val="1"/>
      <w:numFmt w:val="bullet"/>
      <w:lvlText w:val="o"/>
      <w:lvlJc w:val="left"/>
      <w:pPr>
        <w:ind w:left="3600" w:hanging="360"/>
      </w:pPr>
      <w:rPr>
        <w:rFonts w:hint="default" w:ascii="Courier New" w:hAnsi="Courier New"/>
      </w:rPr>
    </w:lvl>
    <w:lvl w:ilvl="5" w:tplc="9314CD54">
      <w:start w:val="1"/>
      <w:numFmt w:val="bullet"/>
      <w:lvlText w:val=""/>
      <w:lvlJc w:val="left"/>
      <w:pPr>
        <w:ind w:left="4320" w:hanging="360"/>
      </w:pPr>
      <w:rPr>
        <w:rFonts w:hint="default" w:ascii="Wingdings" w:hAnsi="Wingdings"/>
      </w:rPr>
    </w:lvl>
    <w:lvl w:ilvl="6" w:tplc="87985A18">
      <w:start w:val="1"/>
      <w:numFmt w:val="bullet"/>
      <w:lvlText w:val=""/>
      <w:lvlJc w:val="left"/>
      <w:pPr>
        <w:ind w:left="5040" w:hanging="360"/>
      </w:pPr>
      <w:rPr>
        <w:rFonts w:hint="default" w:ascii="Symbol" w:hAnsi="Symbol"/>
      </w:rPr>
    </w:lvl>
    <w:lvl w:ilvl="7" w:tplc="D692307E">
      <w:start w:val="1"/>
      <w:numFmt w:val="bullet"/>
      <w:lvlText w:val="o"/>
      <w:lvlJc w:val="left"/>
      <w:pPr>
        <w:ind w:left="5760" w:hanging="360"/>
      </w:pPr>
      <w:rPr>
        <w:rFonts w:hint="default" w:ascii="Courier New" w:hAnsi="Courier New"/>
      </w:rPr>
    </w:lvl>
    <w:lvl w:ilvl="8" w:tplc="E0B8B320">
      <w:start w:val="1"/>
      <w:numFmt w:val="bullet"/>
      <w:lvlText w:val=""/>
      <w:lvlJc w:val="left"/>
      <w:pPr>
        <w:ind w:left="6480" w:hanging="360"/>
      </w:pPr>
      <w:rPr>
        <w:rFonts w:hint="default" w:ascii="Wingdings" w:hAnsi="Wingdings"/>
      </w:rPr>
    </w:lvl>
  </w:abstractNum>
  <w:abstractNum w:abstractNumId="150" w15:restartNumberingAfterBreak="0">
    <w:nsid w:val="63F5A7F7"/>
    <w:multiLevelType w:val="hybridMultilevel"/>
    <w:tmpl w:val="AF4C90C8"/>
    <w:lvl w:ilvl="0" w:tplc="BB506D14">
      <w:start w:val="1"/>
      <w:numFmt w:val="bullet"/>
      <w:lvlText w:val="·"/>
      <w:lvlJc w:val="left"/>
      <w:pPr>
        <w:ind w:left="720" w:hanging="360"/>
      </w:pPr>
      <w:rPr>
        <w:rFonts w:hint="default" w:ascii="Symbol" w:hAnsi="Symbol"/>
      </w:rPr>
    </w:lvl>
    <w:lvl w:ilvl="1" w:tplc="36EC53B8">
      <w:start w:val="1"/>
      <w:numFmt w:val="bullet"/>
      <w:lvlText w:val="o"/>
      <w:lvlJc w:val="left"/>
      <w:pPr>
        <w:ind w:left="1440" w:hanging="360"/>
      </w:pPr>
      <w:rPr>
        <w:rFonts w:hint="default" w:ascii="Courier New" w:hAnsi="Courier New"/>
      </w:rPr>
    </w:lvl>
    <w:lvl w:ilvl="2" w:tplc="4E543D50">
      <w:start w:val="1"/>
      <w:numFmt w:val="bullet"/>
      <w:lvlText w:val=""/>
      <w:lvlJc w:val="left"/>
      <w:pPr>
        <w:ind w:left="2160" w:hanging="360"/>
      </w:pPr>
      <w:rPr>
        <w:rFonts w:hint="default" w:ascii="Wingdings" w:hAnsi="Wingdings"/>
      </w:rPr>
    </w:lvl>
    <w:lvl w:ilvl="3" w:tplc="79EAACB0">
      <w:start w:val="1"/>
      <w:numFmt w:val="bullet"/>
      <w:lvlText w:val=""/>
      <w:lvlJc w:val="left"/>
      <w:pPr>
        <w:ind w:left="2880" w:hanging="360"/>
      </w:pPr>
      <w:rPr>
        <w:rFonts w:hint="default" w:ascii="Symbol" w:hAnsi="Symbol"/>
      </w:rPr>
    </w:lvl>
    <w:lvl w:ilvl="4" w:tplc="7AC41A48">
      <w:start w:val="1"/>
      <w:numFmt w:val="bullet"/>
      <w:lvlText w:val="o"/>
      <w:lvlJc w:val="left"/>
      <w:pPr>
        <w:ind w:left="3600" w:hanging="360"/>
      </w:pPr>
      <w:rPr>
        <w:rFonts w:hint="default" w:ascii="Courier New" w:hAnsi="Courier New"/>
      </w:rPr>
    </w:lvl>
    <w:lvl w:ilvl="5" w:tplc="7BC24692">
      <w:start w:val="1"/>
      <w:numFmt w:val="bullet"/>
      <w:lvlText w:val=""/>
      <w:lvlJc w:val="left"/>
      <w:pPr>
        <w:ind w:left="4320" w:hanging="360"/>
      </w:pPr>
      <w:rPr>
        <w:rFonts w:hint="default" w:ascii="Wingdings" w:hAnsi="Wingdings"/>
      </w:rPr>
    </w:lvl>
    <w:lvl w:ilvl="6" w:tplc="A3DEF57A">
      <w:start w:val="1"/>
      <w:numFmt w:val="bullet"/>
      <w:lvlText w:val=""/>
      <w:lvlJc w:val="left"/>
      <w:pPr>
        <w:ind w:left="5040" w:hanging="360"/>
      </w:pPr>
      <w:rPr>
        <w:rFonts w:hint="default" w:ascii="Symbol" w:hAnsi="Symbol"/>
      </w:rPr>
    </w:lvl>
    <w:lvl w:ilvl="7" w:tplc="0F3CF1A2">
      <w:start w:val="1"/>
      <w:numFmt w:val="bullet"/>
      <w:lvlText w:val="o"/>
      <w:lvlJc w:val="left"/>
      <w:pPr>
        <w:ind w:left="5760" w:hanging="360"/>
      </w:pPr>
      <w:rPr>
        <w:rFonts w:hint="default" w:ascii="Courier New" w:hAnsi="Courier New"/>
      </w:rPr>
    </w:lvl>
    <w:lvl w:ilvl="8" w:tplc="8B34BFFA">
      <w:start w:val="1"/>
      <w:numFmt w:val="bullet"/>
      <w:lvlText w:val=""/>
      <w:lvlJc w:val="left"/>
      <w:pPr>
        <w:ind w:left="6480" w:hanging="360"/>
      </w:pPr>
      <w:rPr>
        <w:rFonts w:hint="default" w:ascii="Wingdings" w:hAnsi="Wingdings"/>
      </w:rPr>
    </w:lvl>
  </w:abstractNum>
  <w:abstractNum w:abstractNumId="151" w15:restartNumberingAfterBreak="0">
    <w:nsid w:val="673E5C3F"/>
    <w:multiLevelType w:val="hybridMultilevel"/>
    <w:tmpl w:val="7F6E26BC"/>
    <w:lvl w:ilvl="0" w:tplc="3CBC73D8">
      <w:start w:val="1"/>
      <w:numFmt w:val="bullet"/>
      <w:lvlText w:val="·"/>
      <w:lvlJc w:val="left"/>
      <w:pPr>
        <w:ind w:left="720" w:hanging="360"/>
      </w:pPr>
      <w:rPr>
        <w:rFonts w:hint="default" w:ascii="Symbol" w:hAnsi="Symbol"/>
      </w:rPr>
    </w:lvl>
    <w:lvl w:ilvl="1" w:tplc="A4C00090">
      <w:start w:val="1"/>
      <w:numFmt w:val="bullet"/>
      <w:lvlText w:val="o"/>
      <w:lvlJc w:val="left"/>
      <w:pPr>
        <w:ind w:left="1440" w:hanging="360"/>
      </w:pPr>
      <w:rPr>
        <w:rFonts w:hint="default" w:ascii="Courier New" w:hAnsi="Courier New"/>
      </w:rPr>
    </w:lvl>
    <w:lvl w:ilvl="2" w:tplc="FE849AD8">
      <w:start w:val="1"/>
      <w:numFmt w:val="bullet"/>
      <w:lvlText w:val=""/>
      <w:lvlJc w:val="left"/>
      <w:pPr>
        <w:ind w:left="2160" w:hanging="360"/>
      </w:pPr>
      <w:rPr>
        <w:rFonts w:hint="default" w:ascii="Wingdings" w:hAnsi="Wingdings"/>
      </w:rPr>
    </w:lvl>
    <w:lvl w:ilvl="3" w:tplc="BFEC7718">
      <w:start w:val="1"/>
      <w:numFmt w:val="bullet"/>
      <w:lvlText w:val=""/>
      <w:lvlJc w:val="left"/>
      <w:pPr>
        <w:ind w:left="2880" w:hanging="360"/>
      </w:pPr>
      <w:rPr>
        <w:rFonts w:hint="default" w:ascii="Symbol" w:hAnsi="Symbol"/>
      </w:rPr>
    </w:lvl>
    <w:lvl w:ilvl="4" w:tplc="3F367396">
      <w:start w:val="1"/>
      <w:numFmt w:val="bullet"/>
      <w:lvlText w:val="o"/>
      <w:lvlJc w:val="left"/>
      <w:pPr>
        <w:ind w:left="3600" w:hanging="360"/>
      </w:pPr>
      <w:rPr>
        <w:rFonts w:hint="default" w:ascii="Courier New" w:hAnsi="Courier New"/>
      </w:rPr>
    </w:lvl>
    <w:lvl w:ilvl="5" w:tplc="BD249AD2">
      <w:start w:val="1"/>
      <w:numFmt w:val="bullet"/>
      <w:lvlText w:val=""/>
      <w:lvlJc w:val="left"/>
      <w:pPr>
        <w:ind w:left="4320" w:hanging="360"/>
      </w:pPr>
      <w:rPr>
        <w:rFonts w:hint="default" w:ascii="Wingdings" w:hAnsi="Wingdings"/>
      </w:rPr>
    </w:lvl>
    <w:lvl w:ilvl="6" w:tplc="E1DC5C54">
      <w:start w:val="1"/>
      <w:numFmt w:val="bullet"/>
      <w:lvlText w:val=""/>
      <w:lvlJc w:val="left"/>
      <w:pPr>
        <w:ind w:left="5040" w:hanging="360"/>
      </w:pPr>
      <w:rPr>
        <w:rFonts w:hint="default" w:ascii="Symbol" w:hAnsi="Symbol"/>
      </w:rPr>
    </w:lvl>
    <w:lvl w:ilvl="7" w:tplc="8346A674">
      <w:start w:val="1"/>
      <w:numFmt w:val="bullet"/>
      <w:lvlText w:val="o"/>
      <w:lvlJc w:val="left"/>
      <w:pPr>
        <w:ind w:left="5760" w:hanging="360"/>
      </w:pPr>
      <w:rPr>
        <w:rFonts w:hint="default" w:ascii="Courier New" w:hAnsi="Courier New"/>
      </w:rPr>
    </w:lvl>
    <w:lvl w:ilvl="8" w:tplc="543AC770">
      <w:start w:val="1"/>
      <w:numFmt w:val="bullet"/>
      <w:lvlText w:val=""/>
      <w:lvlJc w:val="left"/>
      <w:pPr>
        <w:ind w:left="6480" w:hanging="360"/>
      </w:pPr>
      <w:rPr>
        <w:rFonts w:hint="default" w:ascii="Wingdings" w:hAnsi="Wingdings"/>
      </w:rPr>
    </w:lvl>
  </w:abstractNum>
  <w:abstractNum w:abstractNumId="152" w15:restartNumberingAfterBreak="0">
    <w:nsid w:val="673F300B"/>
    <w:multiLevelType w:val="multilevel"/>
    <w:tmpl w:val="BEBA5B3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53" w15:restartNumberingAfterBreak="0">
    <w:nsid w:val="68C64D12"/>
    <w:multiLevelType w:val="hybridMultilevel"/>
    <w:tmpl w:val="D10AFA3E"/>
    <w:lvl w:ilvl="0" w:tplc="7E783D24">
      <w:start w:val="1"/>
      <w:numFmt w:val="bullet"/>
      <w:lvlText w:val="-"/>
      <w:lvlJc w:val="left"/>
      <w:pPr>
        <w:ind w:left="1080" w:hanging="360"/>
      </w:pPr>
      <w:rPr>
        <w:rFonts w:hint="default" w:ascii="Arial" w:hAnsi="Arial"/>
      </w:rPr>
    </w:lvl>
    <w:lvl w:ilvl="1" w:tplc="240A0003" w:tentative="1">
      <w:start w:val="1"/>
      <w:numFmt w:val="bullet"/>
      <w:lvlText w:val="o"/>
      <w:lvlJc w:val="left"/>
      <w:pPr>
        <w:ind w:left="1800" w:hanging="360"/>
      </w:pPr>
      <w:rPr>
        <w:rFonts w:hint="default" w:ascii="Courier New" w:hAnsi="Courier New" w:cs="Courier New"/>
      </w:rPr>
    </w:lvl>
    <w:lvl w:ilvl="2" w:tplc="240A0005" w:tentative="1">
      <w:start w:val="1"/>
      <w:numFmt w:val="bullet"/>
      <w:lvlText w:val=""/>
      <w:lvlJc w:val="left"/>
      <w:pPr>
        <w:ind w:left="2520" w:hanging="360"/>
      </w:pPr>
      <w:rPr>
        <w:rFonts w:hint="default" w:ascii="Wingdings" w:hAnsi="Wingdings"/>
      </w:rPr>
    </w:lvl>
    <w:lvl w:ilvl="3" w:tplc="240A0001" w:tentative="1">
      <w:start w:val="1"/>
      <w:numFmt w:val="bullet"/>
      <w:lvlText w:val=""/>
      <w:lvlJc w:val="left"/>
      <w:pPr>
        <w:ind w:left="3240" w:hanging="360"/>
      </w:pPr>
      <w:rPr>
        <w:rFonts w:hint="default" w:ascii="Symbol" w:hAnsi="Symbol"/>
      </w:rPr>
    </w:lvl>
    <w:lvl w:ilvl="4" w:tplc="240A0003" w:tentative="1">
      <w:start w:val="1"/>
      <w:numFmt w:val="bullet"/>
      <w:lvlText w:val="o"/>
      <w:lvlJc w:val="left"/>
      <w:pPr>
        <w:ind w:left="3960" w:hanging="360"/>
      </w:pPr>
      <w:rPr>
        <w:rFonts w:hint="default" w:ascii="Courier New" w:hAnsi="Courier New" w:cs="Courier New"/>
      </w:rPr>
    </w:lvl>
    <w:lvl w:ilvl="5" w:tplc="240A0005" w:tentative="1">
      <w:start w:val="1"/>
      <w:numFmt w:val="bullet"/>
      <w:lvlText w:val=""/>
      <w:lvlJc w:val="left"/>
      <w:pPr>
        <w:ind w:left="4680" w:hanging="360"/>
      </w:pPr>
      <w:rPr>
        <w:rFonts w:hint="default" w:ascii="Wingdings" w:hAnsi="Wingdings"/>
      </w:rPr>
    </w:lvl>
    <w:lvl w:ilvl="6" w:tplc="240A0001" w:tentative="1">
      <w:start w:val="1"/>
      <w:numFmt w:val="bullet"/>
      <w:lvlText w:val=""/>
      <w:lvlJc w:val="left"/>
      <w:pPr>
        <w:ind w:left="5400" w:hanging="360"/>
      </w:pPr>
      <w:rPr>
        <w:rFonts w:hint="default" w:ascii="Symbol" w:hAnsi="Symbol"/>
      </w:rPr>
    </w:lvl>
    <w:lvl w:ilvl="7" w:tplc="240A0003" w:tentative="1">
      <w:start w:val="1"/>
      <w:numFmt w:val="bullet"/>
      <w:lvlText w:val="o"/>
      <w:lvlJc w:val="left"/>
      <w:pPr>
        <w:ind w:left="6120" w:hanging="360"/>
      </w:pPr>
      <w:rPr>
        <w:rFonts w:hint="default" w:ascii="Courier New" w:hAnsi="Courier New" w:cs="Courier New"/>
      </w:rPr>
    </w:lvl>
    <w:lvl w:ilvl="8" w:tplc="240A0005" w:tentative="1">
      <w:start w:val="1"/>
      <w:numFmt w:val="bullet"/>
      <w:lvlText w:val=""/>
      <w:lvlJc w:val="left"/>
      <w:pPr>
        <w:ind w:left="6840" w:hanging="360"/>
      </w:pPr>
      <w:rPr>
        <w:rFonts w:hint="default" w:ascii="Wingdings" w:hAnsi="Wingdings"/>
      </w:rPr>
    </w:lvl>
  </w:abstractNum>
  <w:abstractNum w:abstractNumId="154" w15:restartNumberingAfterBreak="0">
    <w:nsid w:val="690E0493"/>
    <w:multiLevelType w:val="multilevel"/>
    <w:tmpl w:val="6A500E6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55" w15:restartNumberingAfterBreak="0">
    <w:nsid w:val="6922A07A"/>
    <w:multiLevelType w:val="hybridMultilevel"/>
    <w:tmpl w:val="E5F0C67A"/>
    <w:lvl w:ilvl="0" w:tplc="D974B336">
      <w:start w:val="1"/>
      <w:numFmt w:val="bullet"/>
      <w:lvlText w:val="·"/>
      <w:lvlJc w:val="left"/>
      <w:pPr>
        <w:ind w:left="720" w:hanging="360"/>
      </w:pPr>
      <w:rPr>
        <w:rFonts w:hint="default" w:ascii="Symbol" w:hAnsi="Symbol"/>
      </w:rPr>
    </w:lvl>
    <w:lvl w:ilvl="1" w:tplc="CB7CDAE6">
      <w:start w:val="1"/>
      <w:numFmt w:val="bullet"/>
      <w:lvlText w:val="o"/>
      <w:lvlJc w:val="left"/>
      <w:pPr>
        <w:ind w:left="1440" w:hanging="360"/>
      </w:pPr>
      <w:rPr>
        <w:rFonts w:hint="default" w:ascii="Courier New" w:hAnsi="Courier New"/>
      </w:rPr>
    </w:lvl>
    <w:lvl w:ilvl="2" w:tplc="3CE8D9C0">
      <w:start w:val="1"/>
      <w:numFmt w:val="bullet"/>
      <w:lvlText w:val=""/>
      <w:lvlJc w:val="left"/>
      <w:pPr>
        <w:ind w:left="2160" w:hanging="360"/>
      </w:pPr>
      <w:rPr>
        <w:rFonts w:hint="default" w:ascii="Wingdings" w:hAnsi="Wingdings"/>
      </w:rPr>
    </w:lvl>
    <w:lvl w:ilvl="3" w:tplc="3FE226FA">
      <w:start w:val="1"/>
      <w:numFmt w:val="bullet"/>
      <w:lvlText w:val=""/>
      <w:lvlJc w:val="left"/>
      <w:pPr>
        <w:ind w:left="2880" w:hanging="360"/>
      </w:pPr>
      <w:rPr>
        <w:rFonts w:hint="default" w:ascii="Symbol" w:hAnsi="Symbol"/>
      </w:rPr>
    </w:lvl>
    <w:lvl w:ilvl="4" w:tplc="A678D996">
      <w:start w:val="1"/>
      <w:numFmt w:val="bullet"/>
      <w:lvlText w:val="o"/>
      <w:lvlJc w:val="left"/>
      <w:pPr>
        <w:ind w:left="3600" w:hanging="360"/>
      </w:pPr>
      <w:rPr>
        <w:rFonts w:hint="default" w:ascii="Courier New" w:hAnsi="Courier New"/>
      </w:rPr>
    </w:lvl>
    <w:lvl w:ilvl="5" w:tplc="FA065CDE">
      <w:start w:val="1"/>
      <w:numFmt w:val="bullet"/>
      <w:lvlText w:val=""/>
      <w:lvlJc w:val="left"/>
      <w:pPr>
        <w:ind w:left="4320" w:hanging="360"/>
      </w:pPr>
      <w:rPr>
        <w:rFonts w:hint="default" w:ascii="Wingdings" w:hAnsi="Wingdings"/>
      </w:rPr>
    </w:lvl>
    <w:lvl w:ilvl="6" w:tplc="32D80680">
      <w:start w:val="1"/>
      <w:numFmt w:val="bullet"/>
      <w:lvlText w:val=""/>
      <w:lvlJc w:val="left"/>
      <w:pPr>
        <w:ind w:left="5040" w:hanging="360"/>
      </w:pPr>
      <w:rPr>
        <w:rFonts w:hint="default" w:ascii="Symbol" w:hAnsi="Symbol"/>
      </w:rPr>
    </w:lvl>
    <w:lvl w:ilvl="7" w:tplc="CFFEF57C">
      <w:start w:val="1"/>
      <w:numFmt w:val="bullet"/>
      <w:lvlText w:val="o"/>
      <w:lvlJc w:val="left"/>
      <w:pPr>
        <w:ind w:left="5760" w:hanging="360"/>
      </w:pPr>
      <w:rPr>
        <w:rFonts w:hint="default" w:ascii="Courier New" w:hAnsi="Courier New"/>
      </w:rPr>
    </w:lvl>
    <w:lvl w:ilvl="8" w:tplc="4E8A85A2">
      <w:start w:val="1"/>
      <w:numFmt w:val="bullet"/>
      <w:lvlText w:val=""/>
      <w:lvlJc w:val="left"/>
      <w:pPr>
        <w:ind w:left="6480" w:hanging="360"/>
      </w:pPr>
      <w:rPr>
        <w:rFonts w:hint="default" w:ascii="Wingdings" w:hAnsi="Wingdings"/>
      </w:rPr>
    </w:lvl>
  </w:abstractNum>
  <w:abstractNum w:abstractNumId="156" w15:restartNumberingAfterBreak="0">
    <w:nsid w:val="6AC41E7F"/>
    <w:multiLevelType w:val="multilevel"/>
    <w:tmpl w:val="5C7A2D4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57" w15:restartNumberingAfterBreak="0">
    <w:nsid w:val="6DE94D9D"/>
    <w:multiLevelType w:val="multilevel"/>
    <w:tmpl w:val="9836BD8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58" w15:restartNumberingAfterBreak="0">
    <w:nsid w:val="6F706023"/>
    <w:multiLevelType w:val="multilevel"/>
    <w:tmpl w:val="E5BE3BD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59" w15:restartNumberingAfterBreak="0">
    <w:nsid w:val="70C15DFA"/>
    <w:multiLevelType w:val="multilevel"/>
    <w:tmpl w:val="0DCEFF3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60" w15:restartNumberingAfterBreak="0">
    <w:nsid w:val="70C6257C"/>
    <w:multiLevelType w:val="hybridMultilevel"/>
    <w:tmpl w:val="15085434"/>
    <w:lvl w:ilvl="0" w:tplc="ABFED538">
      <w:start w:val="1"/>
      <w:numFmt w:val="bullet"/>
      <w:lvlText w:val="·"/>
      <w:lvlJc w:val="left"/>
      <w:pPr>
        <w:ind w:left="720" w:hanging="360"/>
      </w:pPr>
      <w:rPr>
        <w:rFonts w:hint="default" w:ascii="Symbol" w:hAnsi="Symbol"/>
      </w:rPr>
    </w:lvl>
    <w:lvl w:ilvl="1" w:tplc="4C3E520A">
      <w:start w:val="1"/>
      <w:numFmt w:val="bullet"/>
      <w:lvlText w:val="o"/>
      <w:lvlJc w:val="left"/>
      <w:pPr>
        <w:ind w:left="1440" w:hanging="360"/>
      </w:pPr>
      <w:rPr>
        <w:rFonts w:hint="default" w:ascii="Courier New" w:hAnsi="Courier New"/>
      </w:rPr>
    </w:lvl>
    <w:lvl w:ilvl="2" w:tplc="CFB856BE">
      <w:start w:val="1"/>
      <w:numFmt w:val="bullet"/>
      <w:lvlText w:val=""/>
      <w:lvlJc w:val="left"/>
      <w:pPr>
        <w:ind w:left="2160" w:hanging="360"/>
      </w:pPr>
      <w:rPr>
        <w:rFonts w:hint="default" w:ascii="Wingdings" w:hAnsi="Wingdings"/>
      </w:rPr>
    </w:lvl>
    <w:lvl w:ilvl="3" w:tplc="100C23C0">
      <w:start w:val="1"/>
      <w:numFmt w:val="bullet"/>
      <w:lvlText w:val=""/>
      <w:lvlJc w:val="left"/>
      <w:pPr>
        <w:ind w:left="2880" w:hanging="360"/>
      </w:pPr>
      <w:rPr>
        <w:rFonts w:hint="default" w:ascii="Symbol" w:hAnsi="Symbol"/>
      </w:rPr>
    </w:lvl>
    <w:lvl w:ilvl="4" w:tplc="FC8061BC">
      <w:start w:val="1"/>
      <w:numFmt w:val="bullet"/>
      <w:lvlText w:val="o"/>
      <w:lvlJc w:val="left"/>
      <w:pPr>
        <w:ind w:left="3600" w:hanging="360"/>
      </w:pPr>
      <w:rPr>
        <w:rFonts w:hint="default" w:ascii="Courier New" w:hAnsi="Courier New"/>
      </w:rPr>
    </w:lvl>
    <w:lvl w:ilvl="5" w:tplc="FE220EBA">
      <w:start w:val="1"/>
      <w:numFmt w:val="bullet"/>
      <w:lvlText w:val=""/>
      <w:lvlJc w:val="left"/>
      <w:pPr>
        <w:ind w:left="4320" w:hanging="360"/>
      </w:pPr>
      <w:rPr>
        <w:rFonts w:hint="default" w:ascii="Wingdings" w:hAnsi="Wingdings"/>
      </w:rPr>
    </w:lvl>
    <w:lvl w:ilvl="6" w:tplc="3A7AE4F6">
      <w:start w:val="1"/>
      <w:numFmt w:val="bullet"/>
      <w:lvlText w:val=""/>
      <w:lvlJc w:val="left"/>
      <w:pPr>
        <w:ind w:left="5040" w:hanging="360"/>
      </w:pPr>
      <w:rPr>
        <w:rFonts w:hint="default" w:ascii="Symbol" w:hAnsi="Symbol"/>
      </w:rPr>
    </w:lvl>
    <w:lvl w:ilvl="7" w:tplc="56B27FEC">
      <w:start w:val="1"/>
      <w:numFmt w:val="bullet"/>
      <w:lvlText w:val="o"/>
      <w:lvlJc w:val="left"/>
      <w:pPr>
        <w:ind w:left="5760" w:hanging="360"/>
      </w:pPr>
      <w:rPr>
        <w:rFonts w:hint="default" w:ascii="Courier New" w:hAnsi="Courier New"/>
      </w:rPr>
    </w:lvl>
    <w:lvl w:ilvl="8" w:tplc="EE9ECB6C">
      <w:start w:val="1"/>
      <w:numFmt w:val="bullet"/>
      <w:lvlText w:val=""/>
      <w:lvlJc w:val="left"/>
      <w:pPr>
        <w:ind w:left="6480" w:hanging="360"/>
      </w:pPr>
      <w:rPr>
        <w:rFonts w:hint="default" w:ascii="Wingdings" w:hAnsi="Wingdings"/>
      </w:rPr>
    </w:lvl>
  </w:abstractNum>
  <w:abstractNum w:abstractNumId="161" w15:restartNumberingAfterBreak="0">
    <w:nsid w:val="71A223FF"/>
    <w:multiLevelType w:val="multilevel"/>
    <w:tmpl w:val="27BCA11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62" w15:restartNumberingAfterBreak="0">
    <w:nsid w:val="71D2494A"/>
    <w:multiLevelType w:val="multilevel"/>
    <w:tmpl w:val="D78C98C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63" w15:restartNumberingAfterBreak="0">
    <w:nsid w:val="72142110"/>
    <w:multiLevelType w:val="hybridMultilevel"/>
    <w:tmpl w:val="4BA2EE4C"/>
    <w:lvl w:ilvl="0" w:tplc="5A944508">
      <w:start w:val="1"/>
      <w:numFmt w:val="bullet"/>
      <w:lvlText w:val="·"/>
      <w:lvlJc w:val="left"/>
      <w:pPr>
        <w:ind w:left="720" w:hanging="360"/>
      </w:pPr>
      <w:rPr>
        <w:rFonts w:hint="default" w:ascii="Symbol" w:hAnsi="Symbol"/>
      </w:rPr>
    </w:lvl>
    <w:lvl w:ilvl="1" w:tplc="C3FAFFD2">
      <w:start w:val="1"/>
      <w:numFmt w:val="bullet"/>
      <w:lvlText w:val="o"/>
      <w:lvlJc w:val="left"/>
      <w:pPr>
        <w:ind w:left="1440" w:hanging="360"/>
      </w:pPr>
      <w:rPr>
        <w:rFonts w:hint="default" w:ascii="Courier New" w:hAnsi="Courier New"/>
      </w:rPr>
    </w:lvl>
    <w:lvl w:ilvl="2" w:tplc="AF84EC02">
      <w:start w:val="1"/>
      <w:numFmt w:val="bullet"/>
      <w:lvlText w:val=""/>
      <w:lvlJc w:val="left"/>
      <w:pPr>
        <w:ind w:left="2160" w:hanging="360"/>
      </w:pPr>
      <w:rPr>
        <w:rFonts w:hint="default" w:ascii="Wingdings" w:hAnsi="Wingdings"/>
      </w:rPr>
    </w:lvl>
    <w:lvl w:ilvl="3" w:tplc="BD6A4626">
      <w:start w:val="1"/>
      <w:numFmt w:val="bullet"/>
      <w:lvlText w:val=""/>
      <w:lvlJc w:val="left"/>
      <w:pPr>
        <w:ind w:left="2880" w:hanging="360"/>
      </w:pPr>
      <w:rPr>
        <w:rFonts w:hint="default" w:ascii="Symbol" w:hAnsi="Symbol"/>
      </w:rPr>
    </w:lvl>
    <w:lvl w:ilvl="4" w:tplc="9F26F422">
      <w:start w:val="1"/>
      <w:numFmt w:val="bullet"/>
      <w:lvlText w:val="o"/>
      <w:lvlJc w:val="left"/>
      <w:pPr>
        <w:ind w:left="3600" w:hanging="360"/>
      </w:pPr>
      <w:rPr>
        <w:rFonts w:hint="default" w:ascii="Courier New" w:hAnsi="Courier New"/>
      </w:rPr>
    </w:lvl>
    <w:lvl w:ilvl="5" w:tplc="8304A846">
      <w:start w:val="1"/>
      <w:numFmt w:val="bullet"/>
      <w:lvlText w:val=""/>
      <w:lvlJc w:val="left"/>
      <w:pPr>
        <w:ind w:left="4320" w:hanging="360"/>
      </w:pPr>
      <w:rPr>
        <w:rFonts w:hint="default" w:ascii="Wingdings" w:hAnsi="Wingdings"/>
      </w:rPr>
    </w:lvl>
    <w:lvl w:ilvl="6" w:tplc="16FC1CB2">
      <w:start w:val="1"/>
      <w:numFmt w:val="bullet"/>
      <w:lvlText w:val=""/>
      <w:lvlJc w:val="left"/>
      <w:pPr>
        <w:ind w:left="5040" w:hanging="360"/>
      </w:pPr>
      <w:rPr>
        <w:rFonts w:hint="default" w:ascii="Symbol" w:hAnsi="Symbol"/>
      </w:rPr>
    </w:lvl>
    <w:lvl w:ilvl="7" w:tplc="540E2A36">
      <w:start w:val="1"/>
      <w:numFmt w:val="bullet"/>
      <w:lvlText w:val="o"/>
      <w:lvlJc w:val="left"/>
      <w:pPr>
        <w:ind w:left="5760" w:hanging="360"/>
      </w:pPr>
      <w:rPr>
        <w:rFonts w:hint="default" w:ascii="Courier New" w:hAnsi="Courier New"/>
      </w:rPr>
    </w:lvl>
    <w:lvl w:ilvl="8" w:tplc="9D5A043E">
      <w:start w:val="1"/>
      <w:numFmt w:val="bullet"/>
      <w:lvlText w:val=""/>
      <w:lvlJc w:val="left"/>
      <w:pPr>
        <w:ind w:left="6480" w:hanging="360"/>
      </w:pPr>
      <w:rPr>
        <w:rFonts w:hint="default" w:ascii="Wingdings" w:hAnsi="Wingdings"/>
      </w:rPr>
    </w:lvl>
  </w:abstractNum>
  <w:abstractNum w:abstractNumId="164" w15:restartNumberingAfterBreak="0">
    <w:nsid w:val="72162FCE"/>
    <w:multiLevelType w:val="multilevel"/>
    <w:tmpl w:val="FFFFFFFF"/>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165" w15:restartNumberingAfterBreak="0">
    <w:nsid w:val="73334D90"/>
    <w:multiLevelType w:val="hybridMultilevel"/>
    <w:tmpl w:val="C6FA1120"/>
    <w:lvl w:ilvl="0" w:tplc="240A0017">
      <w:start w:val="1"/>
      <w:numFmt w:val="lowerLetter"/>
      <w:lvlText w:val="%1)"/>
      <w:lvlJc w:val="left"/>
      <w:pPr>
        <w:ind w:left="720" w:hanging="360"/>
      </w:pPr>
    </w:lvl>
    <w:lvl w:ilvl="1" w:tplc="240A0019">
      <w:start w:val="1"/>
      <w:numFmt w:val="lowerLetter"/>
      <w:lvlText w:val="%2."/>
      <w:lvlJc w:val="left"/>
      <w:pPr>
        <w:ind w:left="786"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6" w15:restartNumberingAfterBreak="0">
    <w:nsid w:val="744B4034"/>
    <w:multiLevelType w:val="multilevel"/>
    <w:tmpl w:val="7BFCE83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67" w15:restartNumberingAfterBreak="0">
    <w:nsid w:val="752853DA"/>
    <w:multiLevelType w:val="multilevel"/>
    <w:tmpl w:val="2CD09C7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68" w15:restartNumberingAfterBreak="0">
    <w:nsid w:val="7549D4F1"/>
    <w:multiLevelType w:val="hybridMultilevel"/>
    <w:tmpl w:val="A156D31A"/>
    <w:lvl w:ilvl="0" w:tplc="1F5A22A4">
      <w:start w:val="1"/>
      <w:numFmt w:val="bullet"/>
      <w:lvlText w:val="·"/>
      <w:lvlJc w:val="left"/>
      <w:pPr>
        <w:ind w:left="720" w:hanging="360"/>
      </w:pPr>
      <w:rPr>
        <w:rFonts w:hint="default" w:ascii="Symbol" w:hAnsi="Symbol"/>
      </w:rPr>
    </w:lvl>
    <w:lvl w:ilvl="1" w:tplc="5DA629DE">
      <w:start w:val="1"/>
      <w:numFmt w:val="bullet"/>
      <w:lvlText w:val="o"/>
      <w:lvlJc w:val="left"/>
      <w:pPr>
        <w:ind w:left="1440" w:hanging="360"/>
      </w:pPr>
      <w:rPr>
        <w:rFonts w:hint="default" w:ascii="Courier New" w:hAnsi="Courier New"/>
      </w:rPr>
    </w:lvl>
    <w:lvl w:ilvl="2" w:tplc="B07E5188">
      <w:start w:val="1"/>
      <w:numFmt w:val="bullet"/>
      <w:lvlText w:val=""/>
      <w:lvlJc w:val="left"/>
      <w:pPr>
        <w:ind w:left="2160" w:hanging="360"/>
      </w:pPr>
      <w:rPr>
        <w:rFonts w:hint="default" w:ascii="Wingdings" w:hAnsi="Wingdings"/>
      </w:rPr>
    </w:lvl>
    <w:lvl w:ilvl="3" w:tplc="2E4438C6">
      <w:start w:val="1"/>
      <w:numFmt w:val="bullet"/>
      <w:lvlText w:val=""/>
      <w:lvlJc w:val="left"/>
      <w:pPr>
        <w:ind w:left="2880" w:hanging="360"/>
      </w:pPr>
      <w:rPr>
        <w:rFonts w:hint="default" w:ascii="Symbol" w:hAnsi="Symbol"/>
      </w:rPr>
    </w:lvl>
    <w:lvl w:ilvl="4" w:tplc="89B684E4">
      <w:start w:val="1"/>
      <w:numFmt w:val="bullet"/>
      <w:lvlText w:val="o"/>
      <w:lvlJc w:val="left"/>
      <w:pPr>
        <w:ind w:left="3600" w:hanging="360"/>
      </w:pPr>
      <w:rPr>
        <w:rFonts w:hint="default" w:ascii="Courier New" w:hAnsi="Courier New"/>
      </w:rPr>
    </w:lvl>
    <w:lvl w:ilvl="5" w:tplc="9B10519C">
      <w:start w:val="1"/>
      <w:numFmt w:val="bullet"/>
      <w:lvlText w:val=""/>
      <w:lvlJc w:val="left"/>
      <w:pPr>
        <w:ind w:left="4320" w:hanging="360"/>
      </w:pPr>
      <w:rPr>
        <w:rFonts w:hint="default" w:ascii="Wingdings" w:hAnsi="Wingdings"/>
      </w:rPr>
    </w:lvl>
    <w:lvl w:ilvl="6" w:tplc="53C2CDF0">
      <w:start w:val="1"/>
      <w:numFmt w:val="bullet"/>
      <w:lvlText w:val=""/>
      <w:lvlJc w:val="left"/>
      <w:pPr>
        <w:ind w:left="5040" w:hanging="360"/>
      </w:pPr>
      <w:rPr>
        <w:rFonts w:hint="default" w:ascii="Symbol" w:hAnsi="Symbol"/>
      </w:rPr>
    </w:lvl>
    <w:lvl w:ilvl="7" w:tplc="195EA0BE">
      <w:start w:val="1"/>
      <w:numFmt w:val="bullet"/>
      <w:lvlText w:val="o"/>
      <w:lvlJc w:val="left"/>
      <w:pPr>
        <w:ind w:left="5760" w:hanging="360"/>
      </w:pPr>
      <w:rPr>
        <w:rFonts w:hint="default" w:ascii="Courier New" w:hAnsi="Courier New"/>
      </w:rPr>
    </w:lvl>
    <w:lvl w:ilvl="8" w:tplc="0A78E604">
      <w:start w:val="1"/>
      <w:numFmt w:val="bullet"/>
      <w:lvlText w:val=""/>
      <w:lvlJc w:val="left"/>
      <w:pPr>
        <w:ind w:left="6480" w:hanging="360"/>
      </w:pPr>
      <w:rPr>
        <w:rFonts w:hint="default" w:ascii="Wingdings" w:hAnsi="Wingdings"/>
      </w:rPr>
    </w:lvl>
  </w:abstractNum>
  <w:abstractNum w:abstractNumId="169" w15:restartNumberingAfterBreak="0">
    <w:nsid w:val="76420B61"/>
    <w:multiLevelType w:val="hybridMultilevel"/>
    <w:tmpl w:val="4DF05910"/>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170" w15:restartNumberingAfterBreak="0">
    <w:nsid w:val="76637F0F"/>
    <w:multiLevelType w:val="multilevel"/>
    <w:tmpl w:val="8850F4C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71" w15:restartNumberingAfterBreak="0">
    <w:nsid w:val="77390713"/>
    <w:multiLevelType w:val="multilevel"/>
    <w:tmpl w:val="45AC30EC"/>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72" w15:restartNumberingAfterBreak="0">
    <w:nsid w:val="77BB1766"/>
    <w:multiLevelType w:val="multilevel"/>
    <w:tmpl w:val="D768610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73" w15:restartNumberingAfterBreak="0">
    <w:nsid w:val="792B0661"/>
    <w:multiLevelType w:val="hybridMultilevel"/>
    <w:tmpl w:val="3C68B472"/>
    <w:lvl w:ilvl="0" w:tplc="EBC6B582">
      <w:start w:val="1"/>
      <w:numFmt w:val="bullet"/>
      <w:lvlText w:val="·"/>
      <w:lvlJc w:val="left"/>
      <w:pPr>
        <w:ind w:left="720" w:hanging="360"/>
      </w:pPr>
      <w:rPr>
        <w:rFonts w:hint="default" w:ascii="Symbol" w:hAnsi="Symbol"/>
      </w:rPr>
    </w:lvl>
    <w:lvl w:ilvl="1" w:tplc="E69A422A">
      <w:start w:val="1"/>
      <w:numFmt w:val="bullet"/>
      <w:lvlText w:val="o"/>
      <w:lvlJc w:val="left"/>
      <w:pPr>
        <w:ind w:left="1440" w:hanging="360"/>
      </w:pPr>
      <w:rPr>
        <w:rFonts w:hint="default" w:ascii="Courier New" w:hAnsi="Courier New"/>
      </w:rPr>
    </w:lvl>
    <w:lvl w:ilvl="2" w:tplc="C71ABA20">
      <w:start w:val="1"/>
      <w:numFmt w:val="bullet"/>
      <w:lvlText w:val=""/>
      <w:lvlJc w:val="left"/>
      <w:pPr>
        <w:ind w:left="2160" w:hanging="360"/>
      </w:pPr>
      <w:rPr>
        <w:rFonts w:hint="default" w:ascii="Wingdings" w:hAnsi="Wingdings"/>
      </w:rPr>
    </w:lvl>
    <w:lvl w:ilvl="3" w:tplc="16C49A5E">
      <w:start w:val="1"/>
      <w:numFmt w:val="bullet"/>
      <w:lvlText w:val=""/>
      <w:lvlJc w:val="left"/>
      <w:pPr>
        <w:ind w:left="2880" w:hanging="360"/>
      </w:pPr>
      <w:rPr>
        <w:rFonts w:hint="default" w:ascii="Symbol" w:hAnsi="Symbol"/>
      </w:rPr>
    </w:lvl>
    <w:lvl w:ilvl="4" w:tplc="B7CCB2BC">
      <w:start w:val="1"/>
      <w:numFmt w:val="bullet"/>
      <w:lvlText w:val="o"/>
      <w:lvlJc w:val="left"/>
      <w:pPr>
        <w:ind w:left="3600" w:hanging="360"/>
      </w:pPr>
      <w:rPr>
        <w:rFonts w:hint="default" w:ascii="Courier New" w:hAnsi="Courier New"/>
      </w:rPr>
    </w:lvl>
    <w:lvl w:ilvl="5" w:tplc="5E66E34C">
      <w:start w:val="1"/>
      <w:numFmt w:val="bullet"/>
      <w:lvlText w:val=""/>
      <w:lvlJc w:val="left"/>
      <w:pPr>
        <w:ind w:left="4320" w:hanging="360"/>
      </w:pPr>
      <w:rPr>
        <w:rFonts w:hint="default" w:ascii="Wingdings" w:hAnsi="Wingdings"/>
      </w:rPr>
    </w:lvl>
    <w:lvl w:ilvl="6" w:tplc="5724765E">
      <w:start w:val="1"/>
      <w:numFmt w:val="bullet"/>
      <w:lvlText w:val=""/>
      <w:lvlJc w:val="left"/>
      <w:pPr>
        <w:ind w:left="5040" w:hanging="360"/>
      </w:pPr>
      <w:rPr>
        <w:rFonts w:hint="default" w:ascii="Symbol" w:hAnsi="Symbol"/>
      </w:rPr>
    </w:lvl>
    <w:lvl w:ilvl="7" w:tplc="6944ABD8">
      <w:start w:val="1"/>
      <w:numFmt w:val="bullet"/>
      <w:lvlText w:val="o"/>
      <w:lvlJc w:val="left"/>
      <w:pPr>
        <w:ind w:left="5760" w:hanging="360"/>
      </w:pPr>
      <w:rPr>
        <w:rFonts w:hint="default" w:ascii="Courier New" w:hAnsi="Courier New"/>
      </w:rPr>
    </w:lvl>
    <w:lvl w:ilvl="8" w:tplc="314C782E">
      <w:start w:val="1"/>
      <w:numFmt w:val="bullet"/>
      <w:lvlText w:val=""/>
      <w:lvlJc w:val="left"/>
      <w:pPr>
        <w:ind w:left="6480" w:hanging="360"/>
      </w:pPr>
      <w:rPr>
        <w:rFonts w:hint="default" w:ascii="Wingdings" w:hAnsi="Wingdings"/>
      </w:rPr>
    </w:lvl>
  </w:abstractNum>
  <w:abstractNum w:abstractNumId="174" w15:restartNumberingAfterBreak="0">
    <w:nsid w:val="795878BD"/>
    <w:multiLevelType w:val="multilevel"/>
    <w:tmpl w:val="9EF8238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75" w15:restartNumberingAfterBreak="0">
    <w:nsid w:val="7AE859A5"/>
    <w:multiLevelType w:val="multilevel"/>
    <w:tmpl w:val="C4A4752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76" w15:restartNumberingAfterBreak="0">
    <w:nsid w:val="7B85036A"/>
    <w:multiLevelType w:val="multilevel"/>
    <w:tmpl w:val="4584411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77" w15:restartNumberingAfterBreak="0">
    <w:nsid w:val="7BAE06D0"/>
    <w:multiLevelType w:val="multilevel"/>
    <w:tmpl w:val="1E8E76F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78" w15:restartNumberingAfterBreak="0">
    <w:nsid w:val="7C1A4F62"/>
    <w:multiLevelType w:val="multilevel"/>
    <w:tmpl w:val="676E409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79" w15:restartNumberingAfterBreak="0">
    <w:nsid w:val="7CD60302"/>
    <w:multiLevelType w:val="multilevel"/>
    <w:tmpl w:val="4142040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80" w15:restartNumberingAfterBreak="0">
    <w:nsid w:val="7CFD0633"/>
    <w:multiLevelType w:val="hybridMultilevel"/>
    <w:tmpl w:val="BC9E9434"/>
    <w:lvl w:ilvl="0" w:tplc="12E64398">
      <w:start w:val="1"/>
      <w:numFmt w:val="bullet"/>
      <w:lvlText w:val="·"/>
      <w:lvlJc w:val="left"/>
      <w:pPr>
        <w:ind w:left="720" w:hanging="360"/>
      </w:pPr>
      <w:rPr>
        <w:rFonts w:hint="default" w:ascii="Symbol" w:hAnsi="Symbol"/>
      </w:rPr>
    </w:lvl>
    <w:lvl w:ilvl="1" w:tplc="B1D4ACE0">
      <w:start w:val="1"/>
      <w:numFmt w:val="bullet"/>
      <w:lvlText w:val="o"/>
      <w:lvlJc w:val="left"/>
      <w:pPr>
        <w:ind w:left="1440" w:hanging="360"/>
      </w:pPr>
      <w:rPr>
        <w:rFonts w:hint="default" w:ascii="Courier New" w:hAnsi="Courier New"/>
      </w:rPr>
    </w:lvl>
    <w:lvl w:ilvl="2" w:tplc="9C54DE72">
      <w:start w:val="1"/>
      <w:numFmt w:val="bullet"/>
      <w:lvlText w:val=""/>
      <w:lvlJc w:val="left"/>
      <w:pPr>
        <w:ind w:left="2160" w:hanging="360"/>
      </w:pPr>
      <w:rPr>
        <w:rFonts w:hint="default" w:ascii="Wingdings" w:hAnsi="Wingdings"/>
      </w:rPr>
    </w:lvl>
    <w:lvl w:ilvl="3" w:tplc="6A861144">
      <w:start w:val="1"/>
      <w:numFmt w:val="bullet"/>
      <w:lvlText w:val=""/>
      <w:lvlJc w:val="left"/>
      <w:pPr>
        <w:ind w:left="2880" w:hanging="360"/>
      </w:pPr>
      <w:rPr>
        <w:rFonts w:hint="default" w:ascii="Symbol" w:hAnsi="Symbol"/>
      </w:rPr>
    </w:lvl>
    <w:lvl w:ilvl="4" w:tplc="D764AEAA">
      <w:start w:val="1"/>
      <w:numFmt w:val="bullet"/>
      <w:lvlText w:val="o"/>
      <w:lvlJc w:val="left"/>
      <w:pPr>
        <w:ind w:left="3600" w:hanging="360"/>
      </w:pPr>
      <w:rPr>
        <w:rFonts w:hint="default" w:ascii="Courier New" w:hAnsi="Courier New"/>
      </w:rPr>
    </w:lvl>
    <w:lvl w:ilvl="5" w:tplc="1CB6D96C">
      <w:start w:val="1"/>
      <w:numFmt w:val="bullet"/>
      <w:lvlText w:val=""/>
      <w:lvlJc w:val="left"/>
      <w:pPr>
        <w:ind w:left="4320" w:hanging="360"/>
      </w:pPr>
      <w:rPr>
        <w:rFonts w:hint="default" w:ascii="Wingdings" w:hAnsi="Wingdings"/>
      </w:rPr>
    </w:lvl>
    <w:lvl w:ilvl="6" w:tplc="C3DEB76E">
      <w:start w:val="1"/>
      <w:numFmt w:val="bullet"/>
      <w:lvlText w:val=""/>
      <w:lvlJc w:val="left"/>
      <w:pPr>
        <w:ind w:left="5040" w:hanging="360"/>
      </w:pPr>
      <w:rPr>
        <w:rFonts w:hint="default" w:ascii="Symbol" w:hAnsi="Symbol"/>
      </w:rPr>
    </w:lvl>
    <w:lvl w:ilvl="7" w:tplc="859C1158">
      <w:start w:val="1"/>
      <w:numFmt w:val="bullet"/>
      <w:lvlText w:val="o"/>
      <w:lvlJc w:val="left"/>
      <w:pPr>
        <w:ind w:left="5760" w:hanging="360"/>
      </w:pPr>
      <w:rPr>
        <w:rFonts w:hint="default" w:ascii="Courier New" w:hAnsi="Courier New"/>
      </w:rPr>
    </w:lvl>
    <w:lvl w:ilvl="8" w:tplc="C2C45D76">
      <w:start w:val="1"/>
      <w:numFmt w:val="bullet"/>
      <w:lvlText w:val=""/>
      <w:lvlJc w:val="left"/>
      <w:pPr>
        <w:ind w:left="6480" w:hanging="360"/>
      </w:pPr>
      <w:rPr>
        <w:rFonts w:hint="default" w:ascii="Wingdings" w:hAnsi="Wingdings"/>
      </w:rPr>
    </w:lvl>
  </w:abstractNum>
  <w:abstractNum w:abstractNumId="181" w15:restartNumberingAfterBreak="0">
    <w:nsid w:val="7D5E6519"/>
    <w:multiLevelType w:val="hybridMultilevel"/>
    <w:tmpl w:val="8F0078B4"/>
    <w:lvl w:ilvl="0" w:tplc="7E783D24">
      <w:start w:val="1"/>
      <w:numFmt w:val="bullet"/>
      <w:lvlText w:val="-"/>
      <w:lvlJc w:val="left"/>
      <w:pPr>
        <w:ind w:left="1080" w:hanging="360"/>
      </w:pPr>
      <w:rPr>
        <w:rFonts w:hint="default" w:ascii="Arial" w:hAnsi="Arial"/>
      </w:rPr>
    </w:lvl>
    <w:lvl w:ilvl="1" w:tplc="240A0003" w:tentative="1">
      <w:start w:val="1"/>
      <w:numFmt w:val="bullet"/>
      <w:lvlText w:val="o"/>
      <w:lvlJc w:val="left"/>
      <w:pPr>
        <w:ind w:left="1800" w:hanging="360"/>
      </w:pPr>
      <w:rPr>
        <w:rFonts w:hint="default" w:ascii="Courier New" w:hAnsi="Courier New" w:cs="Courier New"/>
      </w:rPr>
    </w:lvl>
    <w:lvl w:ilvl="2" w:tplc="240A0005" w:tentative="1">
      <w:start w:val="1"/>
      <w:numFmt w:val="bullet"/>
      <w:lvlText w:val=""/>
      <w:lvlJc w:val="left"/>
      <w:pPr>
        <w:ind w:left="2520" w:hanging="360"/>
      </w:pPr>
      <w:rPr>
        <w:rFonts w:hint="default" w:ascii="Wingdings" w:hAnsi="Wingdings"/>
      </w:rPr>
    </w:lvl>
    <w:lvl w:ilvl="3" w:tplc="240A0001" w:tentative="1">
      <w:start w:val="1"/>
      <w:numFmt w:val="bullet"/>
      <w:lvlText w:val=""/>
      <w:lvlJc w:val="left"/>
      <w:pPr>
        <w:ind w:left="3240" w:hanging="360"/>
      </w:pPr>
      <w:rPr>
        <w:rFonts w:hint="default" w:ascii="Symbol" w:hAnsi="Symbol"/>
      </w:rPr>
    </w:lvl>
    <w:lvl w:ilvl="4" w:tplc="240A0003" w:tentative="1">
      <w:start w:val="1"/>
      <w:numFmt w:val="bullet"/>
      <w:lvlText w:val="o"/>
      <w:lvlJc w:val="left"/>
      <w:pPr>
        <w:ind w:left="3960" w:hanging="360"/>
      </w:pPr>
      <w:rPr>
        <w:rFonts w:hint="default" w:ascii="Courier New" w:hAnsi="Courier New" w:cs="Courier New"/>
      </w:rPr>
    </w:lvl>
    <w:lvl w:ilvl="5" w:tplc="240A0005" w:tentative="1">
      <w:start w:val="1"/>
      <w:numFmt w:val="bullet"/>
      <w:lvlText w:val=""/>
      <w:lvlJc w:val="left"/>
      <w:pPr>
        <w:ind w:left="4680" w:hanging="360"/>
      </w:pPr>
      <w:rPr>
        <w:rFonts w:hint="default" w:ascii="Wingdings" w:hAnsi="Wingdings"/>
      </w:rPr>
    </w:lvl>
    <w:lvl w:ilvl="6" w:tplc="240A0001" w:tentative="1">
      <w:start w:val="1"/>
      <w:numFmt w:val="bullet"/>
      <w:lvlText w:val=""/>
      <w:lvlJc w:val="left"/>
      <w:pPr>
        <w:ind w:left="5400" w:hanging="360"/>
      </w:pPr>
      <w:rPr>
        <w:rFonts w:hint="default" w:ascii="Symbol" w:hAnsi="Symbol"/>
      </w:rPr>
    </w:lvl>
    <w:lvl w:ilvl="7" w:tplc="240A0003" w:tentative="1">
      <w:start w:val="1"/>
      <w:numFmt w:val="bullet"/>
      <w:lvlText w:val="o"/>
      <w:lvlJc w:val="left"/>
      <w:pPr>
        <w:ind w:left="6120" w:hanging="360"/>
      </w:pPr>
      <w:rPr>
        <w:rFonts w:hint="default" w:ascii="Courier New" w:hAnsi="Courier New" w:cs="Courier New"/>
      </w:rPr>
    </w:lvl>
    <w:lvl w:ilvl="8" w:tplc="240A0005" w:tentative="1">
      <w:start w:val="1"/>
      <w:numFmt w:val="bullet"/>
      <w:lvlText w:val=""/>
      <w:lvlJc w:val="left"/>
      <w:pPr>
        <w:ind w:left="6840" w:hanging="360"/>
      </w:pPr>
      <w:rPr>
        <w:rFonts w:hint="default" w:ascii="Wingdings" w:hAnsi="Wingdings"/>
      </w:rPr>
    </w:lvl>
  </w:abstractNum>
  <w:abstractNum w:abstractNumId="182" w15:restartNumberingAfterBreak="0">
    <w:nsid w:val="7DBCB97A"/>
    <w:multiLevelType w:val="hybridMultilevel"/>
    <w:tmpl w:val="0B7C10A4"/>
    <w:lvl w:ilvl="0" w:tplc="D6F89746">
      <w:start w:val="1"/>
      <w:numFmt w:val="bullet"/>
      <w:lvlText w:val="·"/>
      <w:lvlJc w:val="left"/>
      <w:pPr>
        <w:ind w:left="720" w:hanging="360"/>
      </w:pPr>
      <w:rPr>
        <w:rFonts w:hint="default" w:ascii="Symbol" w:hAnsi="Symbol"/>
      </w:rPr>
    </w:lvl>
    <w:lvl w:ilvl="1" w:tplc="E17256F4">
      <w:start w:val="1"/>
      <w:numFmt w:val="bullet"/>
      <w:lvlText w:val="o"/>
      <w:lvlJc w:val="left"/>
      <w:pPr>
        <w:ind w:left="1440" w:hanging="360"/>
      </w:pPr>
      <w:rPr>
        <w:rFonts w:hint="default" w:ascii="Courier New" w:hAnsi="Courier New"/>
      </w:rPr>
    </w:lvl>
    <w:lvl w:ilvl="2" w:tplc="59E62F18">
      <w:start w:val="1"/>
      <w:numFmt w:val="bullet"/>
      <w:lvlText w:val=""/>
      <w:lvlJc w:val="left"/>
      <w:pPr>
        <w:ind w:left="2160" w:hanging="360"/>
      </w:pPr>
      <w:rPr>
        <w:rFonts w:hint="default" w:ascii="Wingdings" w:hAnsi="Wingdings"/>
      </w:rPr>
    </w:lvl>
    <w:lvl w:ilvl="3" w:tplc="F6164566">
      <w:start w:val="1"/>
      <w:numFmt w:val="bullet"/>
      <w:lvlText w:val=""/>
      <w:lvlJc w:val="left"/>
      <w:pPr>
        <w:ind w:left="2880" w:hanging="360"/>
      </w:pPr>
      <w:rPr>
        <w:rFonts w:hint="default" w:ascii="Symbol" w:hAnsi="Symbol"/>
      </w:rPr>
    </w:lvl>
    <w:lvl w:ilvl="4" w:tplc="D18460E8">
      <w:start w:val="1"/>
      <w:numFmt w:val="bullet"/>
      <w:lvlText w:val="o"/>
      <w:lvlJc w:val="left"/>
      <w:pPr>
        <w:ind w:left="3600" w:hanging="360"/>
      </w:pPr>
      <w:rPr>
        <w:rFonts w:hint="default" w:ascii="Courier New" w:hAnsi="Courier New"/>
      </w:rPr>
    </w:lvl>
    <w:lvl w:ilvl="5" w:tplc="16983466">
      <w:start w:val="1"/>
      <w:numFmt w:val="bullet"/>
      <w:lvlText w:val=""/>
      <w:lvlJc w:val="left"/>
      <w:pPr>
        <w:ind w:left="4320" w:hanging="360"/>
      </w:pPr>
      <w:rPr>
        <w:rFonts w:hint="default" w:ascii="Wingdings" w:hAnsi="Wingdings"/>
      </w:rPr>
    </w:lvl>
    <w:lvl w:ilvl="6" w:tplc="7CB22B7C">
      <w:start w:val="1"/>
      <w:numFmt w:val="bullet"/>
      <w:lvlText w:val=""/>
      <w:lvlJc w:val="left"/>
      <w:pPr>
        <w:ind w:left="5040" w:hanging="360"/>
      </w:pPr>
      <w:rPr>
        <w:rFonts w:hint="default" w:ascii="Symbol" w:hAnsi="Symbol"/>
      </w:rPr>
    </w:lvl>
    <w:lvl w:ilvl="7" w:tplc="B46C2022">
      <w:start w:val="1"/>
      <w:numFmt w:val="bullet"/>
      <w:lvlText w:val="o"/>
      <w:lvlJc w:val="left"/>
      <w:pPr>
        <w:ind w:left="5760" w:hanging="360"/>
      </w:pPr>
      <w:rPr>
        <w:rFonts w:hint="default" w:ascii="Courier New" w:hAnsi="Courier New"/>
      </w:rPr>
    </w:lvl>
    <w:lvl w:ilvl="8" w:tplc="0B0E7756">
      <w:start w:val="1"/>
      <w:numFmt w:val="bullet"/>
      <w:lvlText w:val=""/>
      <w:lvlJc w:val="left"/>
      <w:pPr>
        <w:ind w:left="6480" w:hanging="360"/>
      </w:pPr>
      <w:rPr>
        <w:rFonts w:hint="default" w:ascii="Wingdings" w:hAnsi="Wingdings"/>
      </w:rPr>
    </w:lvl>
  </w:abstractNum>
  <w:abstractNum w:abstractNumId="183" w15:restartNumberingAfterBreak="0">
    <w:nsid w:val="7E6C3919"/>
    <w:multiLevelType w:val="hybridMultilevel"/>
    <w:tmpl w:val="6D109616"/>
    <w:lvl w:ilvl="0" w:tplc="A426D1BE">
      <w:numFmt w:val="bullet"/>
      <w:lvlText w:val=""/>
      <w:lvlJc w:val="left"/>
      <w:pPr>
        <w:ind w:left="720" w:hanging="360"/>
      </w:pPr>
      <w:rPr>
        <w:rFonts w:hint="default" w:ascii="Symbol" w:hAnsi="Symbol" w:eastAsiaTheme="minorHAnsi" w:cstheme="minorBidi"/>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84" w15:restartNumberingAfterBreak="0">
    <w:nsid w:val="7E9872F4"/>
    <w:multiLevelType w:val="multilevel"/>
    <w:tmpl w:val="A5D8F32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85" w15:restartNumberingAfterBreak="0">
    <w:nsid w:val="7F176150"/>
    <w:multiLevelType w:val="hybridMultilevel"/>
    <w:tmpl w:val="667C17E8"/>
    <w:lvl w:ilvl="0" w:tplc="080A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186" w15:restartNumberingAfterBreak="0">
    <w:nsid w:val="7F472D0E"/>
    <w:multiLevelType w:val="multilevel"/>
    <w:tmpl w:val="611CE50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num w:numId="1" w16cid:durableId="530996336">
    <w:abstractNumId w:val="24"/>
  </w:num>
  <w:num w:numId="2" w16cid:durableId="1273854354">
    <w:abstractNumId w:val="48"/>
  </w:num>
  <w:num w:numId="3" w16cid:durableId="1085951493">
    <w:abstractNumId w:val="82"/>
  </w:num>
  <w:num w:numId="4" w16cid:durableId="2100368445">
    <w:abstractNumId w:val="168"/>
  </w:num>
  <w:num w:numId="5" w16cid:durableId="1109131332">
    <w:abstractNumId w:val="90"/>
  </w:num>
  <w:num w:numId="6" w16cid:durableId="411202686">
    <w:abstractNumId w:val="46"/>
  </w:num>
  <w:num w:numId="7" w16cid:durableId="1904678574">
    <w:abstractNumId w:val="136"/>
  </w:num>
  <w:num w:numId="8" w16cid:durableId="1357004795">
    <w:abstractNumId w:val="47"/>
  </w:num>
  <w:num w:numId="9" w16cid:durableId="1450122881">
    <w:abstractNumId w:val="29"/>
  </w:num>
  <w:num w:numId="10" w16cid:durableId="2046439455">
    <w:abstractNumId w:val="180"/>
  </w:num>
  <w:num w:numId="11" w16cid:durableId="1209607937">
    <w:abstractNumId w:val="151"/>
  </w:num>
  <w:num w:numId="12" w16cid:durableId="1921089133">
    <w:abstractNumId w:val="12"/>
  </w:num>
  <w:num w:numId="13" w16cid:durableId="912811119">
    <w:abstractNumId w:val="83"/>
  </w:num>
  <w:num w:numId="14" w16cid:durableId="1165702756">
    <w:abstractNumId w:val="26"/>
  </w:num>
  <w:num w:numId="15" w16cid:durableId="530190647">
    <w:abstractNumId w:val="115"/>
  </w:num>
  <w:num w:numId="16" w16cid:durableId="671030575">
    <w:abstractNumId w:val="57"/>
  </w:num>
  <w:num w:numId="17" w16cid:durableId="2009208248">
    <w:abstractNumId w:val="56"/>
  </w:num>
  <w:num w:numId="18" w16cid:durableId="336730978">
    <w:abstractNumId w:val="9"/>
  </w:num>
  <w:num w:numId="19" w16cid:durableId="632057651">
    <w:abstractNumId w:val="18"/>
  </w:num>
  <w:num w:numId="20" w16cid:durableId="1677031366">
    <w:abstractNumId w:val="44"/>
  </w:num>
  <w:num w:numId="21" w16cid:durableId="1162742401">
    <w:abstractNumId w:val="80"/>
  </w:num>
  <w:num w:numId="22" w16cid:durableId="1231889678">
    <w:abstractNumId w:val="2"/>
  </w:num>
  <w:num w:numId="23" w16cid:durableId="764880148">
    <w:abstractNumId w:val="64"/>
  </w:num>
  <w:num w:numId="24" w16cid:durableId="3898286">
    <w:abstractNumId w:val="121"/>
  </w:num>
  <w:num w:numId="25" w16cid:durableId="1443649685">
    <w:abstractNumId w:val="106"/>
  </w:num>
  <w:num w:numId="26" w16cid:durableId="2111972028">
    <w:abstractNumId w:val="101"/>
  </w:num>
  <w:num w:numId="27" w16cid:durableId="316034879">
    <w:abstractNumId w:val="95"/>
  </w:num>
  <w:num w:numId="28" w16cid:durableId="1650136235">
    <w:abstractNumId w:val="155"/>
  </w:num>
  <w:num w:numId="29" w16cid:durableId="1653483544">
    <w:abstractNumId w:val="49"/>
  </w:num>
  <w:num w:numId="30" w16cid:durableId="1089036126">
    <w:abstractNumId w:val="59"/>
  </w:num>
  <w:num w:numId="31" w16cid:durableId="1046880259">
    <w:abstractNumId w:val="120"/>
  </w:num>
  <w:num w:numId="32" w16cid:durableId="789281464">
    <w:abstractNumId w:val="150"/>
  </w:num>
  <w:num w:numId="33" w16cid:durableId="594753734">
    <w:abstractNumId w:val="182"/>
  </w:num>
  <w:num w:numId="34" w16cid:durableId="700016618">
    <w:abstractNumId w:val="87"/>
  </w:num>
  <w:num w:numId="35" w16cid:durableId="1910386038">
    <w:abstractNumId w:val="173"/>
  </w:num>
  <w:num w:numId="36" w16cid:durableId="867177245">
    <w:abstractNumId w:val="163"/>
  </w:num>
  <w:num w:numId="37" w16cid:durableId="686516936">
    <w:abstractNumId w:val="114"/>
  </w:num>
  <w:num w:numId="38" w16cid:durableId="1507600091">
    <w:abstractNumId w:val="160"/>
  </w:num>
  <w:num w:numId="39" w16cid:durableId="880939543">
    <w:abstractNumId w:val="149"/>
  </w:num>
  <w:num w:numId="40" w16cid:durableId="2000771630">
    <w:abstractNumId w:val="51"/>
  </w:num>
  <w:num w:numId="41" w16cid:durableId="265583387">
    <w:abstractNumId w:val="19"/>
  </w:num>
  <w:num w:numId="42" w16cid:durableId="1263877622">
    <w:abstractNumId w:val="38"/>
  </w:num>
  <w:num w:numId="43" w16cid:durableId="83845669">
    <w:abstractNumId w:val="63"/>
  </w:num>
  <w:num w:numId="44" w16cid:durableId="1240138035">
    <w:abstractNumId w:val="171"/>
  </w:num>
  <w:num w:numId="45" w16cid:durableId="1520311611">
    <w:abstractNumId w:val="41"/>
  </w:num>
  <w:num w:numId="46" w16cid:durableId="740179607">
    <w:abstractNumId w:val="5"/>
  </w:num>
  <w:num w:numId="47" w16cid:durableId="1644233910">
    <w:abstractNumId w:val="85"/>
  </w:num>
  <w:num w:numId="48" w16cid:durableId="1415199580">
    <w:abstractNumId w:val="27"/>
  </w:num>
  <w:num w:numId="49" w16cid:durableId="1347825220">
    <w:abstractNumId w:val="165"/>
  </w:num>
  <w:num w:numId="50" w16cid:durableId="279652006">
    <w:abstractNumId w:val="91"/>
  </w:num>
  <w:num w:numId="51" w16cid:durableId="2071537685">
    <w:abstractNumId w:val="141"/>
  </w:num>
  <w:num w:numId="52" w16cid:durableId="614873039">
    <w:abstractNumId w:val="146"/>
  </w:num>
  <w:num w:numId="53" w16cid:durableId="1502046911">
    <w:abstractNumId w:val="4"/>
  </w:num>
  <w:num w:numId="54" w16cid:durableId="988826403">
    <w:abstractNumId w:val="164"/>
  </w:num>
  <w:num w:numId="55" w16cid:durableId="1250969225">
    <w:abstractNumId w:val="68"/>
  </w:num>
  <w:num w:numId="56" w16cid:durableId="1916013816">
    <w:abstractNumId w:val="169"/>
  </w:num>
  <w:num w:numId="57" w16cid:durableId="576525425">
    <w:abstractNumId w:val="92"/>
  </w:num>
  <w:num w:numId="58" w16cid:durableId="80377761">
    <w:abstractNumId w:val="73"/>
  </w:num>
  <w:num w:numId="59" w16cid:durableId="1291399732">
    <w:abstractNumId w:val="129"/>
  </w:num>
  <w:num w:numId="60" w16cid:durableId="259601735">
    <w:abstractNumId w:val="81"/>
  </w:num>
  <w:num w:numId="61" w16cid:durableId="1136219918">
    <w:abstractNumId w:val="8"/>
  </w:num>
  <w:num w:numId="62" w16cid:durableId="1401561739">
    <w:abstractNumId w:val="67"/>
  </w:num>
  <w:num w:numId="63" w16cid:durableId="570114590">
    <w:abstractNumId w:val="39"/>
  </w:num>
  <w:num w:numId="64" w16cid:durableId="650059141">
    <w:abstractNumId w:val="31"/>
  </w:num>
  <w:num w:numId="65" w16cid:durableId="51930472">
    <w:abstractNumId w:val="43"/>
  </w:num>
  <w:num w:numId="66" w16cid:durableId="842626875">
    <w:abstractNumId w:val="113"/>
  </w:num>
  <w:num w:numId="67" w16cid:durableId="1783181167">
    <w:abstractNumId w:val="185"/>
  </w:num>
  <w:num w:numId="68" w16cid:durableId="1269238048">
    <w:abstractNumId w:val="60"/>
  </w:num>
  <w:num w:numId="69" w16cid:durableId="699665317">
    <w:abstractNumId w:val="37"/>
  </w:num>
  <w:num w:numId="70" w16cid:durableId="986520747">
    <w:abstractNumId w:val="132"/>
  </w:num>
  <w:num w:numId="71" w16cid:durableId="190150702">
    <w:abstractNumId w:val="133"/>
  </w:num>
  <w:num w:numId="72" w16cid:durableId="840700809">
    <w:abstractNumId w:val="183"/>
  </w:num>
  <w:num w:numId="73" w16cid:durableId="37437407">
    <w:abstractNumId w:val="127"/>
  </w:num>
  <w:num w:numId="74" w16cid:durableId="1118724287">
    <w:abstractNumId w:val="35"/>
  </w:num>
  <w:num w:numId="75" w16cid:durableId="1980568663">
    <w:abstractNumId w:val="22"/>
  </w:num>
  <w:num w:numId="76" w16cid:durableId="1048918889">
    <w:abstractNumId w:val="110"/>
  </w:num>
  <w:num w:numId="77" w16cid:durableId="1849179098">
    <w:abstractNumId w:val="34"/>
  </w:num>
  <w:num w:numId="78" w16cid:durableId="2059160890">
    <w:abstractNumId w:val="93"/>
  </w:num>
  <w:num w:numId="79" w16cid:durableId="703940945">
    <w:abstractNumId w:val="30"/>
  </w:num>
  <w:num w:numId="80" w16cid:durableId="1884362715">
    <w:abstractNumId w:val="178"/>
  </w:num>
  <w:num w:numId="81" w16cid:durableId="740176917">
    <w:abstractNumId w:val="103"/>
  </w:num>
  <w:num w:numId="82" w16cid:durableId="1187209026">
    <w:abstractNumId w:val="144"/>
  </w:num>
  <w:num w:numId="83" w16cid:durableId="792481949">
    <w:abstractNumId w:val="148"/>
  </w:num>
  <w:num w:numId="84" w16cid:durableId="1658457895">
    <w:abstractNumId w:val="45"/>
  </w:num>
  <w:num w:numId="85" w16cid:durableId="1966740241">
    <w:abstractNumId w:val="156"/>
  </w:num>
  <w:num w:numId="86" w16cid:durableId="1072044785">
    <w:abstractNumId w:val="10"/>
  </w:num>
  <w:num w:numId="87" w16cid:durableId="1579636980">
    <w:abstractNumId w:val="77"/>
  </w:num>
  <w:num w:numId="88" w16cid:durableId="1595281271">
    <w:abstractNumId w:val="104"/>
  </w:num>
  <w:num w:numId="89" w16cid:durableId="1626346748">
    <w:abstractNumId w:val="66"/>
  </w:num>
  <w:num w:numId="90" w16cid:durableId="184297935">
    <w:abstractNumId w:val="143"/>
  </w:num>
  <w:num w:numId="91" w16cid:durableId="2065180133">
    <w:abstractNumId w:val="70"/>
  </w:num>
  <w:num w:numId="92" w16cid:durableId="1894123161">
    <w:abstractNumId w:val="175"/>
  </w:num>
  <w:num w:numId="93" w16cid:durableId="26413091">
    <w:abstractNumId w:val="147"/>
  </w:num>
  <w:num w:numId="94" w16cid:durableId="429007780">
    <w:abstractNumId w:val="78"/>
  </w:num>
  <w:num w:numId="95" w16cid:durableId="2129155427">
    <w:abstractNumId w:val="125"/>
  </w:num>
  <w:num w:numId="96" w16cid:durableId="245119837">
    <w:abstractNumId w:val="158"/>
  </w:num>
  <w:num w:numId="97" w16cid:durableId="1504276772">
    <w:abstractNumId w:val="179"/>
  </w:num>
  <w:num w:numId="98" w16cid:durableId="2077582487">
    <w:abstractNumId w:val="3"/>
  </w:num>
  <w:num w:numId="99" w16cid:durableId="76951710">
    <w:abstractNumId w:val="138"/>
  </w:num>
  <w:num w:numId="100" w16cid:durableId="1306086506">
    <w:abstractNumId w:val="134"/>
  </w:num>
  <w:num w:numId="101" w16cid:durableId="1368945515">
    <w:abstractNumId w:val="33"/>
  </w:num>
  <w:num w:numId="102" w16cid:durableId="1971478272">
    <w:abstractNumId w:val="124"/>
  </w:num>
  <w:num w:numId="103" w16cid:durableId="553271535">
    <w:abstractNumId w:val="28"/>
  </w:num>
  <w:num w:numId="104" w16cid:durableId="548801332">
    <w:abstractNumId w:val="131"/>
  </w:num>
  <w:num w:numId="105" w16cid:durableId="900672988">
    <w:abstractNumId w:val="130"/>
  </w:num>
  <w:num w:numId="106" w16cid:durableId="1704088387">
    <w:abstractNumId w:val="154"/>
  </w:num>
  <w:num w:numId="107" w16cid:durableId="1696662157">
    <w:abstractNumId w:val="97"/>
  </w:num>
  <w:num w:numId="108" w16cid:durableId="1645117035">
    <w:abstractNumId w:val="123"/>
  </w:num>
  <w:num w:numId="109" w16cid:durableId="1873230356">
    <w:abstractNumId w:val="111"/>
  </w:num>
  <w:num w:numId="110" w16cid:durableId="2011062154">
    <w:abstractNumId w:val="1"/>
  </w:num>
  <w:num w:numId="111" w16cid:durableId="1996181931">
    <w:abstractNumId w:val="71"/>
  </w:num>
  <w:num w:numId="112" w16cid:durableId="1606958274">
    <w:abstractNumId w:val="161"/>
  </w:num>
  <w:num w:numId="113" w16cid:durableId="731806848">
    <w:abstractNumId w:val="62"/>
  </w:num>
  <w:num w:numId="114" w16cid:durableId="1719620042">
    <w:abstractNumId w:val="142"/>
  </w:num>
  <w:num w:numId="115" w16cid:durableId="1569681105">
    <w:abstractNumId w:val="32"/>
  </w:num>
  <w:num w:numId="116" w16cid:durableId="376125079">
    <w:abstractNumId w:val="11"/>
  </w:num>
  <w:num w:numId="117" w16cid:durableId="2135177118">
    <w:abstractNumId w:val="65"/>
  </w:num>
  <w:num w:numId="118" w16cid:durableId="1975715321">
    <w:abstractNumId w:val="102"/>
  </w:num>
  <w:num w:numId="119" w16cid:durableId="1248032636">
    <w:abstractNumId w:val="152"/>
  </w:num>
  <w:num w:numId="120" w16cid:durableId="1970627285">
    <w:abstractNumId w:val="20"/>
  </w:num>
  <w:num w:numId="121" w16cid:durableId="354353868">
    <w:abstractNumId w:val="84"/>
  </w:num>
  <w:num w:numId="122" w16cid:durableId="849564667">
    <w:abstractNumId w:val="75"/>
  </w:num>
  <w:num w:numId="123" w16cid:durableId="965507883">
    <w:abstractNumId w:val="135"/>
  </w:num>
  <w:num w:numId="124" w16cid:durableId="2130972736">
    <w:abstractNumId w:val="6"/>
  </w:num>
  <w:num w:numId="125" w16cid:durableId="538590083">
    <w:abstractNumId w:val="140"/>
  </w:num>
  <w:num w:numId="126" w16cid:durableId="136455961">
    <w:abstractNumId w:val="23"/>
  </w:num>
  <w:num w:numId="127" w16cid:durableId="978222590">
    <w:abstractNumId w:val="174"/>
  </w:num>
  <w:num w:numId="128" w16cid:durableId="642347162">
    <w:abstractNumId w:val="176"/>
  </w:num>
  <w:num w:numId="129" w16cid:durableId="395856091">
    <w:abstractNumId w:val="186"/>
  </w:num>
  <w:num w:numId="130" w16cid:durableId="154540275">
    <w:abstractNumId w:val="16"/>
  </w:num>
  <w:num w:numId="131" w16cid:durableId="2068140854">
    <w:abstractNumId w:val="119"/>
  </w:num>
  <w:num w:numId="132" w16cid:durableId="1647197427">
    <w:abstractNumId w:val="86"/>
  </w:num>
  <w:num w:numId="133" w16cid:durableId="426465751">
    <w:abstractNumId w:val="126"/>
  </w:num>
  <w:num w:numId="134" w16cid:durableId="1219634344">
    <w:abstractNumId w:val="98"/>
  </w:num>
  <w:num w:numId="135" w16cid:durableId="919362709">
    <w:abstractNumId w:val="109"/>
  </w:num>
  <w:num w:numId="136" w16cid:durableId="174930192">
    <w:abstractNumId w:val="108"/>
  </w:num>
  <w:num w:numId="137" w16cid:durableId="1006983416">
    <w:abstractNumId w:val="100"/>
  </w:num>
  <w:num w:numId="138" w16cid:durableId="1965889044">
    <w:abstractNumId w:val="157"/>
  </w:num>
  <w:num w:numId="139" w16cid:durableId="981731421">
    <w:abstractNumId w:val="112"/>
  </w:num>
  <w:num w:numId="140" w16cid:durableId="1774397785">
    <w:abstractNumId w:val="170"/>
  </w:num>
  <w:num w:numId="141" w16cid:durableId="1348949241">
    <w:abstractNumId w:val="107"/>
  </w:num>
  <w:num w:numId="142" w16cid:durableId="986783825">
    <w:abstractNumId w:val="36"/>
  </w:num>
  <w:num w:numId="143" w16cid:durableId="2077312058">
    <w:abstractNumId w:val="94"/>
  </w:num>
  <w:num w:numId="144" w16cid:durableId="1802771119">
    <w:abstractNumId w:val="72"/>
  </w:num>
  <w:num w:numId="145" w16cid:durableId="970868544">
    <w:abstractNumId w:val="105"/>
  </w:num>
  <w:num w:numId="146" w16cid:durableId="1880240704">
    <w:abstractNumId w:val="15"/>
  </w:num>
  <w:num w:numId="147" w16cid:durableId="961114407">
    <w:abstractNumId w:val="21"/>
  </w:num>
  <w:num w:numId="148" w16cid:durableId="596451913">
    <w:abstractNumId w:val="25"/>
  </w:num>
  <w:num w:numId="149" w16cid:durableId="549269645">
    <w:abstractNumId w:val="88"/>
  </w:num>
  <w:num w:numId="150" w16cid:durableId="31152335">
    <w:abstractNumId w:val="159"/>
  </w:num>
  <w:num w:numId="151" w16cid:durableId="138962796">
    <w:abstractNumId w:val="14"/>
  </w:num>
  <w:num w:numId="152" w16cid:durableId="698507888">
    <w:abstractNumId w:val="76"/>
  </w:num>
  <w:num w:numId="153" w16cid:durableId="1458526827">
    <w:abstractNumId w:val="162"/>
  </w:num>
  <w:num w:numId="154" w16cid:durableId="1890339161">
    <w:abstractNumId w:val="172"/>
  </w:num>
  <w:num w:numId="155" w16cid:durableId="820773922">
    <w:abstractNumId w:val="99"/>
  </w:num>
  <w:num w:numId="156" w16cid:durableId="721172004">
    <w:abstractNumId w:val="17"/>
  </w:num>
  <w:num w:numId="157" w16cid:durableId="852762433">
    <w:abstractNumId w:val="122"/>
  </w:num>
  <w:num w:numId="158" w16cid:durableId="1684355852">
    <w:abstractNumId w:val="116"/>
  </w:num>
  <w:num w:numId="159" w16cid:durableId="1297949171">
    <w:abstractNumId w:val="13"/>
  </w:num>
  <w:num w:numId="160" w16cid:durableId="1761101224">
    <w:abstractNumId w:val="0"/>
  </w:num>
  <w:num w:numId="161" w16cid:durableId="87578850">
    <w:abstractNumId w:val="177"/>
  </w:num>
  <w:num w:numId="162" w16cid:durableId="1819104891">
    <w:abstractNumId w:val="184"/>
  </w:num>
  <w:num w:numId="163" w16cid:durableId="413552365">
    <w:abstractNumId w:val="89"/>
  </w:num>
  <w:num w:numId="164" w16cid:durableId="1199783077">
    <w:abstractNumId w:val="69"/>
  </w:num>
  <w:num w:numId="165" w16cid:durableId="1315136136">
    <w:abstractNumId w:val="58"/>
  </w:num>
  <w:num w:numId="166" w16cid:durableId="695303357">
    <w:abstractNumId w:val="145"/>
  </w:num>
  <w:num w:numId="167" w16cid:durableId="288635904">
    <w:abstractNumId w:val="153"/>
  </w:num>
  <w:num w:numId="168" w16cid:durableId="1384409666">
    <w:abstractNumId w:val="181"/>
  </w:num>
  <w:num w:numId="169" w16cid:durableId="1571387521">
    <w:abstractNumId w:val="139"/>
  </w:num>
  <w:num w:numId="170" w16cid:durableId="802965755">
    <w:abstractNumId w:val="79"/>
  </w:num>
  <w:num w:numId="171" w16cid:durableId="463472876">
    <w:abstractNumId w:val="74"/>
  </w:num>
  <w:num w:numId="172" w16cid:durableId="1414813699">
    <w:abstractNumId w:val="167"/>
  </w:num>
  <w:num w:numId="173" w16cid:durableId="1502547504">
    <w:abstractNumId w:val="137"/>
  </w:num>
  <w:num w:numId="174" w16cid:durableId="392119559">
    <w:abstractNumId w:val="166"/>
  </w:num>
  <w:num w:numId="175" w16cid:durableId="141045118">
    <w:abstractNumId w:val="96"/>
  </w:num>
  <w:num w:numId="176" w16cid:durableId="1791895410">
    <w:abstractNumId w:val="118"/>
  </w:num>
  <w:num w:numId="177" w16cid:durableId="31342474">
    <w:abstractNumId w:val="42"/>
  </w:num>
  <w:num w:numId="178" w16cid:durableId="401752451">
    <w:abstractNumId w:val="7"/>
  </w:num>
  <w:num w:numId="179" w16cid:durableId="961615111">
    <w:abstractNumId w:val="52"/>
  </w:num>
  <w:num w:numId="180" w16cid:durableId="1422145145">
    <w:abstractNumId w:val="61"/>
  </w:num>
  <w:num w:numId="181" w16cid:durableId="103573745">
    <w:abstractNumId w:val="54"/>
  </w:num>
  <w:num w:numId="182" w16cid:durableId="1744721219">
    <w:abstractNumId w:val="117"/>
  </w:num>
  <w:num w:numId="183" w16cid:durableId="677272357">
    <w:abstractNumId w:val="128"/>
  </w:num>
  <w:num w:numId="184" w16cid:durableId="1128082657">
    <w:abstractNumId w:val="40"/>
  </w:num>
  <w:num w:numId="185" w16cid:durableId="888034984">
    <w:abstractNumId w:val="53"/>
  </w:num>
  <w:num w:numId="186" w16cid:durableId="1174683251">
    <w:abstractNumId w:val="50"/>
  </w:num>
  <w:num w:numId="187" w16cid:durableId="1662393236">
    <w:abstractNumId w:val="55"/>
  </w:num>
  <w:numIdMacAtCleanup w:val="185"/>
</w:numbering>
</file>

<file path=word/people.xml><?xml version="1.0" encoding="utf-8"?>
<w15:people xmlns:mc="http://schemas.openxmlformats.org/markup-compatibility/2006" xmlns:w15="http://schemas.microsoft.com/office/word/2012/wordml" mc:Ignorable="w15">
  <w15:person w15:author="LAURA MUÑOZ ROJAS">
    <w15:presenceInfo w15:providerId="AD" w15:userId="S::lmunoz@minenergia.gov.co::0e1d3114-6c9d-468d-9fd9-2b2097e1b7d8"/>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trackRevisions w:val="false"/>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66036"/>
    <w:rsid w:val="00013C81"/>
    <w:rsid w:val="00016415"/>
    <w:rsid w:val="000171BA"/>
    <w:rsid w:val="00017216"/>
    <w:rsid w:val="00023342"/>
    <w:rsid w:val="00040C79"/>
    <w:rsid w:val="00045027"/>
    <w:rsid w:val="00050AD1"/>
    <w:rsid w:val="000565AB"/>
    <w:rsid w:val="0006378E"/>
    <w:rsid w:val="00064317"/>
    <w:rsid w:val="0006598D"/>
    <w:rsid w:val="00065A06"/>
    <w:rsid w:val="00066ADB"/>
    <w:rsid w:val="0007771C"/>
    <w:rsid w:val="000875BA"/>
    <w:rsid w:val="000879AD"/>
    <w:rsid w:val="00097599"/>
    <w:rsid w:val="000A1610"/>
    <w:rsid w:val="000A1A2C"/>
    <w:rsid w:val="000A1EF3"/>
    <w:rsid w:val="000A2C0C"/>
    <w:rsid w:val="000A49C9"/>
    <w:rsid w:val="000C002B"/>
    <w:rsid w:val="000D11CF"/>
    <w:rsid w:val="000D3ECF"/>
    <w:rsid w:val="000D47FE"/>
    <w:rsid w:val="000E053D"/>
    <w:rsid w:val="000E1376"/>
    <w:rsid w:val="000E5546"/>
    <w:rsid w:val="000F0C72"/>
    <w:rsid w:val="000F27B8"/>
    <w:rsid w:val="000F297E"/>
    <w:rsid w:val="001128A9"/>
    <w:rsid w:val="00114E04"/>
    <w:rsid w:val="00122142"/>
    <w:rsid w:val="00122EB1"/>
    <w:rsid w:val="001352FF"/>
    <w:rsid w:val="001423C8"/>
    <w:rsid w:val="001431AC"/>
    <w:rsid w:val="00144F68"/>
    <w:rsid w:val="00155703"/>
    <w:rsid w:val="00161BEA"/>
    <w:rsid w:val="00167FBC"/>
    <w:rsid w:val="00181920"/>
    <w:rsid w:val="00182567"/>
    <w:rsid w:val="0019466B"/>
    <w:rsid w:val="00195CD1"/>
    <w:rsid w:val="001A0226"/>
    <w:rsid w:val="001A1E5F"/>
    <w:rsid w:val="001A620E"/>
    <w:rsid w:val="001B0AE7"/>
    <w:rsid w:val="001B336C"/>
    <w:rsid w:val="001C152A"/>
    <w:rsid w:val="001C4FE4"/>
    <w:rsid w:val="001C7D75"/>
    <w:rsid w:val="001D0E56"/>
    <w:rsid w:val="001D2D91"/>
    <w:rsid w:val="001D362E"/>
    <w:rsid w:val="001E3440"/>
    <w:rsid w:val="001E45C4"/>
    <w:rsid w:val="001E7666"/>
    <w:rsid w:val="001F7848"/>
    <w:rsid w:val="0020007F"/>
    <w:rsid w:val="002051AE"/>
    <w:rsid w:val="00210504"/>
    <w:rsid w:val="00214FE0"/>
    <w:rsid w:val="00220280"/>
    <w:rsid w:val="002203BA"/>
    <w:rsid w:val="00220C83"/>
    <w:rsid w:val="002251B2"/>
    <w:rsid w:val="00235437"/>
    <w:rsid w:val="002370B5"/>
    <w:rsid w:val="0024319E"/>
    <w:rsid w:val="00245A92"/>
    <w:rsid w:val="00245DDD"/>
    <w:rsid w:val="0025243F"/>
    <w:rsid w:val="00265D60"/>
    <w:rsid w:val="00270ABD"/>
    <w:rsid w:val="00277609"/>
    <w:rsid w:val="00277AF7"/>
    <w:rsid w:val="00280F0A"/>
    <w:rsid w:val="002902A2"/>
    <w:rsid w:val="002905E0"/>
    <w:rsid w:val="00294126"/>
    <w:rsid w:val="00297A00"/>
    <w:rsid w:val="002A32A3"/>
    <w:rsid w:val="002B14CD"/>
    <w:rsid w:val="002C09A7"/>
    <w:rsid w:val="002C46A8"/>
    <w:rsid w:val="002C6596"/>
    <w:rsid w:val="002D4D3A"/>
    <w:rsid w:val="002E7CA9"/>
    <w:rsid w:val="002F3C1C"/>
    <w:rsid w:val="002F563B"/>
    <w:rsid w:val="0030216D"/>
    <w:rsid w:val="00302FA7"/>
    <w:rsid w:val="0031436A"/>
    <w:rsid w:val="0032392F"/>
    <w:rsid w:val="00326001"/>
    <w:rsid w:val="00332F9E"/>
    <w:rsid w:val="00337ABD"/>
    <w:rsid w:val="00344D3A"/>
    <w:rsid w:val="00347EBC"/>
    <w:rsid w:val="00350C38"/>
    <w:rsid w:val="00353EAA"/>
    <w:rsid w:val="00354C2E"/>
    <w:rsid w:val="0037EF06"/>
    <w:rsid w:val="0038210F"/>
    <w:rsid w:val="0038515C"/>
    <w:rsid w:val="00387379"/>
    <w:rsid w:val="00393CDC"/>
    <w:rsid w:val="00395236"/>
    <w:rsid w:val="00395DFA"/>
    <w:rsid w:val="003A265A"/>
    <w:rsid w:val="003A4993"/>
    <w:rsid w:val="003A6AE4"/>
    <w:rsid w:val="003C4398"/>
    <w:rsid w:val="003C4458"/>
    <w:rsid w:val="003F32C3"/>
    <w:rsid w:val="004126AC"/>
    <w:rsid w:val="00422811"/>
    <w:rsid w:val="0042613C"/>
    <w:rsid w:val="00426551"/>
    <w:rsid w:val="004306DA"/>
    <w:rsid w:val="004351B4"/>
    <w:rsid w:val="00451B1B"/>
    <w:rsid w:val="0045312F"/>
    <w:rsid w:val="00461D94"/>
    <w:rsid w:val="00466C3C"/>
    <w:rsid w:val="00471A01"/>
    <w:rsid w:val="00473C8C"/>
    <w:rsid w:val="0047557F"/>
    <w:rsid w:val="004814DB"/>
    <w:rsid w:val="00484B57"/>
    <w:rsid w:val="00496CBC"/>
    <w:rsid w:val="004B0489"/>
    <w:rsid w:val="004B0AFB"/>
    <w:rsid w:val="004B657C"/>
    <w:rsid w:val="004C1932"/>
    <w:rsid w:val="004C2578"/>
    <w:rsid w:val="004F5114"/>
    <w:rsid w:val="005001CF"/>
    <w:rsid w:val="00520684"/>
    <w:rsid w:val="005229F9"/>
    <w:rsid w:val="0052494D"/>
    <w:rsid w:val="00526948"/>
    <w:rsid w:val="005335E9"/>
    <w:rsid w:val="00533DC9"/>
    <w:rsid w:val="005358E1"/>
    <w:rsid w:val="00540692"/>
    <w:rsid w:val="005442B9"/>
    <w:rsid w:val="00550054"/>
    <w:rsid w:val="00550099"/>
    <w:rsid w:val="005509D4"/>
    <w:rsid w:val="00555F8A"/>
    <w:rsid w:val="00562068"/>
    <w:rsid w:val="00564B18"/>
    <w:rsid w:val="00565745"/>
    <w:rsid w:val="00575564"/>
    <w:rsid w:val="0058165A"/>
    <w:rsid w:val="005A0624"/>
    <w:rsid w:val="005A2F58"/>
    <w:rsid w:val="005A3227"/>
    <w:rsid w:val="005A666C"/>
    <w:rsid w:val="005C037F"/>
    <w:rsid w:val="005C6419"/>
    <w:rsid w:val="005D1359"/>
    <w:rsid w:val="005D4836"/>
    <w:rsid w:val="005D5149"/>
    <w:rsid w:val="005E167A"/>
    <w:rsid w:val="005E5391"/>
    <w:rsid w:val="005F7FF6"/>
    <w:rsid w:val="005FE20B"/>
    <w:rsid w:val="00600543"/>
    <w:rsid w:val="00603A9F"/>
    <w:rsid w:val="00607507"/>
    <w:rsid w:val="0061080D"/>
    <w:rsid w:val="00611BF6"/>
    <w:rsid w:val="00614CBD"/>
    <w:rsid w:val="00621DBB"/>
    <w:rsid w:val="00621E00"/>
    <w:rsid w:val="00625FDE"/>
    <w:rsid w:val="006260B6"/>
    <w:rsid w:val="006279E6"/>
    <w:rsid w:val="0063262B"/>
    <w:rsid w:val="0063397B"/>
    <w:rsid w:val="00636989"/>
    <w:rsid w:val="00654607"/>
    <w:rsid w:val="00671DD3"/>
    <w:rsid w:val="0067218F"/>
    <w:rsid w:val="00675CD4"/>
    <w:rsid w:val="00676BCC"/>
    <w:rsid w:val="00677C15"/>
    <w:rsid w:val="006814EA"/>
    <w:rsid w:val="0068638F"/>
    <w:rsid w:val="00691332"/>
    <w:rsid w:val="006A0A13"/>
    <w:rsid w:val="006A2203"/>
    <w:rsid w:val="006A5D57"/>
    <w:rsid w:val="006A7C82"/>
    <w:rsid w:val="006D2523"/>
    <w:rsid w:val="006D692F"/>
    <w:rsid w:val="006E0144"/>
    <w:rsid w:val="006E2FA7"/>
    <w:rsid w:val="006E3294"/>
    <w:rsid w:val="006E5944"/>
    <w:rsid w:val="006E5B88"/>
    <w:rsid w:val="006F7608"/>
    <w:rsid w:val="00723000"/>
    <w:rsid w:val="0072698F"/>
    <w:rsid w:val="00744444"/>
    <w:rsid w:val="00746738"/>
    <w:rsid w:val="00752E02"/>
    <w:rsid w:val="00756E98"/>
    <w:rsid w:val="007612DB"/>
    <w:rsid w:val="00770ECF"/>
    <w:rsid w:val="007737E7"/>
    <w:rsid w:val="0078025D"/>
    <w:rsid w:val="00781A93"/>
    <w:rsid w:val="00782D70"/>
    <w:rsid w:val="0078526A"/>
    <w:rsid w:val="0078703D"/>
    <w:rsid w:val="00793C26"/>
    <w:rsid w:val="00793FC7"/>
    <w:rsid w:val="007A4D26"/>
    <w:rsid w:val="007B3397"/>
    <w:rsid w:val="007B545E"/>
    <w:rsid w:val="007B7BB0"/>
    <w:rsid w:val="007C5423"/>
    <w:rsid w:val="007C598B"/>
    <w:rsid w:val="007D028B"/>
    <w:rsid w:val="007D5125"/>
    <w:rsid w:val="007D6670"/>
    <w:rsid w:val="007F466F"/>
    <w:rsid w:val="007F614B"/>
    <w:rsid w:val="007F64AA"/>
    <w:rsid w:val="00802D49"/>
    <w:rsid w:val="0081023B"/>
    <w:rsid w:val="00810C90"/>
    <w:rsid w:val="00813D1C"/>
    <w:rsid w:val="00814442"/>
    <w:rsid w:val="00824E38"/>
    <w:rsid w:val="0084638F"/>
    <w:rsid w:val="00850812"/>
    <w:rsid w:val="00853599"/>
    <w:rsid w:val="008613EB"/>
    <w:rsid w:val="00863055"/>
    <w:rsid w:val="00873A2D"/>
    <w:rsid w:val="0087459E"/>
    <w:rsid w:val="00874D12"/>
    <w:rsid w:val="00877B72"/>
    <w:rsid w:val="0088275F"/>
    <w:rsid w:val="008873B6"/>
    <w:rsid w:val="008A0ECA"/>
    <w:rsid w:val="008A1115"/>
    <w:rsid w:val="008A6FA8"/>
    <w:rsid w:val="008A79CB"/>
    <w:rsid w:val="008B4560"/>
    <w:rsid w:val="008C3422"/>
    <w:rsid w:val="008C723E"/>
    <w:rsid w:val="008C7992"/>
    <w:rsid w:val="008E1873"/>
    <w:rsid w:val="008E634D"/>
    <w:rsid w:val="008F31AF"/>
    <w:rsid w:val="00905177"/>
    <w:rsid w:val="00906381"/>
    <w:rsid w:val="00912AC3"/>
    <w:rsid w:val="00916365"/>
    <w:rsid w:val="00920246"/>
    <w:rsid w:val="0092257B"/>
    <w:rsid w:val="00924532"/>
    <w:rsid w:val="00924631"/>
    <w:rsid w:val="00925A74"/>
    <w:rsid w:val="00931505"/>
    <w:rsid w:val="00941364"/>
    <w:rsid w:val="00947D46"/>
    <w:rsid w:val="009512C7"/>
    <w:rsid w:val="00952E81"/>
    <w:rsid w:val="00956D00"/>
    <w:rsid w:val="00966BD8"/>
    <w:rsid w:val="009919CC"/>
    <w:rsid w:val="009928A5"/>
    <w:rsid w:val="009A042F"/>
    <w:rsid w:val="009A149C"/>
    <w:rsid w:val="009A1998"/>
    <w:rsid w:val="009A4A31"/>
    <w:rsid w:val="009A5279"/>
    <w:rsid w:val="009B41DE"/>
    <w:rsid w:val="009B6E77"/>
    <w:rsid w:val="009C275C"/>
    <w:rsid w:val="009C314E"/>
    <w:rsid w:val="009D4B63"/>
    <w:rsid w:val="009D79F0"/>
    <w:rsid w:val="009F01D9"/>
    <w:rsid w:val="009F2051"/>
    <w:rsid w:val="009F33CB"/>
    <w:rsid w:val="009F734A"/>
    <w:rsid w:val="00A071C5"/>
    <w:rsid w:val="00A079D9"/>
    <w:rsid w:val="00A10EF8"/>
    <w:rsid w:val="00A257F7"/>
    <w:rsid w:val="00A328B0"/>
    <w:rsid w:val="00A33D25"/>
    <w:rsid w:val="00A3763C"/>
    <w:rsid w:val="00A4C0DC"/>
    <w:rsid w:val="00A507F6"/>
    <w:rsid w:val="00A528D1"/>
    <w:rsid w:val="00A54255"/>
    <w:rsid w:val="00A60337"/>
    <w:rsid w:val="00A604E9"/>
    <w:rsid w:val="00A66036"/>
    <w:rsid w:val="00A661B6"/>
    <w:rsid w:val="00A75138"/>
    <w:rsid w:val="00A75892"/>
    <w:rsid w:val="00A82055"/>
    <w:rsid w:val="00A92FB1"/>
    <w:rsid w:val="00A9432C"/>
    <w:rsid w:val="00A95FB0"/>
    <w:rsid w:val="00AA1CC3"/>
    <w:rsid w:val="00AA3023"/>
    <w:rsid w:val="00AB03C8"/>
    <w:rsid w:val="00AB6BB0"/>
    <w:rsid w:val="00AC4BB3"/>
    <w:rsid w:val="00AC5679"/>
    <w:rsid w:val="00AD01AB"/>
    <w:rsid w:val="00AD2BDA"/>
    <w:rsid w:val="00AE0779"/>
    <w:rsid w:val="00AE32CE"/>
    <w:rsid w:val="00AE42E3"/>
    <w:rsid w:val="00AF2903"/>
    <w:rsid w:val="00AF3601"/>
    <w:rsid w:val="00AF624B"/>
    <w:rsid w:val="00B0114A"/>
    <w:rsid w:val="00B06BDB"/>
    <w:rsid w:val="00B12952"/>
    <w:rsid w:val="00B22CBB"/>
    <w:rsid w:val="00B24BE0"/>
    <w:rsid w:val="00B24C43"/>
    <w:rsid w:val="00B311B8"/>
    <w:rsid w:val="00B40760"/>
    <w:rsid w:val="00B44743"/>
    <w:rsid w:val="00B449F9"/>
    <w:rsid w:val="00B643BF"/>
    <w:rsid w:val="00B6524B"/>
    <w:rsid w:val="00B75940"/>
    <w:rsid w:val="00B809C3"/>
    <w:rsid w:val="00B91FF3"/>
    <w:rsid w:val="00B951EE"/>
    <w:rsid w:val="00BA73DB"/>
    <w:rsid w:val="00BB2F7C"/>
    <w:rsid w:val="00BC39F5"/>
    <w:rsid w:val="00BC71DE"/>
    <w:rsid w:val="00BD1682"/>
    <w:rsid w:val="00BD35DB"/>
    <w:rsid w:val="00BD4E19"/>
    <w:rsid w:val="00BE0715"/>
    <w:rsid w:val="00BE441C"/>
    <w:rsid w:val="00BE4B37"/>
    <w:rsid w:val="00BE4B9E"/>
    <w:rsid w:val="00BE799E"/>
    <w:rsid w:val="00C01B6C"/>
    <w:rsid w:val="00C04ED5"/>
    <w:rsid w:val="00C10197"/>
    <w:rsid w:val="00C10D53"/>
    <w:rsid w:val="00C120CB"/>
    <w:rsid w:val="00C140A0"/>
    <w:rsid w:val="00C14637"/>
    <w:rsid w:val="00C32073"/>
    <w:rsid w:val="00C34181"/>
    <w:rsid w:val="00C37B86"/>
    <w:rsid w:val="00C37ED4"/>
    <w:rsid w:val="00C6347A"/>
    <w:rsid w:val="00C64AFF"/>
    <w:rsid w:val="00C64D8D"/>
    <w:rsid w:val="00C66231"/>
    <w:rsid w:val="00C8621A"/>
    <w:rsid w:val="00C87383"/>
    <w:rsid w:val="00C9775E"/>
    <w:rsid w:val="00CA0163"/>
    <w:rsid w:val="00CA29FC"/>
    <w:rsid w:val="00CA3FF4"/>
    <w:rsid w:val="00CA7392"/>
    <w:rsid w:val="00CA7EEF"/>
    <w:rsid w:val="00CB083E"/>
    <w:rsid w:val="00CB13F2"/>
    <w:rsid w:val="00CB4CE5"/>
    <w:rsid w:val="00CB5415"/>
    <w:rsid w:val="00CC5E1D"/>
    <w:rsid w:val="00CD591C"/>
    <w:rsid w:val="00CD6A65"/>
    <w:rsid w:val="00CD6C14"/>
    <w:rsid w:val="00CE14CA"/>
    <w:rsid w:val="00CE16EC"/>
    <w:rsid w:val="00CE6457"/>
    <w:rsid w:val="00CE699F"/>
    <w:rsid w:val="00CF2C44"/>
    <w:rsid w:val="00D05933"/>
    <w:rsid w:val="00D10713"/>
    <w:rsid w:val="00D13548"/>
    <w:rsid w:val="00D15921"/>
    <w:rsid w:val="00D262B4"/>
    <w:rsid w:val="00D277B1"/>
    <w:rsid w:val="00D335A6"/>
    <w:rsid w:val="00D47256"/>
    <w:rsid w:val="00D511B2"/>
    <w:rsid w:val="00D5164E"/>
    <w:rsid w:val="00D53E84"/>
    <w:rsid w:val="00D5504D"/>
    <w:rsid w:val="00D60832"/>
    <w:rsid w:val="00D62FF4"/>
    <w:rsid w:val="00D644F0"/>
    <w:rsid w:val="00D6589D"/>
    <w:rsid w:val="00D710E4"/>
    <w:rsid w:val="00D715A5"/>
    <w:rsid w:val="00D71F63"/>
    <w:rsid w:val="00D76E5A"/>
    <w:rsid w:val="00D81E38"/>
    <w:rsid w:val="00D82210"/>
    <w:rsid w:val="00D94015"/>
    <w:rsid w:val="00D97ED3"/>
    <w:rsid w:val="00DA0FD6"/>
    <w:rsid w:val="00DA20E7"/>
    <w:rsid w:val="00DA42D0"/>
    <w:rsid w:val="00DA6809"/>
    <w:rsid w:val="00DA6A07"/>
    <w:rsid w:val="00DB1E08"/>
    <w:rsid w:val="00DB2236"/>
    <w:rsid w:val="00DB5DFD"/>
    <w:rsid w:val="00DB8E1D"/>
    <w:rsid w:val="00DC37CA"/>
    <w:rsid w:val="00DD2F6A"/>
    <w:rsid w:val="00DD4E93"/>
    <w:rsid w:val="00DE2A57"/>
    <w:rsid w:val="00DE4BAA"/>
    <w:rsid w:val="00DE6623"/>
    <w:rsid w:val="00DE7A2B"/>
    <w:rsid w:val="00DF17B7"/>
    <w:rsid w:val="00DF1EBE"/>
    <w:rsid w:val="00DF2D73"/>
    <w:rsid w:val="00DF5B21"/>
    <w:rsid w:val="00E0230C"/>
    <w:rsid w:val="00E05C49"/>
    <w:rsid w:val="00E07C13"/>
    <w:rsid w:val="00E14ADE"/>
    <w:rsid w:val="00E159BB"/>
    <w:rsid w:val="00E207DD"/>
    <w:rsid w:val="00E22411"/>
    <w:rsid w:val="00E314A4"/>
    <w:rsid w:val="00E31E65"/>
    <w:rsid w:val="00E32B89"/>
    <w:rsid w:val="00E34BBE"/>
    <w:rsid w:val="00E34FD8"/>
    <w:rsid w:val="00E46B15"/>
    <w:rsid w:val="00E4753C"/>
    <w:rsid w:val="00E52256"/>
    <w:rsid w:val="00E53811"/>
    <w:rsid w:val="00E558DE"/>
    <w:rsid w:val="00E571BB"/>
    <w:rsid w:val="00E62453"/>
    <w:rsid w:val="00E65F5C"/>
    <w:rsid w:val="00E6621E"/>
    <w:rsid w:val="00E71B4B"/>
    <w:rsid w:val="00E90557"/>
    <w:rsid w:val="00E912BF"/>
    <w:rsid w:val="00E930AD"/>
    <w:rsid w:val="00E93796"/>
    <w:rsid w:val="00E95148"/>
    <w:rsid w:val="00EA0511"/>
    <w:rsid w:val="00EA16C5"/>
    <w:rsid w:val="00EA4218"/>
    <w:rsid w:val="00EA5016"/>
    <w:rsid w:val="00EA5A15"/>
    <w:rsid w:val="00EB1944"/>
    <w:rsid w:val="00EB1992"/>
    <w:rsid w:val="00EB48A9"/>
    <w:rsid w:val="00EB561F"/>
    <w:rsid w:val="00EC1581"/>
    <w:rsid w:val="00EC4E90"/>
    <w:rsid w:val="00ED062C"/>
    <w:rsid w:val="00ED2BF2"/>
    <w:rsid w:val="00ED2C2D"/>
    <w:rsid w:val="00ED7226"/>
    <w:rsid w:val="00EE2CF3"/>
    <w:rsid w:val="00EF2BAA"/>
    <w:rsid w:val="00EF7B57"/>
    <w:rsid w:val="00F138D7"/>
    <w:rsid w:val="00F42F09"/>
    <w:rsid w:val="00F45A03"/>
    <w:rsid w:val="00F47CA0"/>
    <w:rsid w:val="00F53220"/>
    <w:rsid w:val="00F54D3B"/>
    <w:rsid w:val="00F61259"/>
    <w:rsid w:val="00F62D1A"/>
    <w:rsid w:val="00F703AA"/>
    <w:rsid w:val="00F72619"/>
    <w:rsid w:val="00F74BE7"/>
    <w:rsid w:val="00F7534A"/>
    <w:rsid w:val="00F87AFB"/>
    <w:rsid w:val="00F90877"/>
    <w:rsid w:val="00F92367"/>
    <w:rsid w:val="00F94F69"/>
    <w:rsid w:val="00FA3949"/>
    <w:rsid w:val="00FA7600"/>
    <w:rsid w:val="00FA7B09"/>
    <w:rsid w:val="00FB2512"/>
    <w:rsid w:val="00FC1A2D"/>
    <w:rsid w:val="00FD63F9"/>
    <w:rsid w:val="00FD68F1"/>
    <w:rsid w:val="00FE6C55"/>
    <w:rsid w:val="01019AF6"/>
    <w:rsid w:val="013CA209"/>
    <w:rsid w:val="013CC5DC"/>
    <w:rsid w:val="0154D97B"/>
    <w:rsid w:val="0167AA14"/>
    <w:rsid w:val="0177F04E"/>
    <w:rsid w:val="019D4FAE"/>
    <w:rsid w:val="01AE1252"/>
    <w:rsid w:val="01AF169C"/>
    <w:rsid w:val="01C4B7BC"/>
    <w:rsid w:val="024ADE2A"/>
    <w:rsid w:val="02763E3D"/>
    <w:rsid w:val="02778546"/>
    <w:rsid w:val="027BF10D"/>
    <w:rsid w:val="02C3520D"/>
    <w:rsid w:val="02F8E42A"/>
    <w:rsid w:val="02FC6F6B"/>
    <w:rsid w:val="030BE4AB"/>
    <w:rsid w:val="03114F31"/>
    <w:rsid w:val="03527579"/>
    <w:rsid w:val="0356C9C0"/>
    <w:rsid w:val="037DD61E"/>
    <w:rsid w:val="038B55A8"/>
    <w:rsid w:val="03AFC774"/>
    <w:rsid w:val="03B3383A"/>
    <w:rsid w:val="03B4C1E0"/>
    <w:rsid w:val="03CDA6F8"/>
    <w:rsid w:val="041A3583"/>
    <w:rsid w:val="042CE9A4"/>
    <w:rsid w:val="043391FB"/>
    <w:rsid w:val="043E3078"/>
    <w:rsid w:val="044038BA"/>
    <w:rsid w:val="0440C4BE"/>
    <w:rsid w:val="0464C54D"/>
    <w:rsid w:val="046996CE"/>
    <w:rsid w:val="046C76D6"/>
    <w:rsid w:val="04705879"/>
    <w:rsid w:val="0479AA70"/>
    <w:rsid w:val="04CEBEA5"/>
    <w:rsid w:val="04E4B0D9"/>
    <w:rsid w:val="04E8FE6A"/>
    <w:rsid w:val="05107E67"/>
    <w:rsid w:val="05249E7C"/>
    <w:rsid w:val="05696C27"/>
    <w:rsid w:val="0570389E"/>
    <w:rsid w:val="05959D17"/>
    <w:rsid w:val="05B02D1E"/>
    <w:rsid w:val="05C8723C"/>
    <w:rsid w:val="063AF750"/>
    <w:rsid w:val="066AB501"/>
    <w:rsid w:val="0671C53C"/>
    <w:rsid w:val="06773ADD"/>
    <w:rsid w:val="068FD04D"/>
    <w:rsid w:val="06A991D3"/>
    <w:rsid w:val="06C70D0B"/>
    <w:rsid w:val="06C770CE"/>
    <w:rsid w:val="06C9FEE4"/>
    <w:rsid w:val="06D117DD"/>
    <w:rsid w:val="06D591D5"/>
    <w:rsid w:val="070E3C83"/>
    <w:rsid w:val="0715E472"/>
    <w:rsid w:val="073AF86F"/>
    <w:rsid w:val="074480A4"/>
    <w:rsid w:val="0764C2E7"/>
    <w:rsid w:val="07678CB3"/>
    <w:rsid w:val="077DE500"/>
    <w:rsid w:val="07FCC8E5"/>
    <w:rsid w:val="07FE563D"/>
    <w:rsid w:val="0803A397"/>
    <w:rsid w:val="08129DCE"/>
    <w:rsid w:val="082288B9"/>
    <w:rsid w:val="085B95E8"/>
    <w:rsid w:val="0866C27B"/>
    <w:rsid w:val="086D9CD7"/>
    <w:rsid w:val="08BE19F9"/>
    <w:rsid w:val="08CC9E6D"/>
    <w:rsid w:val="08CDE4BE"/>
    <w:rsid w:val="08D9FF7B"/>
    <w:rsid w:val="08E6F449"/>
    <w:rsid w:val="08E8BA19"/>
    <w:rsid w:val="0920940B"/>
    <w:rsid w:val="093CE225"/>
    <w:rsid w:val="09553533"/>
    <w:rsid w:val="09693C20"/>
    <w:rsid w:val="096E5951"/>
    <w:rsid w:val="09DD38CB"/>
    <w:rsid w:val="0A1C5E3C"/>
    <w:rsid w:val="0A3757A7"/>
    <w:rsid w:val="0A3766AA"/>
    <w:rsid w:val="0A72DBBE"/>
    <w:rsid w:val="0AA592AE"/>
    <w:rsid w:val="0AD9DEC4"/>
    <w:rsid w:val="0ADC54E7"/>
    <w:rsid w:val="0AF16FBD"/>
    <w:rsid w:val="0B448852"/>
    <w:rsid w:val="0B47B592"/>
    <w:rsid w:val="0B6F26AF"/>
    <w:rsid w:val="0B6F93A1"/>
    <w:rsid w:val="0B708597"/>
    <w:rsid w:val="0B9057D6"/>
    <w:rsid w:val="0BAF0E8B"/>
    <w:rsid w:val="0BB56445"/>
    <w:rsid w:val="0BE95E27"/>
    <w:rsid w:val="0C419C0D"/>
    <w:rsid w:val="0C56F8B5"/>
    <w:rsid w:val="0C63146A"/>
    <w:rsid w:val="0C92C789"/>
    <w:rsid w:val="0CA22F6A"/>
    <w:rsid w:val="0CB87569"/>
    <w:rsid w:val="0CB9BE55"/>
    <w:rsid w:val="0CD04833"/>
    <w:rsid w:val="0CEBA2DD"/>
    <w:rsid w:val="0D066A87"/>
    <w:rsid w:val="0D0A7687"/>
    <w:rsid w:val="0D14D31B"/>
    <w:rsid w:val="0D1BD9BA"/>
    <w:rsid w:val="0D30F734"/>
    <w:rsid w:val="0D3DB7F3"/>
    <w:rsid w:val="0D42BCDA"/>
    <w:rsid w:val="0D9339D5"/>
    <w:rsid w:val="0DA3A8B7"/>
    <w:rsid w:val="0DBCA84B"/>
    <w:rsid w:val="0DCEE2FE"/>
    <w:rsid w:val="0DE0B947"/>
    <w:rsid w:val="0E161562"/>
    <w:rsid w:val="0E33390F"/>
    <w:rsid w:val="0E3ADCA3"/>
    <w:rsid w:val="0E40A0FC"/>
    <w:rsid w:val="0E76246D"/>
    <w:rsid w:val="0E85A22D"/>
    <w:rsid w:val="0EAF2BDC"/>
    <w:rsid w:val="0F12306C"/>
    <w:rsid w:val="0F255D27"/>
    <w:rsid w:val="0F2CF205"/>
    <w:rsid w:val="0F627F08"/>
    <w:rsid w:val="0F6995E6"/>
    <w:rsid w:val="0F6BDB3D"/>
    <w:rsid w:val="0F7D54C0"/>
    <w:rsid w:val="0F7D90FB"/>
    <w:rsid w:val="0F92449B"/>
    <w:rsid w:val="0FD1E4CC"/>
    <w:rsid w:val="0FF05B1B"/>
    <w:rsid w:val="101CC527"/>
    <w:rsid w:val="102D5115"/>
    <w:rsid w:val="103B25B4"/>
    <w:rsid w:val="105D34EA"/>
    <w:rsid w:val="1092C0EC"/>
    <w:rsid w:val="109AFC60"/>
    <w:rsid w:val="10DFFF1B"/>
    <w:rsid w:val="1114FD64"/>
    <w:rsid w:val="111D25B0"/>
    <w:rsid w:val="11265372"/>
    <w:rsid w:val="116C30E8"/>
    <w:rsid w:val="11708C6B"/>
    <w:rsid w:val="11835F2D"/>
    <w:rsid w:val="1189FA89"/>
    <w:rsid w:val="11AA92CE"/>
    <w:rsid w:val="11B1FE8F"/>
    <w:rsid w:val="11B4DCDD"/>
    <w:rsid w:val="11D99319"/>
    <w:rsid w:val="11DDEDD1"/>
    <w:rsid w:val="11FCD166"/>
    <w:rsid w:val="122C2897"/>
    <w:rsid w:val="122F0B4F"/>
    <w:rsid w:val="12413BD6"/>
    <w:rsid w:val="12456373"/>
    <w:rsid w:val="124630B3"/>
    <w:rsid w:val="1261D3EC"/>
    <w:rsid w:val="126A26AF"/>
    <w:rsid w:val="12879923"/>
    <w:rsid w:val="128C860B"/>
    <w:rsid w:val="12A6D07E"/>
    <w:rsid w:val="12B4D600"/>
    <w:rsid w:val="12B9DF29"/>
    <w:rsid w:val="12C4AF3A"/>
    <w:rsid w:val="12D9784C"/>
    <w:rsid w:val="12EF2416"/>
    <w:rsid w:val="12F3B5E1"/>
    <w:rsid w:val="1302D3D7"/>
    <w:rsid w:val="1311746A"/>
    <w:rsid w:val="131223A1"/>
    <w:rsid w:val="132EDF9D"/>
    <w:rsid w:val="13D01137"/>
    <w:rsid w:val="13D0A129"/>
    <w:rsid w:val="141D946E"/>
    <w:rsid w:val="141D96F3"/>
    <w:rsid w:val="146E34BE"/>
    <w:rsid w:val="147DF18D"/>
    <w:rsid w:val="14AE755B"/>
    <w:rsid w:val="14AFE9EC"/>
    <w:rsid w:val="14B505A5"/>
    <w:rsid w:val="14BA7FD8"/>
    <w:rsid w:val="14BDE5C8"/>
    <w:rsid w:val="14D6837D"/>
    <w:rsid w:val="14FE821F"/>
    <w:rsid w:val="157992F0"/>
    <w:rsid w:val="158481A5"/>
    <w:rsid w:val="158FDA77"/>
    <w:rsid w:val="15983579"/>
    <w:rsid w:val="15D30558"/>
    <w:rsid w:val="16306576"/>
    <w:rsid w:val="164217B4"/>
    <w:rsid w:val="1689A91F"/>
    <w:rsid w:val="1690EE7C"/>
    <w:rsid w:val="1695A269"/>
    <w:rsid w:val="16B64681"/>
    <w:rsid w:val="16C1CD59"/>
    <w:rsid w:val="16C5B2C4"/>
    <w:rsid w:val="16E50659"/>
    <w:rsid w:val="170A813F"/>
    <w:rsid w:val="170C1063"/>
    <w:rsid w:val="177F42AE"/>
    <w:rsid w:val="1790617F"/>
    <w:rsid w:val="17906594"/>
    <w:rsid w:val="17AB1571"/>
    <w:rsid w:val="17D04B5A"/>
    <w:rsid w:val="180099B3"/>
    <w:rsid w:val="1826D844"/>
    <w:rsid w:val="182BCE71"/>
    <w:rsid w:val="18419906"/>
    <w:rsid w:val="186D659D"/>
    <w:rsid w:val="187B2F15"/>
    <w:rsid w:val="18C71959"/>
    <w:rsid w:val="18D8524D"/>
    <w:rsid w:val="18EA734B"/>
    <w:rsid w:val="1906EA28"/>
    <w:rsid w:val="191730AE"/>
    <w:rsid w:val="19268FB7"/>
    <w:rsid w:val="19423FFD"/>
    <w:rsid w:val="194FC008"/>
    <w:rsid w:val="19731B48"/>
    <w:rsid w:val="197A8B87"/>
    <w:rsid w:val="199F5F82"/>
    <w:rsid w:val="1A1FA6E7"/>
    <w:rsid w:val="1A207DC6"/>
    <w:rsid w:val="1A4BBEA3"/>
    <w:rsid w:val="1AB6F271"/>
    <w:rsid w:val="1ACBCACC"/>
    <w:rsid w:val="1AE319AB"/>
    <w:rsid w:val="1B1AB5D1"/>
    <w:rsid w:val="1B1AF5C0"/>
    <w:rsid w:val="1B3F3428"/>
    <w:rsid w:val="1B693CA3"/>
    <w:rsid w:val="1B6E184A"/>
    <w:rsid w:val="1B70D653"/>
    <w:rsid w:val="1B8DA4FA"/>
    <w:rsid w:val="1B9788F3"/>
    <w:rsid w:val="1B98DC9D"/>
    <w:rsid w:val="1BACBB1C"/>
    <w:rsid w:val="1BE657D6"/>
    <w:rsid w:val="1BEA92CB"/>
    <w:rsid w:val="1C0ED6D4"/>
    <w:rsid w:val="1C140DED"/>
    <w:rsid w:val="1C5740A1"/>
    <w:rsid w:val="1C69C859"/>
    <w:rsid w:val="1C6A9E7B"/>
    <w:rsid w:val="1C7A5B73"/>
    <w:rsid w:val="1C7D9EDA"/>
    <w:rsid w:val="1C99728F"/>
    <w:rsid w:val="1C9F6F05"/>
    <w:rsid w:val="1CAFDBF7"/>
    <w:rsid w:val="1CCAFA69"/>
    <w:rsid w:val="1CCB47EF"/>
    <w:rsid w:val="1CD68890"/>
    <w:rsid w:val="1D0BE570"/>
    <w:rsid w:val="1D102F77"/>
    <w:rsid w:val="1D1A994F"/>
    <w:rsid w:val="1D224B79"/>
    <w:rsid w:val="1D372E3E"/>
    <w:rsid w:val="1D4B1579"/>
    <w:rsid w:val="1D500AF3"/>
    <w:rsid w:val="1D5670AA"/>
    <w:rsid w:val="1D921F18"/>
    <w:rsid w:val="1D9BA97D"/>
    <w:rsid w:val="1DB2662F"/>
    <w:rsid w:val="1DD5568F"/>
    <w:rsid w:val="1DE01406"/>
    <w:rsid w:val="1DF13097"/>
    <w:rsid w:val="1DFD2541"/>
    <w:rsid w:val="1E0982CF"/>
    <w:rsid w:val="1E3517F9"/>
    <w:rsid w:val="1E351F88"/>
    <w:rsid w:val="1E3627E9"/>
    <w:rsid w:val="1E385266"/>
    <w:rsid w:val="1E5D81AA"/>
    <w:rsid w:val="1E73907A"/>
    <w:rsid w:val="1E967399"/>
    <w:rsid w:val="1EA4CA48"/>
    <w:rsid w:val="1EB19D36"/>
    <w:rsid w:val="1ECD4809"/>
    <w:rsid w:val="1ED134F5"/>
    <w:rsid w:val="1EE0D424"/>
    <w:rsid w:val="1EE6C087"/>
    <w:rsid w:val="1EFFBE5B"/>
    <w:rsid w:val="1F516666"/>
    <w:rsid w:val="1F5AEE0D"/>
    <w:rsid w:val="1F5BCF10"/>
    <w:rsid w:val="1F8730C9"/>
    <w:rsid w:val="1F9C8783"/>
    <w:rsid w:val="1FA2382C"/>
    <w:rsid w:val="1FADD1C2"/>
    <w:rsid w:val="1FBB360B"/>
    <w:rsid w:val="1FBB3A1B"/>
    <w:rsid w:val="1FCC7348"/>
    <w:rsid w:val="20364B3E"/>
    <w:rsid w:val="204ED0BA"/>
    <w:rsid w:val="2058FA3B"/>
    <w:rsid w:val="205C1837"/>
    <w:rsid w:val="207259C9"/>
    <w:rsid w:val="207A6A8E"/>
    <w:rsid w:val="20B1F552"/>
    <w:rsid w:val="21126385"/>
    <w:rsid w:val="212A55F4"/>
    <w:rsid w:val="21341998"/>
    <w:rsid w:val="2165FBDE"/>
    <w:rsid w:val="218515B7"/>
    <w:rsid w:val="218BFA98"/>
    <w:rsid w:val="21B4D3AE"/>
    <w:rsid w:val="21C19A83"/>
    <w:rsid w:val="21E10295"/>
    <w:rsid w:val="21F84C73"/>
    <w:rsid w:val="22541B14"/>
    <w:rsid w:val="226135FE"/>
    <w:rsid w:val="22854263"/>
    <w:rsid w:val="22936A2D"/>
    <w:rsid w:val="22C38EC3"/>
    <w:rsid w:val="22E4E2C3"/>
    <w:rsid w:val="22F3CEC2"/>
    <w:rsid w:val="22F54610"/>
    <w:rsid w:val="230081E1"/>
    <w:rsid w:val="2359B151"/>
    <w:rsid w:val="235D2216"/>
    <w:rsid w:val="2365DB34"/>
    <w:rsid w:val="23697EFE"/>
    <w:rsid w:val="239F4E41"/>
    <w:rsid w:val="23B2D7AE"/>
    <w:rsid w:val="23BA1162"/>
    <w:rsid w:val="23D60241"/>
    <w:rsid w:val="23EABE12"/>
    <w:rsid w:val="2409C70E"/>
    <w:rsid w:val="24105CB1"/>
    <w:rsid w:val="241F00EB"/>
    <w:rsid w:val="2466A2FF"/>
    <w:rsid w:val="2471B690"/>
    <w:rsid w:val="24AED2F5"/>
    <w:rsid w:val="24EC40ED"/>
    <w:rsid w:val="24EF33E2"/>
    <w:rsid w:val="24F3B7C2"/>
    <w:rsid w:val="24F3BE7C"/>
    <w:rsid w:val="24FAAAA4"/>
    <w:rsid w:val="250B201F"/>
    <w:rsid w:val="251D72D5"/>
    <w:rsid w:val="2533D9A3"/>
    <w:rsid w:val="2539D94A"/>
    <w:rsid w:val="2558DB00"/>
    <w:rsid w:val="257EF335"/>
    <w:rsid w:val="25A74516"/>
    <w:rsid w:val="25AC3A78"/>
    <w:rsid w:val="25BC5B0D"/>
    <w:rsid w:val="25D34C35"/>
    <w:rsid w:val="25DC2CFE"/>
    <w:rsid w:val="25DC8F57"/>
    <w:rsid w:val="2601E10C"/>
    <w:rsid w:val="261DD26C"/>
    <w:rsid w:val="2636791B"/>
    <w:rsid w:val="263A0B91"/>
    <w:rsid w:val="26822770"/>
    <w:rsid w:val="2683C8DF"/>
    <w:rsid w:val="26A3E66E"/>
    <w:rsid w:val="26C4E117"/>
    <w:rsid w:val="26C93CB1"/>
    <w:rsid w:val="26CF1F7B"/>
    <w:rsid w:val="26DE1159"/>
    <w:rsid w:val="2702AC4A"/>
    <w:rsid w:val="27185B12"/>
    <w:rsid w:val="276C8783"/>
    <w:rsid w:val="27702C24"/>
    <w:rsid w:val="277858DA"/>
    <w:rsid w:val="278A63C7"/>
    <w:rsid w:val="27B4B8B0"/>
    <w:rsid w:val="28124CD3"/>
    <w:rsid w:val="281723CF"/>
    <w:rsid w:val="2833D415"/>
    <w:rsid w:val="28500B53"/>
    <w:rsid w:val="28562C7C"/>
    <w:rsid w:val="286F0F4F"/>
    <w:rsid w:val="288F5496"/>
    <w:rsid w:val="28925A58"/>
    <w:rsid w:val="28B570EB"/>
    <w:rsid w:val="28E02CDF"/>
    <w:rsid w:val="28F12D9C"/>
    <w:rsid w:val="29044CB8"/>
    <w:rsid w:val="294BB1F5"/>
    <w:rsid w:val="295ECD42"/>
    <w:rsid w:val="296F1E7D"/>
    <w:rsid w:val="2972CE2A"/>
    <w:rsid w:val="2983DF9C"/>
    <w:rsid w:val="298AF323"/>
    <w:rsid w:val="29ACE0B7"/>
    <w:rsid w:val="29C5CC0F"/>
    <w:rsid w:val="29CDAD0D"/>
    <w:rsid w:val="2A659A8D"/>
    <w:rsid w:val="2A75AADF"/>
    <w:rsid w:val="2A81D084"/>
    <w:rsid w:val="2AC7EAE6"/>
    <w:rsid w:val="2B0219C0"/>
    <w:rsid w:val="2B1C5CD6"/>
    <w:rsid w:val="2B214B56"/>
    <w:rsid w:val="2B33A4A4"/>
    <w:rsid w:val="2B6D679F"/>
    <w:rsid w:val="2B766DE0"/>
    <w:rsid w:val="2B8BAED9"/>
    <w:rsid w:val="2BA004A9"/>
    <w:rsid w:val="2BCB3B47"/>
    <w:rsid w:val="2BE2DDE7"/>
    <w:rsid w:val="2BE39B93"/>
    <w:rsid w:val="2BE57A25"/>
    <w:rsid w:val="2BF131F4"/>
    <w:rsid w:val="2BF3EB60"/>
    <w:rsid w:val="2BF9500C"/>
    <w:rsid w:val="2C022F66"/>
    <w:rsid w:val="2C07AD65"/>
    <w:rsid w:val="2C0EFE9C"/>
    <w:rsid w:val="2C2A4192"/>
    <w:rsid w:val="2C3ABA15"/>
    <w:rsid w:val="2C540E02"/>
    <w:rsid w:val="2C6C8977"/>
    <w:rsid w:val="2C825A7F"/>
    <w:rsid w:val="2C959999"/>
    <w:rsid w:val="2C9A750A"/>
    <w:rsid w:val="2CAA370E"/>
    <w:rsid w:val="2CB8BE7C"/>
    <w:rsid w:val="2CCF9053"/>
    <w:rsid w:val="2D2CAC75"/>
    <w:rsid w:val="2D426ED9"/>
    <w:rsid w:val="2D4CD9E9"/>
    <w:rsid w:val="2D899C27"/>
    <w:rsid w:val="2D8AE817"/>
    <w:rsid w:val="2D8AFDE3"/>
    <w:rsid w:val="2DBA9737"/>
    <w:rsid w:val="2DBF063D"/>
    <w:rsid w:val="2DCB6163"/>
    <w:rsid w:val="2DDF5798"/>
    <w:rsid w:val="2DFB0F85"/>
    <w:rsid w:val="2E06E19E"/>
    <w:rsid w:val="2E66E22F"/>
    <w:rsid w:val="2E68E327"/>
    <w:rsid w:val="2E6CB17C"/>
    <w:rsid w:val="2E921DB8"/>
    <w:rsid w:val="2E9FE02F"/>
    <w:rsid w:val="2EBA0741"/>
    <w:rsid w:val="2EC34F77"/>
    <w:rsid w:val="2EC5B7F5"/>
    <w:rsid w:val="2ECB387E"/>
    <w:rsid w:val="2F29D743"/>
    <w:rsid w:val="2F32619C"/>
    <w:rsid w:val="2F4B061D"/>
    <w:rsid w:val="2F5F0268"/>
    <w:rsid w:val="2F8855BA"/>
    <w:rsid w:val="2F942C77"/>
    <w:rsid w:val="2FAFCA92"/>
    <w:rsid w:val="2FBDA7B6"/>
    <w:rsid w:val="2FE28683"/>
    <w:rsid w:val="2FE8936A"/>
    <w:rsid w:val="301E07C4"/>
    <w:rsid w:val="301E2632"/>
    <w:rsid w:val="303CA853"/>
    <w:rsid w:val="3076D2C5"/>
    <w:rsid w:val="307C3727"/>
    <w:rsid w:val="308DB679"/>
    <w:rsid w:val="30A57D27"/>
    <w:rsid w:val="30BFDCCA"/>
    <w:rsid w:val="30CF4445"/>
    <w:rsid w:val="30F05C7C"/>
    <w:rsid w:val="30F40458"/>
    <w:rsid w:val="3100ABD4"/>
    <w:rsid w:val="3122237E"/>
    <w:rsid w:val="31230D56"/>
    <w:rsid w:val="314AF3C6"/>
    <w:rsid w:val="3159F30A"/>
    <w:rsid w:val="31719954"/>
    <w:rsid w:val="317E4FFB"/>
    <w:rsid w:val="319EE50F"/>
    <w:rsid w:val="31A9A034"/>
    <w:rsid w:val="31B4BFA7"/>
    <w:rsid w:val="31CE4E7A"/>
    <w:rsid w:val="31F6959B"/>
    <w:rsid w:val="31FE5A6B"/>
    <w:rsid w:val="3208881D"/>
    <w:rsid w:val="321A418A"/>
    <w:rsid w:val="321D87AA"/>
    <w:rsid w:val="32907844"/>
    <w:rsid w:val="329D7E60"/>
    <w:rsid w:val="32A44402"/>
    <w:rsid w:val="32BA78C0"/>
    <w:rsid w:val="32DA75FB"/>
    <w:rsid w:val="32EFC67D"/>
    <w:rsid w:val="32F6F201"/>
    <w:rsid w:val="33078A92"/>
    <w:rsid w:val="332CCC05"/>
    <w:rsid w:val="33744DAD"/>
    <w:rsid w:val="3396E7D5"/>
    <w:rsid w:val="339844A4"/>
    <w:rsid w:val="33B58ED9"/>
    <w:rsid w:val="33BCE382"/>
    <w:rsid w:val="3422033D"/>
    <w:rsid w:val="342A45B8"/>
    <w:rsid w:val="3449FFD8"/>
    <w:rsid w:val="347E87A2"/>
    <w:rsid w:val="3488B20C"/>
    <w:rsid w:val="34D8FF87"/>
    <w:rsid w:val="34E31B81"/>
    <w:rsid w:val="354CA192"/>
    <w:rsid w:val="35529A72"/>
    <w:rsid w:val="3574869A"/>
    <w:rsid w:val="35AA7835"/>
    <w:rsid w:val="35B34EB9"/>
    <w:rsid w:val="35E678EF"/>
    <w:rsid w:val="3609E94B"/>
    <w:rsid w:val="3649C3B5"/>
    <w:rsid w:val="365E7454"/>
    <w:rsid w:val="366B9B18"/>
    <w:rsid w:val="366D7BAD"/>
    <w:rsid w:val="36708979"/>
    <w:rsid w:val="367F5B2D"/>
    <w:rsid w:val="367FEA55"/>
    <w:rsid w:val="368B472E"/>
    <w:rsid w:val="3692063D"/>
    <w:rsid w:val="36A63096"/>
    <w:rsid w:val="36CAD075"/>
    <w:rsid w:val="36CE3975"/>
    <w:rsid w:val="36D184E3"/>
    <w:rsid w:val="36E3FC81"/>
    <w:rsid w:val="36F9D153"/>
    <w:rsid w:val="36FC4B77"/>
    <w:rsid w:val="371F3AEB"/>
    <w:rsid w:val="372B6DA5"/>
    <w:rsid w:val="3733968D"/>
    <w:rsid w:val="374D40D8"/>
    <w:rsid w:val="375337E1"/>
    <w:rsid w:val="37AD323B"/>
    <w:rsid w:val="37B39C75"/>
    <w:rsid w:val="37C0687F"/>
    <w:rsid w:val="37FF8093"/>
    <w:rsid w:val="385A8564"/>
    <w:rsid w:val="386507EA"/>
    <w:rsid w:val="386D7489"/>
    <w:rsid w:val="38825D89"/>
    <w:rsid w:val="388B252D"/>
    <w:rsid w:val="38A36A8F"/>
    <w:rsid w:val="38FD532E"/>
    <w:rsid w:val="39160A0F"/>
    <w:rsid w:val="3918B88D"/>
    <w:rsid w:val="3930BFC3"/>
    <w:rsid w:val="39450A7E"/>
    <w:rsid w:val="394D5557"/>
    <w:rsid w:val="398968EF"/>
    <w:rsid w:val="3A2E75E6"/>
    <w:rsid w:val="3A4C4D24"/>
    <w:rsid w:val="3A50B809"/>
    <w:rsid w:val="3A7C7EE4"/>
    <w:rsid w:val="3A981AE9"/>
    <w:rsid w:val="3AC0FDFC"/>
    <w:rsid w:val="3B089D16"/>
    <w:rsid w:val="3B3731EE"/>
    <w:rsid w:val="3B9717A6"/>
    <w:rsid w:val="3BC02116"/>
    <w:rsid w:val="3BEB28E2"/>
    <w:rsid w:val="3BEF5606"/>
    <w:rsid w:val="3C021CDA"/>
    <w:rsid w:val="3C026513"/>
    <w:rsid w:val="3C16F238"/>
    <w:rsid w:val="3C282F81"/>
    <w:rsid w:val="3C520245"/>
    <w:rsid w:val="3C5D4A2E"/>
    <w:rsid w:val="3C7E1E06"/>
    <w:rsid w:val="3C83C24B"/>
    <w:rsid w:val="3C9744CC"/>
    <w:rsid w:val="3CC87527"/>
    <w:rsid w:val="3CF53502"/>
    <w:rsid w:val="3D9CEACC"/>
    <w:rsid w:val="3DB6FCA7"/>
    <w:rsid w:val="3DC6C421"/>
    <w:rsid w:val="3DC764F9"/>
    <w:rsid w:val="3DFAA104"/>
    <w:rsid w:val="3E007DED"/>
    <w:rsid w:val="3E0508D2"/>
    <w:rsid w:val="3E061B89"/>
    <w:rsid w:val="3E1614A3"/>
    <w:rsid w:val="3E45DA87"/>
    <w:rsid w:val="3E95559B"/>
    <w:rsid w:val="3EB8601D"/>
    <w:rsid w:val="3EDB3954"/>
    <w:rsid w:val="3EF05203"/>
    <w:rsid w:val="3F067EA6"/>
    <w:rsid w:val="3F0F8EDD"/>
    <w:rsid w:val="3F429D90"/>
    <w:rsid w:val="3F5C1018"/>
    <w:rsid w:val="3F619527"/>
    <w:rsid w:val="3F68F565"/>
    <w:rsid w:val="3F73CA12"/>
    <w:rsid w:val="3FCE924D"/>
    <w:rsid w:val="3FEAA68E"/>
    <w:rsid w:val="3FEBA2CD"/>
    <w:rsid w:val="403F1154"/>
    <w:rsid w:val="406EEBC5"/>
    <w:rsid w:val="40C7DC86"/>
    <w:rsid w:val="4137C13D"/>
    <w:rsid w:val="41620064"/>
    <w:rsid w:val="41664AF7"/>
    <w:rsid w:val="4167DFE7"/>
    <w:rsid w:val="417127B1"/>
    <w:rsid w:val="41AB25B2"/>
    <w:rsid w:val="41B024E0"/>
    <w:rsid w:val="41B95DBB"/>
    <w:rsid w:val="41FE4C9F"/>
    <w:rsid w:val="420E2840"/>
    <w:rsid w:val="422E68D4"/>
    <w:rsid w:val="427A7159"/>
    <w:rsid w:val="427ED09E"/>
    <w:rsid w:val="42C6FD43"/>
    <w:rsid w:val="42DC75EA"/>
    <w:rsid w:val="42DDDC01"/>
    <w:rsid w:val="42E24F35"/>
    <w:rsid w:val="430BC7B0"/>
    <w:rsid w:val="432D3804"/>
    <w:rsid w:val="43341594"/>
    <w:rsid w:val="433A1E08"/>
    <w:rsid w:val="436140FD"/>
    <w:rsid w:val="43ED1012"/>
    <w:rsid w:val="43ED33FE"/>
    <w:rsid w:val="43ED9403"/>
    <w:rsid w:val="4403FE80"/>
    <w:rsid w:val="440E5B54"/>
    <w:rsid w:val="44710813"/>
    <w:rsid w:val="44796F30"/>
    <w:rsid w:val="448D7AA3"/>
    <w:rsid w:val="44C3F7FD"/>
    <w:rsid w:val="44D55F20"/>
    <w:rsid w:val="44FB0B64"/>
    <w:rsid w:val="4516A37A"/>
    <w:rsid w:val="455EAA4D"/>
    <w:rsid w:val="4567616F"/>
    <w:rsid w:val="4573C674"/>
    <w:rsid w:val="459C3449"/>
    <w:rsid w:val="45BFC8B6"/>
    <w:rsid w:val="45C2592D"/>
    <w:rsid w:val="45FD248C"/>
    <w:rsid w:val="45FFC8D3"/>
    <w:rsid w:val="46007D00"/>
    <w:rsid w:val="46025180"/>
    <w:rsid w:val="460B7196"/>
    <w:rsid w:val="468B2CBE"/>
    <w:rsid w:val="4692C7F9"/>
    <w:rsid w:val="4696F0F2"/>
    <w:rsid w:val="469E49D5"/>
    <w:rsid w:val="46B2830B"/>
    <w:rsid w:val="46BBDFE8"/>
    <w:rsid w:val="46E04D1F"/>
    <w:rsid w:val="46E0A1D8"/>
    <w:rsid w:val="46EED6D2"/>
    <w:rsid w:val="46F9C83E"/>
    <w:rsid w:val="47031BFA"/>
    <w:rsid w:val="4729DBE1"/>
    <w:rsid w:val="4771E187"/>
    <w:rsid w:val="4788D556"/>
    <w:rsid w:val="47AB02E9"/>
    <w:rsid w:val="47C1F872"/>
    <w:rsid w:val="47F16A4C"/>
    <w:rsid w:val="4804695D"/>
    <w:rsid w:val="480D6519"/>
    <w:rsid w:val="48664F9C"/>
    <w:rsid w:val="486BD4D8"/>
    <w:rsid w:val="48D5B3C7"/>
    <w:rsid w:val="48FA6C7B"/>
    <w:rsid w:val="490496A5"/>
    <w:rsid w:val="490D05D0"/>
    <w:rsid w:val="490E1A43"/>
    <w:rsid w:val="491E14DA"/>
    <w:rsid w:val="49418B71"/>
    <w:rsid w:val="49531B07"/>
    <w:rsid w:val="498057D3"/>
    <w:rsid w:val="4993DF55"/>
    <w:rsid w:val="49A7890B"/>
    <w:rsid w:val="49B867B0"/>
    <w:rsid w:val="49C6251D"/>
    <w:rsid w:val="49CDEF75"/>
    <w:rsid w:val="49F552BD"/>
    <w:rsid w:val="49F92B30"/>
    <w:rsid w:val="4A04F474"/>
    <w:rsid w:val="4A0D6219"/>
    <w:rsid w:val="4A36B327"/>
    <w:rsid w:val="4A531752"/>
    <w:rsid w:val="4A62BB0D"/>
    <w:rsid w:val="4A9E0D2F"/>
    <w:rsid w:val="4AADA3DF"/>
    <w:rsid w:val="4ACB0113"/>
    <w:rsid w:val="4ACB0F69"/>
    <w:rsid w:val="4ACC7893"/>
    <w:rsid w:val="4ACDE36A"/>
    <w:rsid w:val="4AD00A2E"/>
    <w:rsid w:val="4AE218D2"/>
    <w:rsid w:val="4AEA50F0"/>
    <w:rsid w:val="4AECF524"/>
    <w:rsid w:val="4B130470"/>
    <w:rsid w:val="4B1C22ED"/>
    <w:rsid w:val="4B4243F6"/>
    <w:rsid w:val="4B42F103"/>
    <w:rsid w:val="4B50F055"/>
    <w:rsid w:val="4BA06CC1"/>
    <w:rsid w:val="4BB4DBE2"/>
    <w:rsid w:val="4BCA2672"/>
    <w:rsid w:val="4BCE1CF5"/>
    <w:rsid w:val="4BE3C0A5"/>
    <w:rsid w:val="4C046B6C"/>
    <w:rsid w:val="4C13CC6A"/>
    <w:rsid w:val="4C44CC63"/>
    <w:rsid w:val="4C6C40A3"/>
    <w:rsid w:val="4C7DDD10"/>
    <w:rsid w:val="4CA03032"/>
    <w:rsid w:val="4D162612"/>
    <w:rsid w:val="4D9AF1E2"/>
    <w:rsid w:val="4D9FA5F2"/>
    <w:rsid w:val="4DCAE516"/>
    <w:rsid w:val="4DD940C3"/>
    <w:rsid w:val="4DFFB02E"/>
    <w:rsid w:val="4E1CC28B"/>
    <w:rsid w:val="4E30F2EA"/>
    <w:rsid w:val="4E3C27E4"/>
    <w:rsid w:val="4E6EEE73"/>
    <w:rsid w:val="4E7B7A7F"/>
    <w:rsid w:val="4E7E3191"/>
    <w:rsid w:val="4E827C12"/>
    <w:rsid w:val="4E930090"/>
    <w:rsid w:val="4E9C5365"/>
    <w:rsid w:val="4EAA3CE8"/>
    <w:rsid w:val="4EC969AA"/>
    <w:rsid w:val="4F20286A"/>
    <w:rsid w:val="4F415C8B"/>
    <w:rsid w:val="4F6AC13F"/>
    <w:rsid w:val="4F7D76B6"/>
    <w:rsid w:val="4FED24EC"/>
    <w:rsid w:val="4FF77F30"/>
    <w:rsid w:val="4FFE8A21"/>
    <w:rsid w:val="500E9345"/>
    <w:rsid w:val="50221858"/>
    <w:rsid w:val="503202DF"/>
    <w:rsid w:val="5067625C"/>
    <w:rsid w:val="506C846E"/>
    <w:rsid w:val="5088E22C"/>
    <w:rsid w:val="5090CD09"/>
    <w:rsid w:val="5099D2D9"/>
    <w:rsid w:val="50EDD18B"/>
    <w:rsid w:val="5102C3D9"/>
    <w:rsid w:val="51061E05"/>
    <w:rsid w:val="513C1DD1"/>
    <w:rsid w:val="515C5378"/>
    <w:rsid w:val="5164B300"/>
    <w:rsid w:val="517B7E0C"/>
    <w:rsid w:val="518D23AC"/>
    <w:rsid w:val="518E61A5"/>
    <w:rsid w:val="51A5623F"/>
    <w:rsid w:val="51A6EE0B"/>
    <w:rsid w:val="51A840A0"/>
    <w:rsid w:val="51BFF6AA"/>
    <w:rsid w:val="51C2DD93"/>
    <w:rsid w:val="5214247C"/>
    <w:rsid w:val="52C04462"/>
    <w:rsid w:val="52D6C80A"/>
    <w:rsid w:val="52DAC588"/>
    <w:rsid w:val="52ED4978"/>
    <w:rsid w:val="52FB4445"/>
    <w:rsid w:val="53052DEB"/>
    <w:rsid w:val="53220CC3"/>
    <w:rsid w:val="5338CE9C"/>
    <w:rsid w:val="534628FD"/>
    <w:rsid w:val="534FA073"/>
    <w:rsid w:val="5356C222"/>
    <w:rsid w:val="5376FBC5"/>
    <w:rsid w:val="53A0FB06"/>
    <w:rsid w:val="53A23C2A"/>
    <w:rsid w:val="53E64408"/>
    <w:rsid w:val="542630CC"/>
    <w:rsid w:val="5468D1D1"/>
    <w:rsid w:val="54836E59"/>
    <w:rsid w:val="54E40DAB"/>
    <w:rsid w:val="54F48A20"/>
    <w:rsid w:val="54FF47CA"/>
    <w:rsid w:val="551A1312"/>
    <w:rsid w:val="554FBB4A"/>
    <w:rsid w:val="557EEC20"/>
    <w:rsid w:val="558D1C17"/>
    <w:rsid w:val="55A270A6"/>
    <w:rsid w:val="55B7FD84"/>
    <w:rsid w:val="55C953A1"/>
    <w:rsid w:val="55D54590"/>
    <w:rsid w:val="55D7F4EE"/>
    <w:rsid w:val="5611E06E"/>
    <w:rsid w:val="562929F4"/>
    <w:rsid w:val="56362AE1"/>
    <w:rsid w:val="56474F15"/>
    <w:rsid w:val="569EE444"/>
    <w:rsid w:val="56A5A271"/>
    <w:rsid w:val="56ACA52F"/>
    <w:rsid w:val="56B3C740"/>
    <w:rsid w:val="56C4AFAE"/>
    <w:rsid w:val="56D0F5F9"/>
    <w:rsid w:val="56F23A31"/>
    <w:rsid w:val="56FEDEF3"/>
    <w:rsid w:val="57526771"/>
    <w:rsid w:val="5761B0C1"/>
    <w:rsid w:val="577BBA6A"/>
    <w:rsid w:val="57C42896"/>
    <w:rsid w:val="57D1410A"/>
    <w:rsid w:val="58497737"/>
    <w:rsid w:val="589C2C01"/>
    <w:rsid w:val="58CEE61A"/>
    <w:rsid w:val="58DA5965"/>
    <w:rsid w:val="58E95EBF"/>
    <w:rsid w:val="590230B3"/>
    <w:rsid w:val="5906A47E"/>
    <w:rsid w:val="590D585D"/>
    <w:rsid w:val="593BF52D"/>
    <w:rsid w:val="594989D7"/>
    <w:rsid w:val="59505356"/>
    <w:rsid w:val="59541C5F"/>
    <w:rsid w:val="595F7FB3"/>
    <w:rsid w:val="59752330"/>
    <w:rsid w:val="59833F87"/>
    <w:rsid w:val="5994E595"/>
    <w:rsid w:val="5995F881"/>
    <w:rsid w:val="599A47F3"/>
    <w:rsid w:val="599E962B"/>
    <w:rsid w:val="59B4BFFA"/>
    <w:rsid w:val="59BFA619"/>
    <w:rsid w:val="59E03191"/>
    <w:rsid w:val="59EDC940"/>
    <w:rsid w:val="5A21A1E0"/>
    <w:rsid w:val="5A358311"/>
    <w:rsid w:val="5A4CA306"/>
    <w:rsid w:val="5A5335E8"/>
    <w:rsid w:val="5A62BA24"/>
    <w:rsid w:val="5A93E462"/>
    <w:rsid w:val="5A9A4AF6"/>
    <w:rsid w:val="5AC8E77D"/>
    <w:rsid w:val="5AD193FB"/>
    <w:rsid w:val="5B114729"/>
    <w:rsid w:val="5B374B81"/>
    <w:rsid w:val="5B64AC6B"/>
    <w:rsid w:val="5BA17F61"/>
    <w:rsid w:val="5BA3E03E"/>
    <w:rsid w:val="5BB6E71C"/>
    <w:rsid w:val="5BBB8FAD"/>
    <w:rsid w:val="5BBE4056"/>
    <w:rsid w:val="5BD3EB99"/>
    <w:rsid w:val="5BFFE83F"/>
    <w:rsid w:val="5C137D93"/>
    <w:rsid w:val="5C60FFFA"/>
    <w:rsid w:val="5C6D94E8"/>
    <w:rsid w:val="5CA20F04"/>
    <w:rsid w:val="5CA3A37C"/>
    <w:rsid w:val="5CDE66F0"/>
    <w:rsid w:val="5D007B24"/>
    <w:rsid w:val="5D010246"/>
    <w:rsid w:val="5D314D3F"/>
    <w:rsid w:val="5D3C7565"/>
    <w:rsid w:val="5D400FAF"/>
    <w:rsid w:val="5D4E07F8"/>
    <w:rsid w:val="5D5F7D84"/>
    <w:rsid w:val="5D61A262"/>
    <w:rsid w:val="5D6DC1CB"/>
    <w:rsid w:val="5D79D3B3"/>
    <w:rsid w:val="5D94812A"/>
    <w:rsid w:val="5DD3BDA7"/>
    <w:rsid w:val="5DDF615D"/>
    <w:rsid w:val="5DFC4373"/>
    <w:rsid w:val="5E22F30D"/>
    <w:rsid w:val="5E4CA196"/>
    <w:rsid w:val="5E6C13B1"/>
    <w:rsid w:val="5E964C9E"/>
    <w:rsid w:val="5EDD2324"/>
    <w:rsid w:val="5EEB883F"/>
    <w:rsid w:val="5F066D7E"/>
    <w:rsid w:val="5F1E5834"/>
    <w:rsid w:val="5F27BB8E"/>
    <w:rsid w:val="5FAEBC4B"/>
    <w:rsid w:val="5FB5D89C"/>
    <w:rsid w:val="5FDE77FA"/>
    <w:rsid w:val="5FE04C63"/>
    <w:rsid w:val="5FE2B4B3"/>
    <w:rsid w:val="5FF19690"/>
    <w:rsid w:val="600F43DC"/>
    <w:rsid w:val="60488BB4"/>
    <w:rsid w:val="60539B93"/>
    <w:rsid w:val="6056438A"/>
    <w:rsid w:val="605BAEC9"/>
    <w:rsid w:val="6064C214"/>
    <w:rsid w:val="60670B3A"/>
    <w:rsid w:val="608FFCD3"/>
    <w:rsid w:val="609733C4"/>
    <w:rsid w:val="60A0F93F"/>
    <w:rsid w:val="60A64A33"/>
    <w:rsid w:val="60DFEC2F"/>
    <w:rsid w:val="612C3552"/>
    <w:rsid w:val="614B5CB2"/>
    <w:rsid w:val="6171BFCD"/>
    <w:rsid w:val="61941357"/>
    <w:rsid w:val="61A92C87"/>
    <w:rsid w:val="61E21B03"/>
    <w:rsid w:val="61E79107"/>
    <w:rsid w:val="61F0341B"/>
    <w:rsid w:val="620A7E17"/>
    <w:rsid w:val="620B5246"/>
    <w:rsid w:val="62234584"/>
    <w:rsid w:val="622544C9"/>
    <w:rsid w:val="62256412"/>
    <w:rsid w:val="62747C31"/>
    <w:rsid w:val="62C2B28F"/>
    <w:rsid w:val="62E4B68A"/>
    <w:rsid w:val="62FBCA6A"/>
    <w:rsid w:val="6330C049"/>
    <w:rsid w:val="634C2E4A"/>
    <w:rsid w:val="6353E5AE"/>
    <w:rsid w:val="639ED8C6"/>
    <w:rsid w:val="63C7CC62"/>
    <w:rsid w:val="63DBC50F"/>
    <w:rsid w:val="63EE0AFA"/>
    <w:rsid w:val="63FAAF4A"/>
    <w:rsid w:val="640DFC22"/>
    <w:rsid w:val="6427C2E1"/>
    <w:rsid w:val="64463D2C"/>
    <w:rsid w:val="6447F4D7"/>
    <w:rsid w:val="645C16AF"/>
    <w:rsid w:val="64790EEC"/>
    <w:rsid w:val="6480DBD5"/>
    <w:rsid w:val="64B3A999"/>
    <w:rsid w:val="64B5BAB1"/>
    <w:rsid w:val="64CD12E3"/>
    <w:rsid w:val="65061814"/>
    <w:rsid w:val="651B9FA2"/>
    <w:rsid w:val="65508E68"/>
    <w:rsid w:val="656FDDCA"/>
    <w:rsid w:val="6571E605"/>
    <w:rsid w:val="6583F44C"/>
    <w:rsid w:val="658830D0"/>
    <w:rsid w:val="658E20CB"/>
    <w:rsid w:val="65CFC743"/>
    <w:rsid w:val="65DA87CC"/>
    <w:rsid w:val="65DE5238"/>
    <w:rsid w:val="662FD906"/>
    <w:rsid w:val="667E1050"/>
    <w:rsid w:val="6693F03D"/>
    <w:rsid w:val="66966210"/>
    <w:rsid w:val="66D8A18F"/>
    <w:rsid w:val="66DCDCF8"/>
    <w:rsid w:val="66F56813"/>
    <w:rsid w:val="67405C25"/>
    <w:rsid w:val="6772E41B"/>
    <w:rsid w:val="678BED7C"/>
    <w:rsid w:val="67C68271"/>
    <w:rsid w:val="67E50A1B"/>
    <w:rsid w:val="67E6E22C"/>
    <w:rsid w:val="67E9D0F1"/>
    <w:rsid w:val="67F9CE25"/>
    <w:rsid w:val="682CCE56"/>
    <w:rsid w:val="6850D9B5"/>
    <w:rsid w:val="687CC63D"/>
    <w:rsid w:val="6887FF44"/>
    <w:rsid w:val="689885B0"/>
    <w:rsid w:val="68BB9A0E"/>
    <w:rsid w:val="68BDA59B"/>
    <w:rsid w:val="68CC8B64"/>
    <w:rsid w:val="690CF518"/>
    <w:rsid w:val="691098B8"/>
    <w:rsid w:val="691CE20D"/>
    <w:rsid w:val="6963CCF2"/>
    <w:rsid w:val="696EDD16"/>
    <w:rsid w:val="6978BF49"/>
    <w:rsid w:val="69E57E5A"/>
    <w:rsid w:val="69FE5185"/>
    <w:rsid w:val="6A14CF38"/>
    <w:rsid w:val="6A2C4AC6"/>
    <w:rsid w:val="6A68E6E6"/>
    <w:rsid w:val="6A68E7C8"/>
    <w:rsid w:val="6AB12206"/>
    <w:rsid w:val="6AB6DDE2"/>
    <w:rsid w:val="6ABD9598"/>
    <w:rsid w:val="6AF1D9DC"/>
    <w:rsid w:val="6B012A16"/>
    <w:rsid w:val="6B193808"/>
    <w:rsid w:val="6B38A720"/>
    <w:rsid w:val="6B40DA32"/>
    <w:rsid w:val="6B43526F"/>
    <w:rsid w:val="6B5B0B4F"/>
    <w:rsid w:val="6B91E262"/>
    <w:rsid w:val="6B9F17F9"/>
    <w:rsid w:val="6BA17DAC"/>
    <w:rsid w:val="6BB55E26"/>
    <w:rsid w:val="6BD245D0"/>
    <w:rsid w:val="6BD893FC"/>
    <w:rsid w:val="6BE3EF6D"/>
    <w:rsid w:val="6C0CD6CB"/>
    <w:rsid w:val="6C3162D8"/>
    <w:rsid w:val="6C335AA9"/>
    <w:rsid w:val="6C4248ED"/>
    <w:rsid w:val="6C4B0EFA"/>
    <w:rsid w:val="6C5B8AA7"/>
    <w:rsid w:val="6CE92DC9"/>
    <w:rsid w:val="6CECA782"/>
    <w:rsid w:val="6CEEF993"/>
    <w:rsid w:val="6CEEFD52"/>
    <w:rsid w:val="6D50E6C5"/>
    <w:rsid w:val="6D7A320E"/>
    <w:rsid w:val="6D7C12C6"/>
    <w:rsid w:val="6D7FD10C"/>
    <w:rsid w:val="6D976033"/>
    <w:rsid w:val="6DAE45C1"/>
    <w:rsid w:val="6DCB9B3E"/>
    <w:rsid w:val="6DF098B5"/>
    <w:rsid w:val="6E1BBCA9"/>
    <w:rsid w:val="6E40C5BC"/>
    <w:rsid w:val="6E5FADC6"/>
    <w:rsid w:val="6E6FDF79"/>
    <w:rsid w:val="6E84BB8B"/>
    <w:rsid w:val="6E93A20E"/>
    <w:rsid w:val="6EAE253F"/>
    <w:rsid w:val="6EBC3CEF"/>
    <w:rsid w:val="6EDA1E74"/>
    <w:rsid w:val="6F247DA3"/>
    <w:rsid w:val="6F33E5B4"/>
    <w:rsid w:val="6F353BD1"/>
    <w:rsid w:val="6F4A73D7"/>
    <w:rsid w:val="6F71C846"/>
    <w:rsid w:val="6F8037CB"/>
    <w:rsid w:val="6FAE513F"/>
    <w:rsid w:val="6FBC449E"/>
    <w:rsid w:val="6FDAD8AE"/>
    <w:rsid w:val="6FE24EDF"/>
    <w:rsid w:val="6FEFCBE1"/>
    <w:rsid w:val="70033822"/>
    <w:rsid w:val="701D8CA4"/>
    <w:rsid w:val="702A5679"/>
    <w:rsid w:val="703B0075"/>
    <w:rsid w:val="703DA2E7"/>
    <w:rsid w:val="70428143"/>
    <w:rsid w:val="7049D48A"/>
    <w:rsid w:val="7054A95F"/>
    <w:rsid w:val="70767A6E"/>
    <w:rsid w:val="70B0025C"/>
    <w:rsid w:val="70DAB4C8"/>
    <w:rsid w:val="70E874CE"/>
    <w:rsid w:val="70EB8F37"/>
    <w:rsid w:val="71087BB7"/>
    <w:rsid w:val="71957E93"/>
    <w:rsid w:val="71B6FFEF"/>
    <w:rsid w:val="71C3A6E4"/>
    <w:rsid w:val="71CBF6BB"/>
    <w:rsid w:val="71F1590E"/>
    <w:rsid w:val="72013B22"/>
    <w:rsid w:val="721B2EDD"/>
    <w:rsid w:val="7223BD32"/>
    <w:rsid w:val="722703DD"/>
    <w:rsid w:val="729C71F2"/>
    <w:rsid w:val="72A28210"/>
    <w:rsid w:val="72B03F89"/>
    <w:rsid w:val="72B1A4E0"/>
    <w:rsid w:val="72BA05C7"/>
    <w:rsid w:val="72E4FEC8"/>
    <w:rsid w:val="72F9F7A4"/>
    <w:rsid w:val="730AAD67"/>
    <w:rsid w:val="734260D1"/>
    <w:rsid w:val="7352F675"/>
    <w:rsid w:val="7353BDA6"/>
    <w:rsid w:val="7371D108"/>
    <w:rsid w:val="73758EF4"/>
    <w:rsid w:val="73A525CC"/>
    <w:rsid w:val="73BB2D4C"/>
    <w:rsid w:val="73BFDB9A"/>
    <w:rsid w:val="73D8102A"/>
    <w:rsid w:val="73E81C05"/>
    <w:rsid w:val="73F54A01"/>
    <w:rsid w:val="741E6D54"/>
    <w:rsid w:val="74B19CBD"/>
    <w:rsid w:val="74E45C8D"/>
    <w:rsid w:val="74F5DAD7"/>
    <w:rsid w:val="7514841D"/>
    <w:rsid w:val="751DD037"/>
    <w:rsid w:val="75468D5D"/>
    <w:rsid w:val="7613291C"/>
    <w:rsid w:val="762652A3"/>
    <w:rsid w:val="7630BBC5"/>
    <w:rsid w:val="765F65D4"/>
    <w:rsid w:val="76725859"/>
    <w:rsid w:val="767C2DC3"/>
    <w:rsid w:val="769D326F"/>
    <w:rsid w:val="76A0E219"/>
    <w:rsid w:val="76C30C18"/>
    <w:rsid w:val="76E6A458"/>
    <w:rsid w:val="76F95335"/>
    <w:rsid w:val="771BB23B"/>
    <w:rsid w:val="7726DB86"/>
    <w:rsid w:val="774FD5C4"/>
    <w:rsid w:val="775D442E"/>
    <w:rsid w:val="776A8E88"/>
    <w:rsid w:val="776FE511"/>
    <w:rsid w:val="778247E5"/>
    <w:rsid w:val="7785012C"/>
    <w:rsid w:val="77919E73"/>
    <w:rsid w:val="7796E024"/>
    <w:rsid w:val="77BE6015"/>
    <w:rsid w:val="77CA988D"/>
    <w:rsid w:val="77F3A630"/>
    <w:rsid w:val="782DF9EF"/>
    <w:rsid w:val="78351F56"/>
    <w:rsid w:val="785A782F"/>
    <w:rsid w:val="788F534B"/>
    <w:rsid w:val="78BD4BBF"/>
    <w:rsid w:val="78E8CE89"/>
    <w:rsid w:val="78EFAB54"/>
    <w:rsid w:val="7908329B"/>
    <w:rsid w:val="790B6BFF"/>
    <w:rsid w:val="79305743"/>
    <w:rsid w:val="793E9271"/>
    <w:rsid w:val="79592D97"/>
    <w:rsid w:val="795F0B37"/>
    <w:rsid w:val="796572C1"/>
    <w:rsid w:val="798312EB"/>
    <w:rsid w:val="79A00FA9"/>
    <w:rsid w:val="79A96BF8"/>
    <w:rsid w:val="79A9C5CC"/>
    <w:rsid w:val="79B3D290"/>
    <w:rsid w:val="79BD5F43"/>
    <w:rsid w:val="7A17331E"/>
    <w:rsid w:val="7A782F61"/>
    <w:rsid w:val="7A8502BA"/>
    <w:rsid w:val="7A899B9A"/>
    <w:rsid w:val="7AB813C6"/>
    <w:rsid w:val="7AB843AD"/>
    <w:rsid w:val="7B0E92CE"/>
    <w:rsid w:val="7B295FE5"/>
    <w:rsid w:val="7B382F42"/>
    <w:rsid w:val="7B4856F6"/>
    <w:rsid w:val="7B565575"/>
    <w:rsid w:val="7B5F2620"/>
    <w:rsid w:val="7B742E5E"/>
    <w:rsid w:val="7B7BE0D4"/>
    <w:rsid w:val="7B8FDCB2"/>
    <w:rsid w:val="7B99E32A"/>
    <w:rsid w:val="7B9D6C54"/>
    <w:rsid w:val="7BC9C7DE"/>
    <w:rsid w:val="7BD1DB55"/>
    <w:rsid w:val="7BE7C29F"/>
    <w:rsid w:val="7C189A38"/>
    <w:rsid w:val="7C368924"/>
    <w:rsid w:val="7C6BBB2A"/>
    <w:rsid w:val="7CAB9697"/>
    <w:rsid w:val="7CCA639E"/>
    <w:rsid w:val="7CFF8DA4"/>
    <w:rsid w:val="7D01EB41"/>
    <w:rsid w:val="7D248AD5"/>
    <w:rsid w:val="7D2DDB7E"/>
    <w:rsid w:val="7D69BDD1"/>
    <w:rsid w:val="7DF16862"/>
    <w:rsid w:val="7E1858E5"/>
    <w:rsid w:val="7E59D705"/>
    <w:rsid w:val="7E5D9961"/>
    <w:rsid w:val="7E725408"/>
    <w:rsid w:val="7E88F543"/>
    <w:rsid w:val="7E936F2E"/>
    <w:rsid w:val="7EBC0D67"/>
    <w:rsid w:val="7F339F9D"/>
    <w:rsid w:val="7F3A516E"/>
    <w:rsid w:val="7F641C46"/>
    <w:rsid w:val="7F72F565"/>
    <w:rsid w:val="7F861079"/>
    <w:rsid w:val="7FAA7F70"/>
    <w:rsid w:val="7FC0F789"/>
    <w:rsid w:val="7FED3D88"/>
    <w:rsid w:val="7FFA5298"/>
  </w:rsids>
  <m:mathPr>
    <m:mathFont m:val="Cambria Math"/>
    <m:brkBin m:val="before"/>
    <m:brkBinSub m:val="--"/>
    <m:smallFrac m:val="0"/>
    <m:dispDef/>
    <m:lMargin m:val="0"/>
    <m:rMargin m:val="0"/>
    <m:defJc m:val="centerGroup"/>
    <m:wrapIndent m:val="1440"/>
    <m:intLim m:val="subSup"/>
    <m:naryLim m:val="undOvr"/>
  </m:mathPr>
  <w:themeFontLang w:val="es-CO" w:eastAsia="ja-JP"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AB83E3"/>
  <w15:chartTrackingRefBased/>
  <w15:docId w15:val="{1CCD4887-EA96-4F4D-BDF8-AF10EFAB3DD1}"/>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1"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Ttulo1">
    <w:name w:val="heading 1"/>
    <w:basedOn w:val="Normal"/>
    <w:next w:val="Normal"/>
    <w:link w:val="Ttulo1Car"/>
    <w:uiPriority w:val="9"/>
    <w:qFormat/>
    <w:rsid w:val="00A66036"/>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Ttulo2">
    <w:name w:val="heading 2"/>
    <w:basedOn w:val="Normal"/>
    <w:next w:val="Normal"/>
    <w:link w:val="Ttulo2Car"/>
    <w:uiPriority w:val="9"/>
    <w:unhideWhenUsed/>
    <w:qFormat/>
    <w:rsid w:val="00A66036"/>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A66036"/>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unhideWhenUsed/>
    <w:qFormat/>
    <w:rsid w:val="00A66036"/>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A66036"/>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A66036"/>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A66036"/>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A66036"/>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A66036"/>
    <w:pPr>
      <w:keepNext/>
      <w:keepLines/>
      <w:spacing w:after="0"/>
      <w:outlineLvl w:val="8"/>
    </w:pPr>
    <w:rPr>
      <w:rFonts w:eastAsiaTheme="majorEastAsia" w:cstheme="majorBidi"/>
      <w:color w:val="272727" w:themeColor="text1" w:themeTint="D8"/>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character" w:styleId="Ttulo1Car" w:customStyle="1">
    <w:name w:val="Título 1 Car"/>
    <w:basedOn w:val="Fuentedeprrafopredeter"/>
    <w:link w:val="Ttulo1"/>
    <w:uiPriority w:val="9"/>
    <w:rsid w:val="00A66036"/>
    <w:rPr>
      <w:rFonts w:asciiTheme="majorHAnsi" w:hAnsiTheme="majorHAnsi" w:eastAsiaTheme="majorEastAsia" w:cstheme="majorBidi"/>
      <w:color w:val="0F4761" w:themeColor="accent1" w:themeShade="BF"/>
      <w:sz w:val="40"/>
      <w:szCs w:val="40"/>
    </w:rPr>
  </w:style>
  <w:style w:type="character" w:styleId="Ttulo2Car" w:customStyle="1">
    <w:name w:val="Título 2 Car"/>
    <w:basedOn w:val="Fuentedeprrafopredeter"/>
    <w:link w:val="Ttulo2"/>
    <w:uiPriority w:val="9"/>
    <w:rsid w:val="00A66036"/>
    <w:rPr>
      <w:rFonts w:asciiTheme="majorHAnsi" w:hAnsiTheme="majorHAnsi" w:eastAsiaTheme="majorEastAsia" w:cstheme="majorBidi"/>
      <w:color w:val="0F4761" w:themeColor="accent1" w:themeShade="BF"/>
      <w:sz w:val="32"/>
      <w:szCs w:val="32"/>
    </w:rPr>
  </w:style>
  <w:style w:type="character" w:styleId="Ttulo3Car" w:customStyle="1">
    <w:name w:val="Título 3 Car"/>
    <w:basedOn w:val="Fuentedeprrafopredeter"/>
    <w:link w:val="Ttulo3"/>
    <w:uiPriority w:val="9"/>
    <w:semiHidden/>
    <w:rsid w:val="00A66036"/>
    <w:rPr>
      <w:rFonts w:eastAsiaTheme="majorEastAsia" w:cstheme="majorBidi"/>
      <w:color w:val="0F4761" w:themeColor="accent1" w:themeShade="BF"/>
      <w:sz w:val="28"/>
      <w:szCs w:val="28"/>
    </w:rPr>
  </w:style>
  <w:style w:type="character" w:styleId="Ttulo4Car" w:customStyle="1">
    <w:name w:val="Título 4 Car"/>
    <w:basedOn w:val="Fuentedeprrafopredeter"/>
    <w:link w:val="Ttulo4"/>
    <w:uiPriority w:val="9"/>
    <w:semiHidden/>
    <w:rsid w:val="00A66036"/>
    <w:rPr>
      <w:rFonts w:eastAsiaTheme="majorEastAsia" w:cstheme="majorBidi"/>
      <w:i/>
      <w:iCs/>
      <w:color w:val="0F4761" w:themeColor="accent1" w:themeShade="BF"/>
    </w:rPr>
  </w:style>
  <w:style w:type="character" w:styleId="Ttulo5Car" w:customStyle="1">
    <w:name w:val="Título 5 Car"/>
    <w:basedOn w:val="Fuentedeprrafopredeter"/>
    <w:link w:val="Ttulo5"/>
    <w:uiPriority w:val="9"/>
    <w:semiHidden/>
    <w:rsid w:val="00A66036"/>
    <w:rPr>
      <w:rFonts w:eastAsiaTheme="majorEastAsia" w:cstheme="majorBidi"/>
      <w:color w:val="0F4761" w:themeColor="accent1" w:themeShade="BF"/>
    </w:rPr>
  </w:style>
  <w:style w:type="character" w:styleId="Ttulo6Car" w:customStyle="1">
    <w:name w:val="Título 6 Car"/>
    <w:basedOn w:val="Fuentedeprrafopredeter"/>
    <w:link w:val="Ttulo6"/>
    <w:uiPriority w:val="9"/>
    <w:semiHidden/>
    <w:rsid w:val="00A66036"/>
    <w:rPr>
      <w:rFonts w:eastAsiaTheme="majorEastAsia" w:cstheme="majorBidi"/>
      <w:i/>
      <w:iCs/>
      <w:color w:val="595959" w:themeColor="text1" w:themeTint="A6"/>
    </w:rPr>
  </w:style>
  <w:style w:type="character" w:styleId="Ttulo7Car" w:customStyle="1">
    <w:name w:val="Título 7 Car"/>
    <w:basedOn w:val="Fuentedeprrafopredeter"/>
    <w:link w:val="Ttulo7"/>
    <w:uiPriority w:val="9"/>
    <w:semiHidden/>
    <w:rsid w:val="00A66036"/>
    <w:rPr>
      <w:rFonts w:eastAsiaTheme="majorEastAsia" w:cstheme="majorBidi"/>
      <w:color w:val="595959" w:themeColor="text1" w:themeTint="A6"/>
    </w:rPr>
  </w:style>
  <w:style w:type="character" w:styleId="Ttulo8Car" w:customStyle="1">
    <w:name w:val="Título 8 Car"/>
    <w:basedOn w:val="Fuentedeprrafopredeter"/>
    <w:link w:val="Ttulo8"/>
    <w:uiPriority w:val="9"/>
    <w:semiHidden/>
    <w:rsid w:val="00A66036"/>
    <w:rPr>
      <w:rFonts w:eastAsiaTheme="majorEastAsia" w:cstheme="majorBidi"/>
      <w:i/>
      <w:iCs/>
      <w:color w:val="272727" w:themeColor="text1" w:themeTint="D8"/>
    </w:rPr>
  </w:style>
  <w:style w:type="character" w:styleId="Ttulo9Car" w:customStyle="1">
    <w:name w:val="Título 9 Car"/>
    <w:basedOn w:val="Fuentedeprrafopredeter"/>
    <w:link w:val="Ttulo9"/>
    <w:uiPriority w:val="9"/>
    <w:semiHidden/>
    <w:rsid w:val="00A66036"/>
    <w:rPr>
      <w:rFonts w:eastAsiaTheme="majorEastAsia" w:cstheme="majorBidi"/>
      <w:color w:val="272727" w:themeColor="text1" w:themeTint="D8"/>
    </w:rPr>
  </w:style>
  <w:style w:type="paragraph" w:styleId="Ttulo">
    <w:name w:val="Title"/>
    <w:basedOn w:val="Normal"/>
    <w:next w:val="Normal"/>
    <w:link w:val="TtuloCar"/>
    <w:uiPriority w:val="10"/>
    <w:qFormat/>
    <w:rsid w:val="00A66036"/>
    <w:pPr>
      <w:spacing w:after="80" w:line="240" w:lineRule="auto"/>
      <w:contextualSpacing/>
    </w:pPr>
    <w:rPr>
      <w:rFonts w:asciiTheme="majorHAnsi" w:hAnsiTheme="majorHAnsi" w:eastAsiaTheme="majorEastAsia" w:cstheme="majorBidi"/>
      <w:spacing w:val="-10"/>
      <w:kern w:val="28"/>
      <w:sz w:val="56"/>
      <w:szCs w:val="56"/>
    </w:rPr>
  </w:style>
  <w:style w:type="character" w:styleId="TtuloCar" w:customStyle="1">
    <w:name w:val="Título Car"/>
    <w:basedOn w:val="Fuentedeprrafopredeter"/>
    <w:link w:val="Ttulo"/>
    <w:uiPriority w:val="10"/>
    <w:rsid w:val="00A66036"/>
    <w:rPr>
      <w:rFonts w:asciiTheme="majorHAnsi" w:hAnsiTheme="majorHAnsi" w:eastAsiaTheme="majorEastAsia" w:cstheme="majorBidi"/>
      <w:spacing w:val="-10"/>
      <w:kern w:val="28"/>
      <w:sz w:val="56"/>
      <w:szCs w:val="56"/>
    </w:rPr>
  </w:style>
  <w:style w:type="paragraph" w:styleId="Subttulo">
    <w:name w:val="Subtitle"/>
    <w:basedOn w:val="Normal"/>
    <w:next w:val="Normal"/>
    <w:link w:val="SubttuloCar"/>
    <w:uiPriority w:val="11"/>
    <w:qFormat/>
    <w:rsid w:val="00A66036"/>
    <w:pPr>
      <w:numPr>
        <w:ilvl w:val="1"/>
      </w:numPr>
    </w:pPr>
    <w:rPr>
      <w:rFonts w:eastAsiaTheme="majorEastAsia" w:cstheme="majorBidi"/>
      <w:color w:val="595959" w:themeColor="text1" w:themeTint="A6"/>
      <w:spacing w:val="15"/>
      <w:sz w:val="28"/>
      <w:szCs w:val="28"/>
    </w:rPr>
  </w:style>
  <w:style w:type="character" w:styleId="SubttuloCar" w:customStyle="1">
    <w:name w:val="Subtítulo Car"/>
    <w:basedOn w:val="Fuentedeprrafopredeter"/>
    <w:link w:val="Subttulo"/>
    <w:uiPriority w:val="11"/>
    <w:rsid w:val="00A66036"/>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A66036"/>
    <w:pPr>
      <w:spacing w:before="160"/>
      <w:jc w:val="center"/>
    </w:pPr>
    <w:rPr>
      <w:i/>
      <w:iCs/>
      <w:color w:val="404040" w:themeColor="text1" w:themeTint="BF"/>
    </w:rPr>
  </w:style>
  <w:style w:type="character" w:styleId="CitaCar" w:customStyle="1">
    <w:name w:val="Cita Car"/>
    <w:basedOn w:val="Fuentedeprrafopredeter"/>
    <w:link w:val="Cita"/>
    <w:uiPriority w:val="29"/>
    <w:rsid w:val="00A66036"/>
    <w:rPr>
      <w:i/>
      <w:iCs/>
      <w:color w:val="404040" w:themeColor="text1" w:themeTint="BF"/>
    </w:rPr>
  </w:style>
  <w:style w:type="paragraph" w:styleId="Prrafodelista">
    <w:name w:val="List Paragraph"/>
    <w:basedOn w:val="Normal"/>
    <w:uiPriority w:val="34"/>
    <w:qFormat/>
    <w:rsid w:val="00A66036"/>
    <w:pPr>
      <w:ind w:left="720"/>
      <w:contextualSpacing/>
    </w:pPr>
  </w:style>
  <w:style w:type="character" w:styleId="nfasisintenso">
    <w:name w:val="Intense Emphasis"/>
    <w:uiPriority w:val="21"/>
    <w:qFormat/>
    <w:rsid w:val="4B50F055"/>
    <w:rPr>
      <w:i/>
      <w:iCs/>
      <w:color w:val="0F4761" w:themeColor="accent1" w:themeShade="BF"/>
    </w:rPr>
  </w:style>
  <w:style w:type="paragraph" w:styleId="Citadestacada">
    <w:name w:val="Intense Quote"/>
    <w:basedOn w:val="Normal"/>
    <w:next w:val="Normal"/>
    <w:link w:val="CitadestacadaCar"/>
    <w:uiPriority w:val="30"/>
    <w:qFormat/>
    <w:rsid w:val="00A66036"/>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CitadestacadaCar" w:customStyle="1">
    <w:name w:val="Cita destacada Car"/>
    <w:basedOn w:val="Fuentedeprrafopredeter"/>
    <w:link w:val="Citadestacada"/>
    <w:uiPriority w:val="30"/>
    <w:rsid w:val="00A66036"/>
    <w:rPr>
      <w:i/>
      <w:iCs/>
      <w:color w:val="0F4761" w:themeColor="accent1" w:themeShade="BF"/>
    </w:rPr>
  </w:style>
  <w:style w:type="character" w:styleId="Referenciaintensa">
    <w:name w:val="Intense Reference"/>
    <w:uiPriority w:val="32"/>
    <w:qFormat/>
    <w:rsid w:val="4B50F055"/>
    <w:rPr>
      <w:b/>
      <w:bCs/>
      <w:smallCaps/>
      <w:color w:val="0F4761" w:themeColor="accent1" w:themeShade="BF"/>
    </w:rPr>
  </w:style>
  <w:style w:type="paragraph" w:styleId="TtuloTDC">
    <w:name w:val="TOC Heading"/>
    <w:basedOn w:val="Ttulo1"/>
    <w:next w:val="Normal"/>
    <w:uiPriority w:val="39"/>
    <w:unhideWhenUsed/>
    <w:qFormat/>
    <w:rsid w:val="00C04ED5"/>
    <w:pPr>
      <w:spacing w:before="240" w:after="0"/>
      <w:outlineLvl w:val="9"/>
    </w:pPr>
    <w:rPr>
      <w:kern w:val="0"/>
      <w:sz w:val="32"/>
      <w:szCs w:val="32"/>
      <w:lang w:eastAsia="es-CO"/>
      <w14:ligatures w14:val="none"/>
    </w:rPr>
  </w:style>
  <w:style w:type="paragraph" w:styleId="TDC2">
    <w:name w:val="toc 2"/>
    <w:basedOn w:val="Normal"/>
    <w:next w:val="Normal"/>
    <w:autoRedefine/>
    <w:uiPriority w:val="39"/>
    <w:unhideWhenUsed/>
    <w:rsid w:val="00C04ED5"/>
    <w:pPr>
      <w:spacing w:after="100"/>
      <w:ind w:left="220"/>
    </w:pPr>
    <w:rPr>
      <w:rFonts w:cs="Times New Roman" w:eastAsiaTheme="minorEastAsia"/>
      <w:kern w:val="0"/>
      <w:lang w:eastAsia="es-CO"/>
      <w14:ligatures w14:val="none"/>
    </w:rPr>
  </w:style>
  <w:style w:type="paragraph" w:styleId="TDC1">
    <w:name w:val="toc 1"/>
    <w:basedOn w:val="Normal"/>
    <w:next w:val="Normal"/>
    <w:autoRedefine/>
    <w:uiPriority w:val="39"/>
    <w:unhideWhenUsed/>
    <w:rsid w:val="00C04ED5"/>
    <w:pPr>
      <w:spacing w:after="100"/>
    </w:pPr>
    <w:rPr>
      <w:rFonts w:cs="Times New Roman" w:eastAsiaTheme="minorEastAsia"/>
      <w:kern w:val="0"/>
      <w:lang w:eastAsia="es-CO"/>
      <w14:ligatures w14:val="none"/>
    </w:rPr>
  </w:style>
  <w:style w:type="paragraph" w:styleId="TDC3">
    <w:name w:val="toc 3"/>
    <w:basedOn w:val="Normal"/>
    <w:next w:val="Normal"/>
    <w:autoRedefine/>
    <w:uiPriority w:val="39"/>
    <w:unhideWhenUsed/>
    <w:rsid w:val="00C04ED5"/>
    <w:pPr>
      <w:spacing w:after="100"/>
      <w:ind w:left="440"/>
    </w:pPr>
    <w:rPr>
      <w:rFonts w:cs="Times New Roman" w:eastAsiaTheme="minorEastAsia"/>
      <w:kern w:val="0"/>
      <w:lang w:eastAsia="es-CO"/>
      <w14:ligatures w14:val="none"/>
    </w:rPr>
  </w:style>
  <w:style w:type="table" w:styleId="Tablaconcuadrcula">
    <w:name w:val="Table Grid"/>
    <w:basedOn w:val="Tablanormal"/>
    <w:uiPriority w:val="39"/>
    <w:rsid w:val="000A1610"/>
    <w:pPr>
      <w:spacing w:after="0" w:line="240" w:lineRule="auto"/>
    </w:pPr>
    <w:rPr>
      <w:kern w:val="0"/>
      <w14:ligatures w14:val="non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Hipervnculo">
    <w:name w:val="Hyperlink"/>
    <w:uiPriority w:val="99"/>
    <w:unhideWhenUsed/>
    <w:rsid w:val="4B50F055"/>
    <w:rPr>
      <w:color w:val="467886"/>
      <w:u w:val="single"/>
    </w:rPr>
  </w:style>
  <w:style w:type="character" w:styleId="Mencinsinresolver">
    <w:name w:val="Unresolved Mention"/>
    <w:uiPriority w:val="99"/>
    <w:semiHidden/>
    <w:unhideWhenUsed/>
    <w:rsid w:val="4B50F055"/>
    <w:rPr>
      <w:color w:val="605E5C"/>
    </w:rPr>
  </w:style>
  <w:style w:type="character" w:styleId="DescripcinCar" w:customStyle="1">
    <w:name w:val="Descripción Car"/>
    <w:aliases w:val="Figuras Car,Caption Table Car,Normal 1 Car,Genérico_A4_Epígrafe Car,Titulos Tablas M&amp;Q Car,TITULOS TABLAS Car,Tablas e ilustraciones Car"/>
    <w:basedOn w:val="Fuentedeprrafopredeter"/>
    <w:link w:val="Descripcin"/>
    <w:uiPriority w:val="35"/>
    <w:rsid w:val="002A32A3"/>
    <w:rPr>
      <w:rFonts w:ascii="Arial Narrow" w:hAnsi="Arial Narrow"/>
      <w:i/>
      <w:iCs/>
      <w:color w:val="0E2841" w:themeColor="text2"/>
      <w:sz w:val="18"/>
      <w:szCs w:val="18"/>
    </w:rPr>
  </w:style>
  <w:style w:type="paragraph" w:styleId="Descripcin">
    <w:name w:val="caption"/>
    <w:aliases w:val="Figuras,Caption Table,Normal 1,Genérico_A4_Epígrafe,Titulos Tablas M&amp;Q,TITULOS TABLAS,Tablas e ilustraciones"/>
    <w:basedOn w:val="Normal"/>
    <w:next w:val="Normal"/>
    <w:link w:val="DescripcinCar"/>
    <w:uiPriority w:val="35"/>
    <w:unhideWhenUsed/>
    <w:qFormat/>
    <w:rsid w:val="002A32A3"/>
    <w:pPr>
      <w:spacing w:after="200" w:line="240" w:lineRule="auto"/>
      <w:jc w:val="both"/>
    </w:pPr>
    <w:rPr>
      <w:rFonts w:ascii="Arial Narrow" w:hAnsi="Arial Narrow"/>
      <w:i/>
      <w:iCs/>
      <w:color w:val="0E2841" w:themeColor="text2"/>
      <w:sz w:val="18"/>
      <w:szCs w:val="18"/>
    </w:rPr>
  </w:style>
  <w:style w:type="paragraph" w:styleId="Fuente" w:customStyle="1">
    <w:name w:val="Fuente"/>
    <w:basedOn w:val="Normal"/>
    <w:link w:val="FuenteCar"/>
    <w:qFormat/>
    <w:rsid w:val="00DA20E7"/>
    <w:pPr>
      <w:spacing w:after="200" w:line="240" w:lineRule="auto"/>
      <w:jc w:val="center"/>
    </w:pPr>
    <w:rPr>
      <w:rFonts w:eastAsiaTheme="minorEastAsia"/>
      <w:sz w:val="18"/>
      <w:szCs w:val="18"/>
    </w:rPr>
  </w:style>
  <w:style w:type="character" w:styleId="FuenteCar" w:customStyle="1">
    <w:name w:val="Fuente Car"/>
    <w:link w:val="Fuente"/>
    <w:rsid w:val="00DA20E7"/>
    <w:rPr>
      <w:rFonts w:eastAsiaTheme="minorEastAsia"/>
      <w:sz w:val="18"/>
      <w:szCs w:val="18"/>
    </w:rPr>
  </w:style>
  <w:style w:type="paragraph" w:styleId="Sinespaciado">
    <w:name w:val="No Spacing"/>
    <w:uiPriority w:val="1"/>
    <w:qFormat/>
    <w:rsid w:val="005A2F58"/>
    <w:pPr>
      <w:suppressAutoHyphens/>
      <w:spacing w:after="0" w:line="240" w:lineRule="auto"/>
    </w:pPr>
    <w:rPr>
      <w:kern w:val="0"/>
      <w14:ligatures w14:val="none"/>
    </w:rPr>
  </w:style>
  <w:style w:type="table" w:styleId="Tablaconcuadrcula4-nfasis5">
    <w:name w:val="Grid Table 4 Accent 5"/>
    <w:basedOn w:val="Tablanormal"/>
    <w:uiPriority w:val="49"/>
    <w:rsid w:val="00AD01AB"/>
    <w:pPr>
      <w:spacing w:after="0" w:line="240" w:lineRule="auto"/>
    </w:pPr>
    <w:rPr>
      <w:kern w:val="0"/>
      <w14:ligatures w14:val="none"/>
    </w:rPr>
    <w:tblPr>
      <w:tblStyleRowBandSize w:val="1"/>
      <w:tblStyleColBandSize w:val="1"/>
      <w:tblBorders>
        <w:top w:val="single" w:color="D86DCB" w:themeColor="accent5" w:themeTint="99" w:sz="4" w:space="0"/>
        <w:left w:val="single" w:color="D86DCB" w:themeColor="accent5" w:themeTint="99" w:sz="4" w:space="0"/>
        <w:bottom w:val="single" w:color="D86DCB" w:themeColor="accent5" w:themeTint="99" w:sz="4" w:space="0"/>
        <w:right w:val="single" w:color="D86DCB" w:themeColor="accent5" w:themeTint="99" w:sz="4" w:space="0"/>
        <w:insideH w:val="single" w:color="D86DCB" w:themeColor="accent5" w:themeTint="99" w:sz="4" w:space="0"/>
        <w:insideV w:val="single" w:color="D86DCB" w:themeColor="accent5" w:themeTint="99" w:sz="4" w:space="0"/>
      </w:tblBorders>
    </w:tblPr>
    <w:tblStylePr w:type="firstRow">
      <w:rPr>
        <w:b/>
        <w:bCs/>
        <w:color w:val="FFFFFF" w:themeColor="background1"/>
      </w:rPr>
      <w:tblPr/>
      <w:tcPr>
        <w:tcBorders>
          <w:top w:val="single" w:color="A02B93" w:themeColor="accent5" w:sz="4" w:space="0"/>
          <w:left w:val="single" w:color="A02B93" w:themeColor="accent5" w:sz="4" w:space="0"/>
          <w:bottom w:val="single" w:color="A02B93" w:themeColor="accent5" w:sz="4" w:space="0"/>
          <w:right w:val="single" w:color="A02B93" w:themeColor="accent5" w:sz="4" w:space="0"/>
          <w:insideH w:val="nil"/>
          <w:insideV w:val="nil"/>
        </w:tcBorders>
        <w:shd w:val="clear" w:color="auto" w:fill="A02B93" w:themeFill="accent5"/>
      </w:tcPr>
    </w:tblStylePr>
    <w:tblStylePr w:type="lastRow">
      <w:rPr>
        <w:b/>
        <w:bCs/>
      </w:rPr>
      <w:tblPr/>
      <w:tcPr>
        <w:tcBorders>
          <w:top w:val="double" w:color="A02B93" w:themeColor="accent5" w:sz="4" w:space="0"/>
        </w:tcBorders>
      </w:tcPr>
    </w:tblStylePr>
    <w:tblStylePr w:type="firstCol">
      <w:rPr>
        <w:b/>
        <w:bCs/>
      </w:rPr>
    </w:tblStylePr>
    <w:tblStylePr w:type="lastCol">
      <w:rPr>
        <w:b/>
        <w:bCs/>
      </w:rPr>
    </w:tblStylePr>
    <w:tblStylePr w:type="band1Vert">
      <w:tblPr/>
      <w:tcPr>
        <w:shd w:val="clear" w:color="auto" w:fill="F2CEED" w:themeFill="accent5" w:themeFillTint="33"/>
      </w:tcPr>
    </w:tblStylePr>
    <w:tblStylePr w:type="band1Horz">
      <w:tblPr/>
      <w:tcPr>
        <w:shd w:val="clear" w:color="auto" w:fill="F2CEED" w:themeFill="accent5" w:themeFillTint="33"/>
      </w:tcPr>
    </w:tblStylePr>
  </w:style>
  <w:style w:type="paragraph" w:styleId="Textoindependiente">
    <w:name w:val="Body Text"/>
    <w:basedOn w:val="Normal"/>
    <w:link w:val="TextoindependienteCar"/>
    <w:uiPriority w:val="1"/>
    <w:qFormat/>
    <w:rsid w:val="003A6AE4"/>
    <w:pPr>
      <w:widowControl w:val="0"/>
      <w:autoSpaceDE w:val="0"/>
      <w:autoSpaceDN w:val="0"/>
      <w:spacing w:after="0" w:line="240" w:lineRule="auto"/>
    </w:pPr>
    <w:rPr>
      <w:rFonts w:ascii="Arial" w:hAnsi="Arial" w:eastAsia="Arial" w:cs="Arial"/>
      <w:kern w:val="0"/>
      <w:sz w:val="24"/>
      <w:szCs w:val="24"/>
      <w14:ligatures w14:val="none"/>
    </w:rPr>
  </w:style>
  <w:style w:type="character" w:styleId="TextoindependienteCar" w:customStyle="1">
    <w:name w:val="Texto independiente Car"/>
    <w:basedOn w:val="Fuentedeprrafopredeter"/>
    <w:link w:val="Textoindependiente"/>
    <w:uiPriority w:val="1"/>
    <w:rsid w:val="003A6AE4"/>
    <w:rPr>
      <w:rFonts w:ascii="Arial" w:hAnsi="Arial" w:eastAsia="Arial" w:cs="Arial"/>
      <w:kern w:val="0"/>
      <w:sz w:val="24"/>
      <w:szCs w:val="24"/>
      <w14:ligatures w14:val="none"/>
    </w:rPr>
  </w:style>
  <w:style w:type="paragraph" w:styleId="paragraph" w:customStyle="1">
    <w:name w:val="paragraph"/>
    <w:basedOn w:val="Normal"/>
    <w:rsid w:val="003A6AE4"/>
    <w:pPr>
      <w:spacing w:before="100" w:beforeAutospacing="1" w:after="100" w:afterAutospacing="1" w:line="240" w:lineRule="auto"/>
      <w:jc w:val="both"/>
    </w:pPr>
    <w:rPr>
      <w:rFonts w:ascii="Times New Roman" w:hAnsi="Times New Roman" w:eastAsia="Times New Roman" w:cs="Times New Roman"/>
      <w:kern w:val="0"/>
      <w:sz w:val="24"/>
      <w:szCs w:val="24"/>
      <w:lang w:eastAsia="es-CO"/>
      <w14:ligatures w14:val="none"/>
    </w:rPr>
  </w:style>
  <w:style w:type="table" w:styleId="Tablaconcuadrcula4-nfasis1">
    <w:name w:val="Grid Table 4 Accent 1"/>
    <w:basedOn w:val="Tablanormal"/>
    <w:uiPriority w:val="49"/>
    <w:rsid w:val="00D511B2"/>
    <w:pPr>
      <w:spacing w:after="0" w:line="240" w:lineRule="auto"/>
    </w:pPr>
    <w:rPr>
      <w:sz w:val="24"/>
      <w:szCs w:val="24"/>
    </w:rPr>
    <w:tblPr>
      <w:tblStyleRowBandSize w:val="1"/>
      <w:tblStyleColBandSize w:val="1"/>
      <w:tblBorders>
        <w:top w:val="single" w:color="45B0E1" w:themeColor="accent1" w:themeTint="99" w:sz="4" w:space="0"/>
        <w:left w:val="single" w:color="45B0E1" w:themeColor="accent1" w:themeTint="99" w:sz="4" w:space="0"/>
        <w:bottom w:val="single" w:color="45B0E1" w:themeColor="accent1" w:themeTint="99" w:sz="4" w:space="0"/>
        <w:right w:val="single" w:color="45B0E1" w:themeColor="accent1" w:themeTint="99" w:sz="4" w:space="0"/>
        <w:insideH w:val="single" w:color="45B0E1" w:themeColor="accent1" w:themeTint="99" w:sz="4" w:space="0"/>
        <w:insideV w:val="single" w:color="45B0E1" w:themeColor="accent1" w:themeTint="99" w:sz="4" w:space="0"/>
      </w:tblBorders>
    </w:tblPr>
    <w:tblStylePr w:type="firstRow">
      <w:rPr>
        <w:b/>
        <w:bCs/>
        <w:color w:val="FFFFFF" w:themeColor="background1"/>
      </w:rPr>
      <w:tblPr/>
      <w:tcPr>
        <w:tcBorders>
          <w:top w:val="single" w:color="156082" w:themeColor="accent1" w:sz="4" w:space="0"/>
          <w:left w:val="single" w:color="156082" w:themeColor="accent1" w:sz="4" w:space="0"/>
          <w:bottom w:val="single" w:color="156082" w:themeColor="accent1" w:sz="4" w:space="0"/>
          <w:right w:val="single" w:color="156082" w:themeColor="accent1" w:sz="4" w:space="0"/>
          <w:insideH w:val="nil"/>
          <w:insideV w:val="nil"/>
        </w:tcBorders>
        <w:shd w:val="clear" w:color="auto" w:fill="156082" w:themeFill="accent1"/>
      </w:tcPr>
    </w:tblStylePr>
    <w:tblStylePr w:type="lastRow">
      <w:rPr>
        <w:b/>
        <w:bCs/>
      </w:rPr>
      <w:tblPr/>
      <w:tcPr>
        <w:tcBorders>
          <w:top w:val="double" w:color="156082" w:themeColor="accent1" w:sz="4" w:space="0"/>
        </w:tcBorders>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 w:type="table" w:styleId="Tabladecuadrcula2">
    <w:name w:val="Grid Table 2"/>
    <w:basedOn w:val="Tablanormal"/>
    <w:uiPriority w:val="47"/>
    <w:rsid w:val="001423C8"/>
    <w:pPr>
      <w:spacing w:after="0" w:line="240" w:lineRule="auto"/>
    </w:pPr>
    <w:tblPr>
      <w:tblStyleRowBandSize w:val="1"/>
      <w:tblStyleColBandSize w:val="1"/>
      <w:tblBorders>
        <w:top w:val="single" w:color="666666" w:themeColor="text1" w:themeTint="99" w:sz="2" w:space="0"/>
        <w:bottom w:val="single" w:color="666666" w:themeColor="text1" w:themeTint="99" w:sz="2" w:space="0"/>
        <w:insideH w:val="single" w:color="666666" w:themeColor="text1" w:themeTint="99" w:sz="2" w:space="0"/>
        <w:insideV w:val="single" w:color="666666" w:themeColor="text1" w:themeTint="99" w:sz="2" w:space="0"/>
      </w:tblBorders>
    </w:tblPr>
    <w:tblStylePr w:type="firstRow">
      <w:rPr>
        <w:b/>
        <w:bCs/>
      </w:rPr>
      <w:tblPr/>
      <w:tcPr>
        <w:tcBorders>
          <w:top w:val="nil"/>
          <w:bottom w:val="single" w:color="666666" w:themeColor="text1" w:themeTint="99" w:sz="12" w:space="0"/>
          <w:insideH w:val="nil"/>
          <w:insideV w:val="nil"/>
        </w:tcBorders>
        <w:shd w:val="clear" w:color="auto" w:fill="FFFFFF" w:themeFill="background1"/>
      </w:tcPr>
    </w:tblStylePr>
    <w:tblStylePr w:type="lastRow">
      <w:rPr>
        <w:b/>
        <w:bCs/>
      </w:rPr>
      <w:tblPr/>
      <w:tcPr>
        <w:tcBorders>
          <w:top w:val="double" w:color="666666" w:themeColor="text1" w:themeTint="99" w:sz="2" w:space="0"/>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Encabezado">
    <w:name w:val="header"/>
    <w:basedOn w:val="Normal"/>
    <w:link w:val="EncabezadoCar"/>
    <w:uiPriority w:val="99"/>
    <w:unhideWhenUsed/>
    <w:rsid w:val="00675CD4"/>
    <w:pPr>
      <w:tabs>
        <w:tab w:val="center" w:pos="4419"/>
        <w:tab w:val="right" w:pos="8838"/>
      </w:tabs>
      <w:spacing w:after="0" w:line="240" w:lineRule="auto"/>
    </w:pPr>
  </w:style>
  <w:style w:type="character" w:styleId="EncabezadoCar" w:customStyle="1">
    <w:name w:val="Encabezado Car"/>
    <w:basedOn w:val="Fuentedeprrafopredeter"/>
    <w:link w:val="Encabezado"/>
    <w:uiPriority w:val="99"/>
    <w:rsid w:val="00675CD4"/>
  </w:style>
  <w:style w:type="paragraph" w:styleId="Piedepgina">
    <w:name w:val="footer"/>
    <w:basedOn w:val="Normal"/>
    <w:link w:val="PiedepginaCar"/>
    <w:uiPriority w:val="99"/>
    <w:unhideWhenUsed/>
    <w:rsid w:val="00675CD4"/>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rsid w:val="00675CD4"/>
  </w:style>
  <w:style w:type="table" w:styleId="Tablaconcuadrcula4-nfasis6">
    <w:name w:val="Grid Table 4 Accent 6"/>
    <w:basedOn w:val="Tablanormal"/>
    <w:uiPriority w:val="49"/>
    <w:rsid w:val="00DB5DFD"/>
    <w:pPr>
      <w:spacing w:after="0" w:line="240" w:lineRule="auto"/>
    </w:pPr>
    <w:rPr>
      <w:kern w:val="0"/>
      <w:sz w:val="24"/>
      <w:szCs w:val="24"/>
      <w:lang w:val="es-ES"/>
      <w14:ligatures w14:val="none"/>
    </w:rPr>
    <w:tblPr>
      <w:tblStyleRowBandSize w:val="1"/>
      <w:tblStyleColBandSize w:val="1"/>
      <w:tblBorders>
        <w:top w:val="single" w:color="8DD873" w:themeColor="accent6" w:themeTint="99" w:sz="4" w:space="0"/>
        <w:left w:val="single" w:color="8DD873" w:themeColor="accent6" w:themeTint="99" w:sz="4" w:space="0"/>
        <w:bottom w:val="single" w:color="8DD873" w:themeColor="accent6" w:themeTint="99" w:sz="4" w:space="0"/>
        <w:right w:val="single" w:color="8DD873" w:themeColor="accent6" w:themeTint="99" w:sz="4" w:space="0"/>
        <w:insideH w:val="single" w:color="8DD873" w:themeColor="accent6" w:themeTint="99" w:sz="4" w:space="0"/>
        <w:insideV w:val="single" w:color="8DD873" w:themeColor="accent6" w:themeTint="99" w:sz="4" w:space="0"/>
      </w:tblBorders>
    </w:tblPr>
    <w:tblStylePr w:type="firstRow">
      <w:rPr>
        <w:b/>
        <w:bCs/>
        <w:color w:val="FFFFFF" w:themeColor="background1"/>
      </w:rPr>
      <w:tblPr/>
      <w:tcPr>
        <w:tcBorders>
          <w:top w:val="single" w:color="4EA72E" w:themeColor="accent6" w:sz="4" w:space="0"/>
          <w:left w:val="single" w:color="4EA72E" w:themeColor="accent6" w:sz="4" w:space="0"/>
          <w:bottom w:val="single" w:color="4EA72E" w:themeColor="accent6" w:sz="4" w:space="0"/>
          <w:right w:val="single" w:color="4EA72E" w:themeColor="accent6" w:sz="4" w:space="0"/>
          <w:insideH w:val="nil"/>
          <w:insideV w:val="nil"/>
        </w:tcBorders>
        <w:shd w:val="clear" w:color="auto" w:fill="4EA72E" w:themeFill="accent6"/>
      </w:tcPr>
    </w:tblStylePr>
    <w:tblStylePr w:type="lastRow">
      <w:rPr>
        <w:b/>
        <w:bCs/>
      </w:rPr>
      <w:tblPr/>
      <w:tcPr>
        <w:tcBorders>
          <w:top w:val="double" w:color="4EA72E" w:themeColor="accent6" w:sz="4" w:space="0"/>
        </w:tcBorders>
      </w:tcPr>
    </w:tblStylePr>
    <w:tblStylePr w:type="firstCol">
      <w:rPr>
        <w:b/>
        <w:bCs/>
      </w:rPr>
    </w:tblStylePr>
    <w:tblStylePr w:type="lastCol">
      <w:rPr>
        <w:b/>
        <w:bCs/>
      </w:rPr>
    </w:tblStylePr>
    <w:tblStylePr w:type="band1Vert">
      <w:tblPr/>
      <w:tcPr>
        <w:shd w:val="clear" w:color="auto" w:fill="D9F2D0" w:themeFill="accent6" w:themeFillTint="33"/>
      </w:tcPr>
    </w:tblStylePr>
    <w:tblStylePr w:type="band1Horz">
      <w:tblPr/>
      <w:tcPr>
        <w:shd w:val="clear" w:color="auto" w:fill="D9F2D0" w:themeFill="accent6" w:themeFillTint="33"/>
      </w:tcPr>
    </w:tblStylePr>
  </w:style>
  <w:style w:type="table" w:styleId="Tablanormal4">
    <w:name w:val="Plain Table 4"/>
    <w:basedOn w:val="Tablanormal"/>
    <w:uiPriority w:val="44"/>
    <w:rsid w:val="00DB5DFD"/>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A8" w:customStyle="1">
    <w:name w:val="A8"/>
    <w:uiPriority w:val="99"/>
    <w:rsid w:val="00B75940"/>
    <w:rPr>
      <w:rFonts w:cs="Nunito Sans Normal ExtraLight"/>
      <w:color w:val="000000"/>
      <w:sz w:val="18"/>
      <w:szCs w:val="18"/>
    </w:rPr>
  </w:style>
  <w:style w:type="character" w:styleId="Refdecomentario">
    <w:name w:val="annotation reference"/>
    <w:basedOn w:val="Fuentedeprrafopredeter"/>
    <w:uiPriority w:val="99"/>
    <w:semiHidden/>
    <w:unhideWhenUsed/>
    <w:rsid w:val="00BE799E"/>
    <w:rPr>
      <w:sz w:val="16"/>
      <w:szCs w:val="16"/>
    </w:rPr>
  </w:style>
  <w:style w:type="paragraph" w:styleId="Textocomentario">
    <w:name w:val="annotation text"/>
    <w:basedOn w:val="Normal"/>
    <w:link w:val="TextocomentarioCar"/>
    <w:uiPriority w:val="99"/>
    <w:semiHidden/>
    <w:unhideWhenUsed/>
    <w:rsid w:val="00BE799E"/>
    <w:pPr>
      <w:spacing w:line="240" w:lineRule="auto"/>
    </w:pPr>
    <w:rPr>
      <w:sz w:val="20"/>
      <w:szCs w:val="20"/>
    </w:rPr>
  </w:style>
  <w:style w:type="character" w:styleId="TextocomentarioCar" w:customStyle="1">
    <w:name w:val="Texto comentario Car"/>
    <w:basedOn w:val="Fuentedeprrafopredeter"/>
    <w:link w:val="Textocomentario"/>
    <w:uiPriority w:val="99"/>
    <w:semiHidden/>
    <w:rsid w:val="00BE799E"/>
    <w:rPr>
      <w:sz w:val="20"/>
      <w:szCs w:val="20"/>
    </w:rPr>
  </w:style>
  <w:style w:type="paragraph" w:styleId="Asuntodelcomentario">
    <w:name w:val="annotation subject"/>
    <w:basedOn w:val="Textocomentario"/>
    <w:next w:val="Textocomentario"/>
    <w:link w:val="AsuntodelcomentarioCar"/>
    <w:uiPriority w:val="99"/>
    <w:semiHidden/>
    <w:unhideWhenUsed/>
    <w:rsid w:val="00BE799E"/>
    <w:rPr>
      <w:b/>
      <w:bCs/>
    </w:rPr>
  </w:style>
  <w:style w:type="character" w:styleId="AsuntodelcomentarioCar" w:customStyle="1">
    <w:name w:val="Asunto del comentario Car"/>
    <w:basedOn w:val="TextocomentarioCar"/>
    <w:link w:val="Asuntodelcomentario"/>
    <w:uiPriority w:val="99"/>
    <w:semiHidden/>
    <w:rsid w:val="00BE799E"/>
    <w:rPr>
      <w:b/>
      <w:bCs/>
      <w:sz w:val="20"/>
      <w:szCs w:val="20"/>
    </w:rPr>
  </w:style>
</w:styles>
</file>

<file path=word/tasks.xml><?xml version="1.0" encoding="utf-8"?>
<t:Tasks xmlns:t="http://schemas.microsoft.com/office/tasks/2019/documenttasks" xmlns:oel="http://schemas.microsoft.com/office/2019/extlst">
  <t:Task id="{3DB6AFCB-7E65-439C-8687-90D40F529BA7}">
    <t:Anchor>
      <t:Comment id="1718976429"/>
    </t:Anchor>
    <t:History>
      <t:Event id="{F36BDE3D-FB1C-4BC6-A7A1-C5FC9956C72A}" time="2026-07-04T17:50:42.845Z">
        <t:Attribution userId="S::lmunoz@minenergia.gov.co::0e1d3114-6c9d-468d-9fd9-2b2097e1b7d8" userProvider="AD" userName="LAURA MUÑOZ ROJAS"/>
        <t:Anchor>
          <t:Comment id="1718976429"/>
        </t:Anchor>
        <t:Create/>
      </t:Event>
      <t:Event id="{A35586EC-D053-4C40-ABE7-D3ECF0474A10}" time="2026-07-04T17:50:42.845Z">
        <t:Attribution userId="S::lmunoz@minenergia.gov.co::0e1d3114-6c9d-468d-9fd9-2b2097e1b7d8" userProvider="AD" userName="LAURA MUÑOZ ROJAS"/>
        <t:Anchor>
          <t:Comment id="1718976429"/>
        </t:Anchor>
        <t:Assign userId="S::lyarango@minenergia.gov.co::8e70eef6-12e6-4dbb-a655-01a3934ec4fc" userProvider="AD" userName="LUDWIG YAMEL ARANGO MESA"/>
      </t:Event>
      <t:Event id="{088A1598-D37A-4496-9E10-A8086062BC07}" time="2026-07-04T17:50:42.845Z">
        <t:Attribution userId="S::lmunoz@minenergia.gov.co::0e1d3114-6c9d-468d-9fd9-2b2097e1b7d8" userProvider="AD" userName="LAURA MUÑOZ ROJAS"/>
        <t:Anchor>
          <t:Comment id="1718976429"/>
        </t:Anchor>
        <t:SetTitle title="@LUDWIG YAMEL ARANGO MESA consulta...no debería decir: ¿Plan Estratégico Institucional?"/>
      </t:Event>
    </t:History>
  </t:Task>
</t:Task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&#65279;<?xml version="1.0" encoding="utf-8"?><Relationships xmlns="http://schemas.openxmlformats.org/package/2006/relationships"><Relationship Type="http://schemas.openxmlformats.org/officeDocument/2006/relationships/hyperlink" Target="https://www.minenergia.gov.co/es/servicio-al-ciudadano/caracterizaci%C3%B3n-de-usuarios/" TargetMode="External" Id="rId26" /><Relationship Type="http://schemas.openxmlformats.org/officeDocument/2006/relationships/chart" Target="charts/chart2.xml" Id="rId21" /><Relationship Type="http://schemas.openxmlformats.org/officeDocument/2006/relationships/image" Target="media/image23.png" Id="rId42" /><Relationship Type="http://schemas.openxmlformats.org/officeDocument/2006/relationships/image" Target="media/image27.png" Id="rId47" /><Relationship Type="http://schemas.openxmlformats.org/officeDocument/2006/relationships/image" Target="media/image42.png" Id="rId63" /><Relationship Type="http://schemas.openxmlformats.org/officeDocument/2006/relationships/image" Target="media/image47.png" Id="rId68" /><Relationship Type="http://schemas.openxmlformats.org/officeDocument/2006/relationships/image" Target="media/image62.png" Id="rId84" /><Relationship Type="http://schemas.openxmlformats.org/officeDocument/2006/relationships/image" Target="media/image65.png" Id="rId89" /><Relationship Type="http://schemas.openxmlformats.org/officeDocument/2006/relationships/image" Target="media/image5.png" Id="rId16" /><Relationship Type="http://schemas.openxmlformats.org/officeDocument/2006/relationships/footer" Target="footer1.xml" Id="rId11" /><Relationship Type="http://schemas.openxmlformats.org/officeDocument/2006/relationships/image" Target="media/image15.png" Id="rId32" /><Relationship Type="http://schemas.openxmlformats.org/officeDocument/2006/relationships/image" Target="media/image18.png" Id="rId37" /><Relationship Type="http://schemas.openxmlformats.org/officeDocument/2006/relationships/image" Target="media/image33.png" Id="rId53" /><Relationship Type="http://schemas.openxmlformats.org/officeDocument/2006/relationships/image" Target="media/image38.png" Id="rId58" /><Relationship Type="http://schemas.openxmlformats.org/officeDocument/2006/relationships/image" Target="media/image53.png" Id="rId74" /><Relationship Type="http://schemas.openxmlformats.org/officeDocument/2006/relationships/hyperlink" Target="https://www.minenergia.gov.co/es/ministerio/gestion/control-interno/" TargetMode="External" Id="rId79" /><Relationship Type="http://schemas.openxmlformats.org/officeDocument/2006/relationships/numbering" Target="numbering.xml" Id="rId5" /><Relationship Type="http://schemas.openxmlformats.org/officeDocument/2006/relationships/hyperlink" Target="http://www.minenergia.gov.co/" TargetMode="External" Id="rId90" /><Relationship Type="http://schemas.openxmlformats.org/officeDocument/2006/relationships/hyperlink" Target="https://argo.minenergia.gov.co/orfeo/formularioMinEnergia/" TargetMode="External" Id="rId95" /><Relationship Type="http://schemas.openxmlformats.org/officeDocument/2006/relationships/chart" Target="charts/chart3.xml" Id="rId22" /><Relationship Type="http://schemas.openxmlformats.org/officeDocument/2006/relationships/image" Target="media/image10.png" Id="rId27" /><Relationship Type="http://schemas.openxmlformats.org/officeDocument/2006/relationships/image" Target="media/image24.png" Id="rId43" /><Relationship Type="http://schemas.openxmlformats.org/officeDocument/2006/relationships/image" Target="media/image28.png" Id="rId48" /><Relationship Type="http://schemas.openxmlformats.org/officeDocument/2006/relationships/image" Target="media/image43.png" Id="rId64" /><Relationship Type="http://schemas.openxmlformats.org/officeDocument/2006/relationships/image" Target="media/image48.png" Id="rId69" /><Relationship Type="http://schemas.openxmlformats.org/officeDocument/2006/relationships/image" Target="media/image58.png" Id="rId80" /><Relationship Type="http://schemas.openxmlformats.org/officeDocument/2006/relationships/image" Target="media/image63.png" Id="rId85" /><Relationship Type="http://schemas.openxmlformats.org/officeDocument/2006/relationships/image" Target="media/image1.emf" Id="rId12" /><Relationship Type="http://schemas.openxmlformats.org/officeDocument/2006/relationships/image" Target="media/image6.emf" Id="rId17" /><Relationship Type="http://schemas.openxmlformats.org/officeDocument/2006/relationships/chart" Target="charts/chart4.xml" Id="rId25" /><Relationship Type="http://schemas.openxmlformats.org/officeDocument/2006/relationships/image" Target="media/image16.png" Id="rId33" /><Relationship Type="http://schemas.openxmlformats.org/officeDocument/2006/relationships/image" Target="media/image19.png" Id="rId38" /><Relationship Type="http://schemas.openxmlformats.org/officeDocument/2006/relationships/image" Target="media/image26.png" Id="rId46" /><Relationship Type="http://schemas.openxmlformats.org/officeDocument/2006/relationships/image" Target="media/image39.png" Id="rId59" /><Relationship Type="http://schemas.openxmlformats.org/officeDocument/2006/relationships/image" Target="media/image46.png" Id="rId67" /><Relationship Type="http://schemas.openxmlformats.org/officeDocument/2006/relationships/chart" Target="charts/chart1.xml" Id="rId20" /><Relationship Type="http://schemas.openxmlformats.org/officeDocument/2006/relationships/image" Target="media/image22.png" Id="rId41" /><Relationship Type="http://schemas.openxmlformats.org/officeDocument/2006/relationships/image" Target="media/image34.png" Id="rId54" /><Relationship Type="http://schemas.openxmlformats.org/officeDocument/2006/relationships/hyperlink" Target="https://www.youtube.com/watch?v=g7tyx6_Myb4&amp;list=PLKiKoZULP_sPfPpY0jqnsRYeTZB2UrUl7&amp;utm_source=chatgpt.com" TargetMode="External" Id="rId62" /><Relationship Type="http://schemas.openxmlformats.org/officeDocument/2006/relationships/image" Target="media/image49.png" Id="rId70" /><Relationship Type="http://schemas.openxmlformats.org/officeDocument/2006/relationships/image" Target="media/image54.png" Id="rId75" /><Relationship Type="http://schemas.openxmlformats.org/officeDocument/2006/relationships/image" Target="media/image61.png" Id="rId83" /><Relationship Type="http://schemas.openxmlformats.org/officeDocument/2006/relationships/hyperlink" Target="http://www.minenergia.gov.co/" TargetMode="External" Id="rId88" /><Relationship Type="http://schemas.openxmlformats.org/officeDocument/2006/relationships/image" Target="media/image66.png" Id="rId91" /><Relationship Type="http://schemas.openxmlformats.org/officeDocument/2006/relationships/image" Target="media/image68.png" Id="rId9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4.png" Id="rId15" /><Relationship Type="http://schemas.openxmlformats.org/officeDocument/2006/relationships/image" Target="media/image8.png" Id="rId23" /><Relationship Type="http://schemas.openxmlformats.org/officeDocument/2006/relationships/image" Target="media/image11.png" Id="rId28" /><Relationship Type="http://schemas.openxmlformats.org/officeDocument/2006/relationships/hyperlink" Target="https://www.minenergia.gov.co/es/ministerio/estructura-organizacional/misionalgesti%C3%B3n-social-y-ambientallineamientos-para-la-equidad-de-g%C3%A9nero/" TargetMode="External" Id="rId36" /><Relationship Type="http://schemas.openxmlformats.org/officeDocument/2006/relationships/image" Target="media/image29.png" Id="rId49" /><Relationship Type="http://schemas.openxmlformats.org/officeDocument/2006/relationships/image" Target="media/image37.png" Id="rId57" /><Relationship Type="http://schemas.openxmlformats.org/officeDocument/2006/relationships/endnotes" Target="endnotes.xml" Id="rId10" /><Relationship Type="http://schemas.openxmlformats.org/officeDocument/2006/relationships/image" Target="media/image14.png" Id="rId31" /><Relationship Type="http://schemas.openxmlformats.org/officeDocument/2006/relationships/hyperlink" Target="https://repositoriobi.minenergia.gov.co/community-list?utm_source=chatgpt.com" TargetMode="External" Id="rId44" /><Relationship Type="http://schemas.openxmlformats.org/officeDocument/2006/relationships/image" Target="media/image32.png" Id="rId52" /><Relationship Type="http://schemas.openxmlformats.org/officeDocument/2006/relationships/image" Target="media/image40.png" Id="rId60" /><Relationship Type="http://schemas.openxmlformats.org/officeDocument/2006/relationships/image" Target="media/image44.png" Id="rId65" /><Relationship Type="http://schemas.openxmlformats.org/officeDocument/2006/relationships/image" Target="media/image52.png" Id="rId73" /><Relationship Type="http://schemas.openxmlformats.org/officeDocument/2006/relationships/image" Target="media/image57.png" Id="rId78" /><Relationship Type="http://schemas.openxmlformats.org/officeDocument/2006/relationships/image" Target="media/image59.png" Id="rId81" /><Relationship Type="http://schemas.openxmlformats.org/officeDocument/2006/relationships/hyperlink" Target="http://www.minenergia.gov.co/" TargetMode="External" Id="rId86" /><Relationship Type="http://schemas.openxmlformats.org/officeDocument/2006/relationships/image" Target="media/image67.png" Id="rId94" /><Relationship Type="http://schemas.openxmlformats.org/officeDocument/2006/relationships/header" Target="header1.xml" Id="rId99" /><Relationship Type="http://schemas.openxmlformats.org/officeDocument/2006/relationships/theme" Target="theme/theme1.xml" Id="rId101"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2.png" Id="rId13" /><Relationship Type="http://schemas.openxmlformats.org/officeDocument/2006/relationships/image" Target="media/image7.png" Id="rId18" /><Relationship Type="http://schemas.openxmlformats.org/officeDocument/2006/relationships/image" Target="media/image20.png" Id="rId39" /><Relationship Type="http://schemas.openxmlformats.org/officeDocument/2006/relationships/image" Target="media/image17.png" Id="rId34" /><Relationship Type="http://schemas.openxmlformats.org/officeDocument/2006/relationships/image" Target="media/image30.png" Id="rId50" /><Relationship Type="http://schemas.openxmlformats.org/officeDocument/2006/relationships/image" Target="media/image35.png" Id="rId55" /><Relationship Type="http://schemas.openxmlformats.org/officeDocument/2006/relationships/image" Target="media/image55.png" Id="rId76" /><Relationship Type="http://schemas.openxmlformats.org/officeDocument/2006/relationships/image" Target="media/image69.png" Id="rId97" /><Relationship Type="http://schemas.openxmlformats.org/officeDocument/2006/relationships/settings" Target="settings.xml" Id="rId7" /><Relationship Type="http://schemas.openxmlformats.org/officeDocument/2006/relationships/image" Target="media/image50.png" Id="rId71" /><Relationship Type="http://schemas.openxmlformats.org/officeDocument/2006/relationships/hyperlink" Target="https://www.minenergia.gov.co/es/servicio-al-ciudada-%20no/foros/" TargetMode="External" Id="rId92" /><Relationship Type="http://schemas.openxmlformats.org/officeDocument/2006/relationships/customXml" Target="../customXml/item2.xml" Id="rId2" /><Relationship Type="http://schemas.openxmlformats.org/officeDocument/2006/relationships/image" Target="media/image12.png" Id="rId29" /><Relationship Type="http://schemas.openxmlformats.org/officeDocument/2006/relationships/image" Target="media/image9.png" Id="rId24" /><Relationship Type="http://schemas.openxmlformats.org/officeDocument/2006/relationships/image" Target="media/image21.png" Id="rId40" /><Relationship Type="http://schemas.openxmlformats.org/officeDocument/2006/relationships/image" Target="media/image25.png" Id="rId45" /><Relationship Type="http://schemas.openxmlformats.org/officeDocument/2006/relationships/image" Target="media/image45.png" Id="rId66" /><Relationship Type="http://schemas.openxmlformats.org/officeDocument/2006/relationships/image" Target="media/image64.png" Id="rId87" /><Relationship Type="http://schemas.openxmlformats.org/officeDocument/2006/relationships/image" Target="media/image41.png" Id="rId61" /><Relationship Type="http://schemas.openxmlformats.org/officeDocument/2006/relationships/image" Target="media/image60.png" Id="rId82" /><Relationship Type="http://schemas.openxmlformats.org/officeDocument/2006/relationships/hyperlink" Target="https://intranet.minenergia.gov.co/es/negociaci%C3%B3n-colectiva/" TargetMode="External" Id="rId19" /><Relationship Type="http://schemas.openxmlformats.org/officeDocument/2006/relationships/image" Target="media/image3.png" Id="rId14" /><Relationship Type="http://schemas.openxmlformats.org/officeDocument/2006/relationships/image" Target="media/image13.png" Id="rId30" /><Relationship Type="http://schemas.openxmlformats.org/officeDocument/2006/relationships/hyperlink" Target="https://www.integrame.gov.co/" TargetMode="External" Id="rId35" /><Relationship Type="http://schemas.openxmlformats.org/officeDocument/2006/relationships/image" Target="media/image36.png" Id="rId56" /><Relationship Type="http://schemas.openxmlformats.org/officeDocument/2006/relationships/image" Target="media/image56.png" Id="rId77" /><Relationship Type="http://schemas.openxmlformats.org/officeDocument/2006/relationships/fontTable" Target="fontTable.xml" Id="rId100" /><Relationship Type="http://schemas.openxmlformats.org/officeDocument/2006/relationships/webSettings" Target="webSettings.xml" Id="rId8" /><Relationship Type="http://schemas.openxmlformats.org/officeDocument/2006/relationships/image" Target="media/image31.png" Id="rId51" /><Relationship Type="http://schemas.openxmlformats.org/officeDocument/2006/relationships/image" Target="media/image51.png" Id="rId72" /><Relationship Type="http://schemas.openxmlformats.org/officeDocument/2006/relationships/hyperlink" Target="mailto:pciudadana@minenergia.gov.co" TargetMode="External" Id="rId93" /><Relationship Type="http://schemas.openxmlformats.org/officeDocument/2006/relationships/image" Target="media/image70.png" Id="rId98" /><Relationship Type="http://schemas.openxmlformats.org/officeDocument/2006/relationships/customXml" Target="../customXml/item3.xml" Id="rId3" /><Relationship Type="http://schemas.openxmlformats.org/officeDocument/2006/relationships/comments" Target="comments.xml" Id="R0207ca899116474f" /><Relationship Type="http://schemas.microsoft.com/office/2016/09/relationships/commentsIds" Target="commentsIds.xml" Id="Raba576041c8c49bd" /><Relationship Type="http://schemas.microsoft.com/office/2011/relationships/commentsExtended" Target="commentsExtended.xml" Id="R26b57b362c5a4ecc" /><Relationship Type="http://schemas.microsoft.com/office/2018/08/relationships/commentsExtensible" Target="commentsExtensible.xml" Id="Rfc8abd9f4d0543de" /><Relationship Type="http://schemas.microsoft.com/office/2011/relationships/people" Target="people.xml" Id="Rc97b2eb7b65b4cff" /><Relationship Type="http://schemas.microsoft.com/office/2019/05/relationships/documenttasks" Target="tasks.xml" Id="R77f2c9fb06db4da3" /></Relationships>
</file>

<file path=word/charts/_rels/chart1.xml.rels><?xml version="1.0" encoding="UTF-8" standalone="yes"?>
<Relationships xmlns="http://schemas.openxmlformats.org/package/2006/relationships"><Relationship Id="rId3" Type="http://schemas.openxmlformats.org/officeDocument/2006/relationships/oleObject" Target="Libro1"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minenergiacol-my.sharepoint.com/personal/lycuca_minenergia_gov_co/Documents/INFORMES/INFORME%20DE%20GESTION%202022-2026/TABLAS%20GRAFICOS%20Y%20FOTOS/Caracterizaci&#243;n%202022-2025.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minenergiacol-my.sharepoint.com/personal/lycuca_minenergia_gov_co/Documents/INFORMES/INFORME%20DE%20GESTION%202022-2026/TABLAS%20GRAFICOS%20Y%20FOTOS/Caracterizaci&#243;n%202022-2025.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lycuca\Downloads\Medici&#243;n%20de%20la%20Satisfacci&#243;n%202023-2025.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Hoja1!$D$9</c:f>
              <c:strCache>
                <c:ptCount val="1"/>
                <c:pt idx="0">
                  <c:v>N.° Contratos</c:v>
                </c:pt>
              </c:strCache>
            </c:strRef>
          </c:tx>
          <c:spPr>
            <a:solidFill>
              <a:schemeClr val="accent1"/>
            </a:solidFill>
            <a:ln>
              <a:noFill/>
            </a:ln>
            <a:effectLst/>
          </c:spPr>
          <c:invertIfNegative val="0"/>
          <c:dPt>
            <c:idx val="0"/>
            <c:invertIfNegative val="0"/>
            <c:bubble3D val="0"/>
            <c:spPr>
              <a:solidFill>
                <a:srgbClr val="FFC000"/>
              </a:solidFill>
              <a:ln>
                <a:noFill/>
              </a:ln>
              <a:effectLst/>
            </c:spPr>
            <c:extLst>
              <c:ext xmlns:c16="http://schemas.microsoft.com/office/drawing/2014/chart" uri="{C3380CC4-5D6E-409C-BE32-E72D297353CC}">
                <c16:uniqueId val="{00000001-931C-45B1-80AE-D60A5D476FB2}"/>
              </c:ext>
            </c:extLst>
          </c:dPt>
          <c:dPt>
            <c:idx val="1"/>
            <c:invertIfNegative val="0"/>
            <c:bubble3D val="0"/>
            <c:spPr>
              <a:solidFill>
                <a:srgbClr val="FFC000"/>
              </a:solidFill>
              <a:ln>
                <a:noFill/>
              </a:ln>
              <a:effectLst/>
            </c:spPr>
            <c:extLst>
              <c:ext xmlns:c16="http://schemas.microsoft.com/office/drawing/2014/chart" uri="{C3380CC4-5D6E-409C-BE32-E72D297353CC}">
                <c16:uniqueId val="{00000003-931C-45B1-80AE-D60A5D476FB2}"/>
              </c:ext>
            </c:extLst>
          </c:dPt>
          <c:dPt>
            <c:idx val="2"/>
            <c:invertIfNegative val="0"/>
            <c:bubble3D val="0"/>
            <c:spPr>
              <a:solidFill>
                <a:srgbClr val="FFC000"/>
              </a:solidFill>
              <a:ln>
                <a:noFill/>
              </a:ln>
              <a:effectLst/>
            </c:spPr>
            <c:extLst>
              <c:ext xmlns:c16="http://schemas.microsoft.com/office/drawing/2014/chart" uri="{C3380CC4-5D6E-409C-BE32-E72D297353CC}">
                <c16:uniqueId val="{00000005-931C-45B1-80AE-D60A5D476FB2}"/>
              </c:ext>
            </c:extLst>
          </c:dPt>
          <c:dPt>
            <c:idx val="3"/>
            <c:invertIfNegative val="0"/>
            <c:bubble3D val="0"/>
            <c:spPr>
              <a:solidFill>
                <a:srgbClr val="FFC000"/>
              </a:solidFill>
              <a:ln>
                <a:noFill/>
              </a:ln>
              <a:effectLst/>
            </c:spPr>
            <c:extLst>
              <c:ext xmlns:c16="http://schemas.microsoft.com/office/drawing/2014/chart" uri="{C3380CC4-5D6E-409C-BE32-E72D297353CC}">
                <c16:uniqueId val="{00000007-931C-45B1-80AE-D60A5D476FB2}"/>
              </c:ext>
            </c:extLst>
          </c:dPt>
          <c:dPt>
            <c:idx val="4"/>
            <c:invertIfNegative val="0"/>
            <c:bubble3D val="0"/>
            <c:spPr>
              <a:solidFill>
                <a:srgbClr val="FFC000"/>
              </a:solidFill>
              <a:ln>
                <a:noFill/>
              </a:ln>
              <a:effectLst/>
            </c:spPr>
            <c:extLst>
              <c:ext xmlns:c16="http://schemas.microsoft.com/office/drawing/2014/chart" uri="{C3380CC4-5D6E-409C-BE32-E72D297353CC}">
                <c16:uniqueId val="{00000009-931C-45B1-80AE-D60A5D476FB2}"/>
              </c:ext>
            </c:extLst>
          </c:dPt>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Verdana" panose="020B0604030504040204" pitchFamily="34" charset="0"/>
                    <a:ea typeface="Verdana" panose="020B0604030504040204" pitchFamily="34" charset="0"/>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Hoja1!$C$10:$C$14</c:f>
              <c:strCache>
                <c:ptCount val="5"/>
                <c:pt idx="0">
                  <c:v>Ago–Dic 2022</c:v>
                </c:pt>
                <c:pt idx="1">
                  <c:v>2023</c:v>
                </c:pt>
                <c:pt idx="2">
                  <c:v>2024</c:v>
                </c:pt>
                <c:pt idx="3">
                  <c:v>2025</c:v>
                </c:pt>
                <c:pt idx="4">
                  <c:v>2026 (Enero – Marzo)</c:v>
                </c:pt>
              </c:strCache>
            </c:strRef>
          </c:cat>
          <c:val>
            <c:numRef>
              <c:f>Hoja1!$D$10:$D$14</c:f>
              <c:numCache>
                <c:formatCode>#,##0</c:formatCode>
                <c:ptCount val="5"/>
                <c:pt idx="0" formatCode="General">
                  <c:v>148</c:v>
                </c:pt>
                <c:pt idx="1">
                  <c:v>1213</c:v>
                </c:pt>
                <c:pt idx="2">
                  <c:v>1391</c:v>
                </c:pt>
                <c:pt idx="3">
                  <c:v>2119</c:v>
                </c:pt>
                <c:pt idx="4">
                  <c:v>1828</c:v>
                </c:pt>
              </c:numCache>
            </c:numRef>
          </c:val>
          <c:extLst>
            <c:ext xmlns:c16="http://schemas.microsoft.com/office/drawing/2014/chart" uri="{C3380CC4-5D6E-409C-BE32-E72D297353CC}">
              <c16:uniqueId val="{0000000A-931C-45B1-80AE-D60A5D476FB2}"/>
            </c:ext>
          </c:extLst>
        </c:ser>
        <c:dLbls>
          <c:dLblPos val="outEnd"/>
          <c:showLegendKey val="0"/>
          <c:showVal val="1"/>
          <c:showCatName val="0"/>
          <c:showSerName val="0"/>
          <c:showPercent val="0"/>
          <c:showBubbleSize val="0"/>
        </c:dLbls>
        <c:gapWidth val="219"/>
        <c:overlap val="-27"/>
        <c:axId val="1367526432"/>
        <c:axId val="1367525952"/>
      </c:barChart>
      <c:catAx>
        <c:axId val="1367526432"/>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Verdana" panose="020B0604030504040204" pitchFamily="34" charset="0"/>
                    <a:ea typeface="Verdana" panose="020B0604030504040204" pitchFamily="34" charset="0"/>
                    <a:cs typeface="+mn-cs"/>
                  </a:defRPr>
                </a:pPr>
                <a:r>
                  <a:rPr lang="es-CO"/>
                  <a:t>Vigencia</a:t>
                </a:r>
              </a:p>
            </c:rich>
          </c:tx>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Verdana" panose="020B0604030504040204" pitchFamily="34" charset="0"/>
                  <a:ea typeface="Verdana" panose="020B0604030504040204" pitchFamily="34" charset="0"/>
                  <a:cs typeface="+mn-cs"/>
                </a:defRPr>
              </a:pPr>
              <a:endParaRPr lang="es-CO"/>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Verdana" panose="020B0604030504040204" pitchFamily="34" charset="0"/>
                <a:ea typeface="Verdana" panose="020B0604030504040204" pitchFamily="34" charset="0"/>
                <a:cs typeface="+mn-cs"/>
              </a:defRPr>
            </a:pPr>
            <a:endParaRPr lang="es-CO"/>
          </a:p>
        </c:txPr>
        <c:crossAx val="1367525952"/>
        <c:crosses val="autoZero"/>
        <c:auto val="1"/>
        <c:lblAlgn val="ctr"/>
        <c:lblOffset val="100"/>
        <c:noMultiLvlLbl val="0"/>
      </c:catAx>
      <c:valAx>
        <c:axId val="1367525952"/>
        <c:scaling>
          <c:orientation val="minMax"/>
        </c:scaling>
        <c:delete val="1"/>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Verdana" panose="020B0604030504040204" pitchFamily="34" charset="0"/>
                    <a:ea typeface="Verdana" panose="020B0604030504040204" pitchFamily="34" charset="0"/>
                    <a:cs typeface="+mn-cs"/>
                  </a:defRPr>
                </a:pPr>
                <a:r>
                  <a:rPr lang="es-CO"/>
                  <a:t>Número de contratos</a:t>
                </a:r>
              </a:p>
            </c:rich>
          </c:tx>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Verdana" panose="020B0604030504040204" pitchFamily="34" charset="0"/>
                  <a:ea typeface="Verdana" panose="020B0604030504040204" pitchFamily="34" charset="0"/>
                  <a:cs typeface="+mn-cs"/>
                </a:defRPr>
              </a:pPr>
              <a:endParaRPr lang="es-CO"/>
            </a:p>
          </c:txPr>
        </c:title>
        <c:numFmt formatCode="General" sourceLinked="1"/>
        <c:majorTickMark val="none"/>
        <c:minorTickMark val="none"/>
        <c:tickLblPos val="nextTo"/>
        <c:crossAx val="13675264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Verdana" panose="020B0604030504040204" pitchFamily="34" charset="0"/>
          <a:ea typeface="Verdana" panose="020B0604030504040204" pitchFamily="34" charset="0"/>
        </a:defRPr>
      </a:pPr>
      <a:endParaRPr lang="es-CO"/>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1"/>
    <c:plotArea>
      <c:layout>
        <c:manualLayout>
          <c:layoutTarget val="inner"/>
          <c:xMode val="edge"/>
          <c:yMode val="edge"/>
          <c:x val="4.4403433945756791E-2"/>
          <c:y val="0.12167790049865813"/>
          <c:w val="0.91890895687430885"/>
          <c:h val="0.70059121546814529"/>
        </c:manualLayout>
      </c:layout>
      <c:barChart>
        <c:barDir val="col"/>
        <c:grouping val="clustered"/>
        <c:varyColors val="0"/>
        <c:ser>
          <c:idx val="0"/>
          <c:order val="0"/>
          <c:tx>
            <c:strRef>
              <c:f>Hoja1!$C$1</c:f>
              <c:strCache>
                <c:ptCount val="1"/>
                <c:pt idx="0">
                  <c:v>Número de registros</c:v>
                </c:pt>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lt1"/>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Hoja1!$A$2:$B$6</c:f>
              <c:multiLvlStrCache>
                <c:ptCount val="5"/>
                <c:lvl>
                  <c:pt idx="0">
                    <c:v>I semestre</c:v>
                  </c:pt>
                  <c:pt idx="1">
                    <c:v>I semestre</c:v>
                  </c:pt>
                  <c:pt idx="2">
                    <c:v>II semestre</c:v>
                  </c:pt>
                  <c:pt idx="3">
                    <c:v>I semestre</c:v>
                  </c:pt>
                  <c:pt idx="4">
                    <c:v>II semestre</c:v>
                  </c:pt>
                </c:lvl>
                <c:lvl>
                  <c:pt idx="0">
                    <c:v>2023</c:v>
                  </c:pt>
                  <c:pt idx="1">
                    <c:v>2024</c:v>
                  </c:pt>
                  <c:pt idx="2">
                    <c:v>2024</c:v>
                  </c:pt>
                  <c:pt idx="3">
                    <c:v>2025</c:v>
                  </c:pt>
                  <c:pt idx="4">
                    <c:v>2025</c:v>
                  </c:pt>
                </c:lvl>
              </c:multiLvlStrCache>
            </c:multiLvlStrRef>
          </c:cat>
          <c:val>
            <c:numRef>
              <c:f>Hoja1!$C$2:$C$6</c:f>
              <c:numCache>
                <c:formatCode>General</c:formatCode>
                <c:ptCount val="5"/>
                <c:pt idx="0">
                  <c:v>216</c:v>
                </c:pt>
                <c:pt idx="1">
                  <c:v>200</c:v>
                </c:pt>
                <c:pt idx="2">
                  <c:v>294</c:v>
                </c:pt>
                <c:pt idx="3">
                  <c:v>716</c:v>
                </c:pt>
                <c:pt idx="4" formatCode="#,##0">
                  <c:v>4225</c:v>
                </c:pt>
              </c:numCache>
            </c:numRef>
          </c:val>
          <c:extLst>
            <c:ext xmlns:c16="http://schemas.microsoft.com/office/drawing/2014/chart" uri="{C3380CC4-5D6E-409C-BE32-E72D297353CC}">
              <c16:uniqueId val="{00000000-FCB8-4B76-87C2-520D52603993}"/>
            </c:ext>
          </c:extLst>
        </c:ser>
        <c:dLbls>
          <c:dLblPos val="outEnd"/>
          <c:showLegendKey val="0"/>
          <c:showVal val="1"/>
          <c:showCatName val="0"/>
          <c:showSerName val="0"/>
          <c:showPercent val="0"/>
          <c:showBubbleSize val="0"/>
        </c:dLbls>
        <c:gapWidth val="100"/>
        <c:overlap val="-24"/>
        <c:axId val="371276624"/>
        <c:axId val="371275184"/>
      </c:barChart>
      <c:catAx>
        <c:axId val="37127662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lt1"/>
                </a:solidFill>
                <a:latin typeface="+mn-lt"/>
                <a:ea typeface="+mn-ea"/>
                <a:cs typeface="+mn-cs"/>
              </a:defRPr>
            </a:pPr>
            <a:endParaRPr lang="es-CO"/>
          </a:p>
        </c:txPr>
        <c:crossAx val="371275184"/>
        <c:crosses val="autoZero"/>
        <c:auto val="1"/>
        <c:lblAlgn val="ctr"/>
        <c:lblOffset val="100"/>
        <c:noMultiLvlLbl val="0"/>
      </c:catAx>
      <c:valAx>
        <c:axId val="371275184"/>
        <c:scaling>
          <c:orientation val="minMax"/>
        </c:scaling>
        <c:delete val="1"/>
        <c:axPos val="l"/>
        <c:numFmt formatCode="General" sourceLinked="1"/>
        <c:majorTickMark val="none"/>
        <c:minorTickMark val="none"/>
        <c:tickLblPos val="nextTo"/>
        <c:crossAx val="371276624"/>
        <c:crosses val="autoZero"/>
        <c:crossBetween val="between"/>
      </c:valAx>
      <c:spPr>
        <a:noFill/>
        <a:ln>
          <a:noFill/>
        </a:ln>
        <a:effectLst/>
      </c:spPr>
    </c:plotArea>
    <c:plotVisOnly val="1"/>
    <c:dispBlanksAs val="gap"/>
    <c:showDLblsOverMax val="0"/>
  </c:chart>
  <c:spPr>
    <a:gradFill flip="none" rotWithShape="1">
      <a:gsLst>
        <a:gs pos="0">
          <a:schemeClr val="accent1">
            <a:lumMod val="67000"/>
          </a:schemeClr>
        </a:gs>
        <a:gs pos="48000">
          <a:schemeClr val="accent1">
            <a:lumMod val="97000"/>
            <a:lumOff val="3000"/>
          </a:schemeClr>
        </a:gs>
        <a:gs pos="100000">
          <a:schemeClr val="accent1">
            <a:lumMod val="60000"/>
            <a:lumOff val="40000"/>
          </a:schemeClr>
        </a:gs>
      </a:gsLst>
      <a:lin ang="16200000" scaled="1"/>
      <a:tileRect/>
    </a:gradFill>
    <a:ln w="9525" cap="flat" cmpd="sng" algn="ctr">
      <a:noFill/>
      <a:round/>
    </a:ln>
    <a:effectLst/>
  </c:spPr>
  <c:txPr>
    <a:bodyPr/>
    <a:lstStyle/>
    <a:p>
      <a:pPr>
        <a:defRPr>
          <a:solidFill>
            <a:schemeClr val="lt1"/>
          </a:solidFill>
          <a:latin typeface="+mn-lt"/>
          <a:ea typeface="+mn-ea"/>
          <a:cs typeface="+mn-cs"/>
        </a:defRPr>
      </a:pPr>
      <a:endParaRPr lang="es-CO"/>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382529998319747E-2"/>
          <c:y val="7.2590845930354961E-2"/>
          <c:w val="0.92741669416034311"/>
          <c:h val="0.53871013727117978"/>
        </c:manualLayout>
      </c:layout>
      <c:barChart>
        <c:barDir val="col"/>
        <c:grouping val="clustered"/>
        <c:varyColors val="0"/>
        <c:ser>
          <c:idx val="0"/>
          <c:order val="0"/>
          <c:tx>
            <c:strRef>
              <c:f>Hoja1!$C$20</c:f>
              <c:strCache>
                <c:ptCount val="1"/>
                <c:pt idx="0">
                  <c:v>Personas naturales</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Hoja1!$A$21:$B$25</c:f>
              <c:multiLvlStrCache>
                <c:ptCount val="5"/>
                <c:lvl>
                  <c:pt idx="0">
                    <c:v>I semestre</c:v>
                  </c:pt>
                  <c:pt idx="1">
                    <c:v>I semestre</c:v>
                  </c:pt>
                  <c:pt idx="2">
                    <c:v>II semestre</c:v>
                  </c:pt>
                  <c:pt idx="3">
                    <c:v>I semestre</c:v>
                  </c:pt>
                  <c:pt idx="4">
                    <c:v>II semestre</c:v>
                  </c:pt>
                </c:lvl>
                <c:lvl>
                  <c:pt idx="0">
                    <c:v>2023</c:v>
                  </c:pt>
                  <c:pt idx="1">
                    <c:v>2024</c:v>
                  </c:pt>
                  <c:pt idx="2">
                    <c:v>2024</c:v>
                  </c:pt>
                  <c:pt idx="3">
                    <c:v>2025</c:v>
                  </c:pt>
                  <c:pt idx="4">
                    <c:v>2025</c:v>
                  </c:pt>
                </c:lvl>
              </c:multiLvlStrCache>
            </c:multiLvlStrRef>
          </c:cat>
          <c:val>
            <c:numRef>
              <c:f>Hoja1!$C$21:$C$25</c:f>
              <c:numCache>
                <c:formatCode>General</c:formatCode>
                <c:ptCount val="5"/>
                <c:pt idx="0">
                  <c:v>175</c:v>
                </c:pt>
                <c:pt idx="1">
                  <c:v>152</c:v>
                </c:pt>
                <c:pt idx="2">
                  <c:v>236</c:v>
                </c:pt>
                <c:pt idx="3">
                  <c:v>654</c:v>
                </c:pt>
                <c:pt idx="4">
                  <c:v>4115</c:v>
                </c:pt>
              </c:numCache>
            </c:numRef>
          </c:val>
          <c:extLst>
            <c:ext xmlns:c16="http://schemas.microsoft.com/office/drawing/2014/chart" uri="{C3380CC4-5D6E-409C-BE32-E72D297353CC}">
              <c16:uniqueId val="{00000000-2B48-49E3-99EF-723CA4AD5F08}"/>
            </c:ext>
          </c:extLst>
        </c:ser>
        <c:ser>
          <c:idx val="1"/>
          <c:order val="1"/>
          <c:tx>
            <c:strRef>
              <c:f>Hoja1!$E$20</c:f>
              <c:strCache>
                <c:ptCount val="1"/>
                <c:pt idx="0">
                  <c:v>Personas jurídicas</c:v>
                </c:pt>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Hoja1!$A$21:$B$25</c:f>
              <c:multiLvlStrCache>
                <c:ptCount val="5"/>
                <c:lvl>
                  <c:pt idx="0">
                    <c:v>I semestre</c:v>
                  </c:pt>
                  <c:pt idx="1">
                    <c:v>I semestre</c:v>
                  </c:pt>
                  <c:pt idx="2">
                    <c:v>II semestre</c:v>
                  </c:pt>
                  <c:pt idx="3">
                    <c:v>I semestre</c:v>
                  </c:pt>
                  <c:pt idx="4">
                    <c:v>II semestre</c:v>
                  </c:pt>
                </c:lvl>
                <c:lvl>
                  <c:pt idx="0">
                    <c:v>2023</c:v>
                  </c:pt>
                  <c:pt idx="1">
                    <c:v>2024</c:v>
                  </c:pt>
                  <c:pt idx="2">
                    <c:v>2024</c:v>
                  </c:pt>
                  <c:pt idx="3">
                    <c:v>2025</c:v>
                  </c:pt>
                  <c:pt idx="4">
                    <c:v>2025</c:v>
                  </c:pt>
                </c:lvl>
              </c:multiLvlStrCache>
            </c:multiLvlStrRef>
          </c:cat>
          <c:val>
            <c:numRef>
              <c:f>Hoja1!$E$21:$E$25</c:f>
              <c:numCache>
                <c:formatCode>General</c:formatCode>
                <c:ptCount val="5"/>
                <c:pt idx="0">
                  <c:v>41</c:v>
                </c:pt>
                <c:pt idx="1">
                  <c:v>48</c:v>
                </c:pt>
                <c:pt idx="2">
                  <c:v>58</c:v>
                </c:pt>
                <c:pt idx="3">
                  <c:v>62</c:v>
                </c:pt>
                <c:pt idx="4">
                  <c:v>110</c:v>
                </c:pt>
              </c:numCache>
            </c:numRef>
          </c:val>
          <c:extLst>
            <c:ext xmlns:c16="http://schemas.microsoft.com/office/drawing/2014/chart" uri="{C3380CC4-5D6E-409C-BE32-E72D297353CC}">
              <c16:uniqueId val="{00000001-2B48-49E3-99EF-723CA4AD5F08}"/>
            </c:ext>
          </c:extLst>
        </c:ser>
        <c:dLbls>
          <c:dLblPos val="outEnd"/>
          <c:showLegendKey val="0"/>
          <c:showVal val="1"/>
          <c:showCatName val="0"/>
          <c:showSerName val="0"/>
          <c:showPercent val="0"/>
          <c:showBubbleSize val="0"/>
        </c:dLbls>
        <c:gapWidth val="100"/>
        <c:overlap val="-24"/>
        <c:axId val="791457856"/>
        <c:axId val="791460256"/>
      </c:barChart>
      <c:catAx>
        <c:axId val="79145785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791460256"/>
        <c:crosses val="autoZero"/>
        <c:auto val="1"/>
        <c:lblAlgn val="ctr"/>
        <c:lblOffset val="100"/>
        <c:noMultiLvlLbl val="0"/>
      </c:catAx>
      <c:valAx>
        <c:axId val="791460256"/>
        <c:scaling>
          <c:orientation val="minMax"/>
        </c:scaling>
        <c:delete val="1"/>
        <c:axPos val="l"/>
        <c:numFmt formatCode="General" sourceLinked="1"/>
        <c:majorTickMark val="none"/>
        <c:minorTickMark val="none"/>
        <c:tickLblPos val="nextTo"/>
        <c:crossAx val="791457856"/>
        <c:crosses val="autoZero"/>
        <c:crossBetween val="between"/>
      </c:valAx>
      <c:spPr>
        <a:noFill/>
        <a:ln>
          <a:solidFill>
            <a:schemeClr val="tx1"/>
          </a:solid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noFill/>
      <a:round/>
    </a:ln>
    <a:effectLst/>
  </c:spPr>
  <c:txPr>
    <a:bodyPr/>
    <a:lstStyle/>
    <a:p>
      <a:pPr>
        <a:defRPr/>
      </a:pPr>
      <a:endParaRPr lang="es-CO"/>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Hoja1!$D$1</c:f>
              <c:strCache>
                <c:ptCount val="1"/>
                <c:pt idx="0">
                  <c:v>Resultado de satisfacción (%)</c:v>
                </c:pt>
              </c:strCache>
            </c:strRef>
          </c:tx>
          <c:spPr>
            <a:solidFill>
              <a:schemeClr val="accent2"/>
            </a:solidFill>
            <a:ln>
              <a:noFill/>
            </a:ln>
            <a:effectLst/>
          </c:spPr>
          <c:invertIfNegative val="0"/>
          <c:dPt>
            <c:idx val="0"/>
            <c:invertIfNegative val="0"/>
            <c:bubble3D val="0"/>
            <c:spPr>
              <a:solidFill>
                <a:srgbClr val="EE0000"/>
              </a:solidFill>
              <a:ln>
                <a:noFill/>
              </a:ln>
              <a:effectLst/>
            </c:spPr>
            <c:extLst>
              <c:ext xmlns:c16="http://schemas.microsoft.com/office/drawing/2014/chart" uri="{C3380CC4-5D6E-409C-BE32-E72D297353CC}">
                <c16:uniqueId val="{00000001-FD75-40BA-A2A5-24114D69DC11}"/>
              </c:ext>
            </c:extLst>
          </c:dPt>
          <c:dPt>
            <c:idx val="2"/>
            <c:invertIfNegative val="0"/>
            <c:bubble3D val="0"/>
            <c:spPr>
              <a:solidFill>
                <a:schemeClr val="accent2">
                  <a:lumMod val="60000"/>
                  <a:lumOff val="40000"/>
                </a:schemeClr>
              </a:solidFill>
              <a:ln>
                <a:noFill/>
              </a:ln>
              <a:effectLst/>
            </c:spPr>
            <c:extLst>
              <c:ext xmlns:c16="http://schemas.microsoft.com/office/drawing/2014/chart" uri="{C3380CC4-5D6E-409C-BE32-E72D297353CC}">
                <c16:uniqueId val="{00000003-FD75-40BA-A2A5-24114D69DC11}"/>
              </c:ext>
            </c:extLst>
          </c:dPt>
          <c:dPt>
            <c:idx val="3"/>
            <c:invertIfNegative val="0"/>
            <c:bubble3D val="0"/>
            <c:spPr>
              <a:solidFill>
                <a:schemeClr val="accent2">
                  <a:lumMod val="60000"/>
                  <a:lumOff val="40000"/>
                </a:schemeClr>
              </a:solidFill>
              <a:ln>
                <a:noFill/>
              </a:ln>
              <a:effectLst/>
            </c:spPr>
            <c:extLst>
              <c:ext xmlns:c16="http://schemas.microsoft.com/office/drawing/2014/chart" uri="{C3380CC4-5D6E-409C-BE32-E72D297353CC}">
                <c16:uniqueId val="{00000005-FD75-40BA-A2A5-24114D69DC11}"/>
              </c:ext>
            </c:extLst>
          </c:dPt>
          <c:dPt>
            <c:idx val="4"/>
            <c:invertIfNegative val="0"/>
            <c:bubble3D val="0"/>
            <c:spPr>
              <a:solidFill>
                <a:schemeClr val="accent2">
                  <a:lumMod val="60000"/>
                  <a:lumOff val="40000"/>
                </a:schemeClr>
              </a:solidFill>
              <a:ln>
                <a:noFill/>
              </a:ln>
              <a:effectLst/>
            </c:spPr>
            <c:extLst>
              <c:ext xmlns:c16="http://schemas.microsoft.com/office/drawing/2014/chart" uri="{C3380CC4-5D6E-409C-BE32-E72D297353CC}">
                <c16:uniqueId val="{00000007-FD75-40BA-A2A5-24114D69DC11}"/>
              </c:ext>
            </c:extLst>
          </c:dPt>
          <c:dPt>
            <c:idx val="5"/>
            <c:invertIfNegative val="0"/>
            <c:bubble3D val="0"/>
            <c:spPr>
              <a:solidFill>
                <a:srgbClr val="00B050"/>
              </a:solidFill>
              <a:ln>
                <a:noFill/>
              </a:ln>
              <a:effectLst/>
            </c:spPr>
            <c:extLst>
              <c:ext xmlns:c16="http://schemas.microsoft.com/office/drawing/2014/chart" uri="{C3380CC4-5D6E-409C-BE32-E72D297353CC}">
                <c16:uniqueId val="{00000009-FD75-40BA-A2A5-24114D69DC11}"/>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Hoja1!$A$2:$B$7</c:f>
              <c:multiLvlStrCache>
                <c:ptCount val="6"/>
                <c:lvl>
                  <c:pt idx="0">
                    <c:v>I semestre</c:v>
                  </c:pt>
                  <c:pt idx="1">
                    <c:v>II semestre</c:v>
                  </c:pt>
                  <c:pt idx="2">
                    <c:v>I semestre</c:v>
                  </c:pt>
                  <c:pt idx="3">
                    <c:v>II semestre</c:v>
                  </c:pt>
                  <c:pt idx="4">
                    <c:v>I semestre</c:v>
                  </c:pt>
                  <c:pt idx="5">
                    <c:v>II semestre</c:v>
                  </c:pt>
                </c:lvl>
                <c:lvl>
                  <c:pt idx="0">
                    <c:v>2023</c:v>
                  </c:pt>
                  <c:pt idx="1">
                    <c:v>2023</c:v>
                  </c:pt>
                  <c:pt idx="2">
                    <c:v>2024</c:v>
                  </c:pt>
                  <c:pt idx="3">
                    <c:v>2024</c:v>
                  </c:pt>
                  <c:pt idx="4">
                    <c:v>2025</c:v>
                  </c:pt>
                  <c:pt idx="5">
                    <c:v>2025</c:v>
                  </c:pt>
                </c:lvl>
              </c:multiLvlStrCache>
            </c:multiLvlStrRef>
          </c:cat>
          <c:val>
            <c:numRef>
              <c:f>Hoja1!$D$2:$D$7</c:f>
              <c:numCache>
                <c:formatCode>0.00%</c:formatCode>
                <c:ptCount val="6"/>
                <c:pt idx="0">
                  <c:v>0.66800000000000004</c:v>
                </c:pt>
                <c:pt idx="1">
                  <c:v>0.75090000000000001</c:v>
                </c:pt>
                <c:pt idx="2">
                  <c:v>0.77380000000000004</c:v>
                </c:pt>
                <c:pt idx="3">
                  <c:v>0.7782</c:v>
                </c:pt>
                <c:pt idx="4">
                  <c:v>0.77700000000000002</c:v>
                </c:pt>
                <c:pt idx="5">
                  <c:v>0.81389999999999996</c:v>
                </c:pt>
              </c:numCache>
            </c:numRef>
          </c:val>
          <c:extLst>
            <c:ext xmlns:c16="http://schemas.microsoft.com/office/drawing/2014/chart" uri="{C3380CC4-5D6E-409C-BE32-E72D297353CC}">
              <c16:uniqueId val="{0000000A-FD75-40BA-A2A5-24114D69DC11}"/>
            </c:ext>
          </c:extLst>
        </c:ser>
        <c:dLbls>
          <c:showLegendKey val="0"/>
          <c:showVal val="0"/>
          <c:showCatName val="0"/>
          <c:showSerName val="0"/>
          <c:showPercent val="0"/>
          <c:showBubbleSize val="0"/>
        </c:dLbls>
        <c:gapWidth val="219"/>
        <c:overlap val="-27"/>
        <c:axId val="312051199"/>
        <c:axId val="312053119"/>
      </c:barChart>
      <c:catAx>
        <c:axId val="3120511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s-CO"/>
          </a:p>
        </c:txPr>
        <c:crossAx val="312053119"/>
        <c:crosses val="autoZero"/>
        <c:auto val="1"/>
        <c:lblAlgn val="ctr"/>
        <c:lblOffset val="100"/>
        <c:noMultiLvlLbl val="0"/>
      </c:catAx>
      <c:valAx>
        <c:axId val="312053119"/>
        <c:scaling>
          <c:orientation val="minMax"/>
        </c:scaling>
        <c:delete val="1"/>
        <c:axPos val="l"/>
        <c:numFmt formatCode="0.00%" sourceLinked="1"/>
        <c:majorTickMark val="none"/>
        <c:minorTickMark val="none"/>
        <c:tickLblPos val="nextTo"/>
        <c:crossAx val="312051199"/>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withinLinearReversed" id="24">
  <a:schemeClr val="accent4"/>
</cs:colorStyle>
</file>

<file path=word/charts/colors3.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3.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D494794E2F1F147A187F2716B2C6172" ma:contentTypeVersion="76" ma:contentTypeDescription="Create a new document." ma:contentTypeScope="" ma:versionID="081bb0b5462527e8779aa3bb5930bc8d">
  <xsd:schema xmlns:xsd="http://www.w3.org/2001/XMLSchema" xmlns:xs="http://www.w3.org/2001/XMLSchema" xmlns:p="http://schemas.microsoft.com/office/2006/metadata/properties" xmlns:ns2="f0184f8d-bdb0-429a-9d3a-0f9da1dd7745" xmlns:ns3="01640979-21e2-4421-a22b-8dd073298a66" targetNamespace="http://schemas.microsoft.com/office/2006/metadata/properties" ma:root="true" ma:fieldsID="e610f78dea9851e1e779066604ec4a4b" ns2:_="" ns3:_="">
    <xsd:import namespace="f0184f8d-bdb0-429a-9d3a-0f9da1dd7745"/>
    <xsd:import namespace="01640979-21e2-4421-a22b-8dd073298a66"/>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CR" minOccurs="0"/>
                <xsd:element ref="ns3:MediaServiceGenerationTime" minOccurs="0"/>
                <xsd:element ref="ns3:MediaServiceEventHashCode" minOccurs="0"/>
                <xsd:element ref="ns3:MediaServiceDateTaken" minOccurs="0"/>
                <xsd:element ref="ns3:MediaServiceObjectDetectorVersions" minOccurs="0"/>
                <xsd:element ref="ns3:MediaLengthInSeconds" minOccurs="0"/>
                <xsd:element ref="ns3:Vinculos" minOccurs="0"/>
                <xsd:element ref="ns3:MediaServiceLocation" minOccurs="0"/>
                <xsd:element ref="ns3:MediaServiceSearchProperties" minOccurs="0"/>
                <xsd:element ref="ns3:lcf76f155ced4ddcb4097134ff3c332f"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0184f8d-bdb0-429a-9d3a-0f9da1dd7745"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1640979-21e2-4421-a22b-8dd073298a66"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Vinculos" ma:index="18" nillable="true" ma:displayName="Vinculos" ma:format="Hyperlink" ma:internalName="Vinculos">
      <xsd:complexType>
        <xsd:complexContent>
          <xsd:extension base="dms:URL">
            <xsd:sequence>
              <xsd:element name="Url" type="dms:ValidUrl" minOccurs="0" nillable="true"/>
              <xsd:element name="Description" type="xsd:string" nillable="true"/>
            </xsd:sequence>
          </xsd:extension>
        </xsd:complexContent>
      </xsd:complexType>
    </xsd:element>
    <xsd:element name="MediaServiceLocation" ma:index="19" nillable="true" ma:displayName="Location" ma:indexed="true" ma:internalName="MediaServiceLocation"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lcf76f155ced4ddcb4097134ff3c332f" ma:index="21" nillable="true" ma:displayName="Image Tags_0" ma:hidden="true" ma:internalName="lcf76f155ced4ddcb4097134ff3c332f">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Vinculos xmlns="01640979-21e2-4421-a22b-8dd073298a66">
      <Url xsi:nil="true"/>
      <Description xsi:nil="true"/>
    </Vinculos>
    <lcf76f155ced4ddcb4097134ff3c332f xmlns="01640979-21e2-4421-a22b-8dd073298a66" xsi:nil="true"/>
  </documentManagement>
</p:properties>
</file>

<file path=customXml/itemProps1.xml><?xml version="1.0" encoding="utf-8"?>
<ds:datastoreItem xmlns:ds="http://schemas.openxmlformats.org/officeDocument/2006/customXml" ds:itemID="{6DC73C85-B1EB-42F7-957F-112A29A4499B}">
  <ds:schemaRefs>
    <ds:schemaRef ds:uri="http://schemas.openxmlformats.org/officeDocument/2006/bibliography"/>
  </ds:schemaRefs>
</ds:datastoreItem>
</file>

<file path=customXml/itemProps2.xml><?xml version="1.0" encoding="utf-8"?>
<ds:datastoreItem xmlns:ds="http://schemas.openxmlformats.org/officeDocument/2006/customXml" ds:itemID="{7808F970-3AB0-4516-8D04-8B608797A72C}">
  <ds:schemaRefs>
    <ds:schemaRef ds:uri="http://schemas.microsoft.com/sharepoint/v3/contenttype/forms"/>
  </ds:schemaRefs>
</ds:datastoreItem>
</file>

<file path=customXml/itemProps3.xml><?xml version="1.0" encoding="utf-8"?>
<ds:datastoreItem xmlns:ds="http://schemas.openxmlformats.org/officeDocument/2006/customXml" ds:itemID="{44DC82EA-B2BD-49BE-9531-61D4C457A48E}"/>
</file>

<file path=customXml/itemProps4.xml><?xml version="1.0" encoding="utf-8"?>
<ds:datastoreItem xmlns:ds="http://schemas.openxmlformats.org/officeDocument/2006/customXml" ds:itemID="{4A9FBF8B-DEEC-4FC1-A364-4776672D83DF}">
  <ds:schemaRefs>
    <ds:schemaRef ds:uri="http://schemas.microsoft.com/office/2006/metadata/properties"/>
    <ds:schemaRef ds:uri="http://schemas.microsoft.com/office/infopath/2007/PartnerControls"/>
    <ds:schemaRef ds:uri="01640979-21e2-4421-a22b-8dd073298a66"/>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LILIANA PAOLA MENDEZ MATAMOROS</dc:creator>
  <keywords/>
  <dc:description/>
  <lastModifiedBy>LAURA MUÑOZ ROJAS</lastModifiedBy>
  <revision>36</revision>
  <dcterms:created xsi:type="dcterms:W3CDTF">2026-07-03T16:30:00.0000000Z</dcterms:created>
  <dcterms:modified xsi:type="dcterms:W3CDTF">2026-07-06T15:41:20.3666854Z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0x010100BD494794E2F1F147A187F2716B2C6172</vt:lpwstr>
  </property>
</Properties>
</file>